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6121611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7227B9A" w14:textId="77777777" w:rsidR="002D5AAC" w:rsidRDefault="002D5AAC" w:rsidP="00D2720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0ECBAAF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4C28918" w14:textId="77777777" w:rsidR="002D5AAC" w:rsidRDefault="00D2720C" w:rsidP="00D2720C">
            <w:pPr>
              <w:jc w:val="right"/>
            </w:pPr>
            <w:r w:rsidRPr="00D2720C">
              <w:rPr>
                <w:sz w:val="40"/>
              </w:rPr>
              <w:t>ECE</w:t>
            </w:r>
            <w:r>
              <w:t>/TRANS/WP.15/AC.1/2020/45</w:t>
            </w:r>
          </w:p>
        </w:tc>
      </w:tr>
      <w:tr w:rsidR="002D5AAC" w:rsidRPr="00A60E34" w14:paraId="1742EB74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EE5546D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80AE4CC" wp14:editId="44F839E1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EE4DA06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C8CFEE8" w14:textId="77777777" w:rsidR="002D5AAC" w:rsidRDefault="00D2720C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81BE552" w14:textId="77777777" w:rsidR="00D2720C" w:rsidRDefault="00D2720C" w:rsidP="00D2720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8 June 2020</w:t>
            </w:r>
          </w:p>
          <w:p w14:paraId="513948DD" w14:textId="77777777" w:rsidR="00D2720C" w:rsidRDefault="00D2720C" w:rsidP="00D2720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DAD2A77" w14:textId="77777777" w:rsidR="00D2720C" w:rsidRPr="008D53B6" w:rsidRDefault="00D2720C" w:rsidP="00D2720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7D4F7AE8" w14:textId="77777777" w:rsidR="00D2720C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D2B1834" w14:textId="77777777" w:rsidR="00D2720C" w:rsidRPr="00577AF5" w:rsidRDefault="00D2720C" w:rsidP="00D2720C">
      <w:pPr>
        <w:spacing w:before="120"/>
        <w:rPr>
          <w:sz w:val="28"/>
          <w:szCs w:val="28"/>
        </w:rPr>
      </w:pPr>
      <w:r w:rsidRPr="00577AF5">
        <w:rPr>
          <w:sz w:val="28"/>
          <w:szCs w:val="28"/>
        </w:rPr>
        <w:t>Комитет по внутреннему транспорту</w:t>
      </w:r>
    </w:p>
    <w:p w14:paraId="294C81E5" w14:textId="77777777" w:rsidR="00D2720C" w:rsidRPr="00577AF5" w:rsidRDefault="00D2720C" w:rsidP="00D2720C">
      <w:pPr>
        <w:spacing w:before="120" w:after="120"/>
        <w:rPr>
          <w:b/>
          <w:sz w:val="24"/>
          <w:szCs w:val="24"/>
        </w:rPr>
      </w:pPr>
      <w:r w:rsidRPr="00577AF5">
        <w:rPr>
          <w:b/>
          <w:bCs/>
          <w:sz w:val="24"/>
          <w:szCs w:val="24"/>
        </w:rPr>
        <w:t>Рабочая группа по перевозкам опасных грузов</w:t>
      </w:r>
    </w:p>
    <w:p w14:paraId="77200388" w14:textId="77777777" w:rsidR="00D2720C" w:rsidRPr="00577AF5" w:rsidRDefault="00D2720C" w:rsidP="00D2720C">
      <w:pPr>
        <w:rPr>
          <w:b/>
          <w:bCs/>
        </w:rPr>
      </w:pPr>
      <w:r>
        <w:rPr>
          <w:b/>
          <w:bCs/>
        </w:rPr>
        <w:t xml:space="preserve">Совместное совещание Комиссии экспертов МПОГ </w:t>
      </w:r>
      <w:r>
        <w:rPr>
          <w:b/>
          <w:bCs/>
        </w:rPr>
        <w:br/>
        <w:t>и Рабочей группы по перевозкам опасных грузов</w:t>
      </w:r>
    </w:p>
    <w:p w14:paraId="22347457" w14:textId="0CCE632B" w:rsidR="00D2720C" w:rsidRPr="00577AF5" w:rsidRDefault="00D2720C" w:rsidP="00D2720C">
      <w:r>
        <w:t>Берн, 10–11 сентября</w:t>
      </w:r>
      <w:r w:rsidRPr="00D2720C">
        <w:t>,</w:t>
      </w:r>
      <w:r>
        <w:t xml:space="preserve"> и Женева, 14–18 сентября</w:t>
      </w:r>
      <w:r w:rsidR="00A60E34">
        <w:t xml:space="preserve"> 2020 года</w:t>
      </w:r>
    </w:p>
    <w:p w14:paraId="515FF1DD" w14:textId="77777777" w:rsidR="00D2720C" w:rsidRPr="00577AF5" w:rsidRDefault="00D2720C" w:rsidP="00D2720C">
      <w:r>
        <w:t>Пункт 2 предварительной повестки дня</w:t>
      </w:r>
    </w:p>
    <w:p w14:paraId="68CE9754" w14:textId="77777777" w:rsidR="00E12C5F" w:rsidRDefault="00D2720C" w:rsidP="00D2720C">
      <w:r>
        <w:rPr>
          <w:b/>
          <w:bCs/>
        </w:rPr>
        <w:t>Цистерны</w:t>
      </w:r>
    </w:p>
    <w:p w14:paraId="58906EDF" w14:textId="77777777" w:rsidR="00D2720C" w:rsidRPr="00577AF5" w:rsidRDefault="00D2720C" w:rsidP="00D2720C">
      <w:pPr>
        <w:pStyle w:val="HChG"/>
        <w:rPr>
          <w:b w:val="0"/>
          <w:bCs/>
          <w:szCs w:val="22"/>
          <w:u w:val="single"/>
        </w:rPr>
      </w:pPr>
      <w:r>
        <w:tab/>
      </w:r>
      <w:r>
        <w:tab/>
      </w:r>
      <w:r>
        <w:rPr>
          <w:bCs/>
        </w:rPr>
        <w:t>Проверка цистерн, у которых истек срок действия промежуточной проверки – замечания по документу ECE/TRANS/WP.15/AC.1/2020/18</w:t>
      </w:r>
    </w:p>
    <w:p w14:paraId="37FA366E" w14:textId="77777777" w:rsidR="00D2720C" w:rsidRPr="00577AF5" w:rsidRDefault="00D2720C" w:rsidP="00D2720C">
      <w:pPr>
        <w:pStyle w:val="H1G"/>
        <w:ind w:right="992"/>
        <w:rPr>
          <w:szCs w:val="24"/>
        </w:rPr>
      </w:pPr>
      <w:r>
        <w:tab/>
      </w:r>
      <w:r>
        <w:tab/>
      </w:r>
      <w:r>
        <w:rPr>
          <w:bCs/>
        </w:rPr>
        <w:t>Передано Международным союзом владельцев грузовых вагонов (МСАГВ)</w:t>
      </w:r>
      <w:r w:rsidRPr="00D2720C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  <w:r w:rsidRPr="00D2720C">
        <w:rPr>
          <w:b w:val="0"/>
          <w:bCs/>
          <w:sz w:val="20"/>
        </w:rPr>
        <w:t xml:space="preserve"> </w:t>
      </w:r>
      <w:r w:rsidRPr="00D2720C">
        <w:rPr>
          <w:rStyle w:val="FootnoteReference"/>
          <w:b w:val="0"/>
          <w:bCs/>
          <w:sz w:val="20"/>
          <w:vertAlign w:val="baseline"/>
        </w:rPr>
        <w:footnoteReference w:customMarkFollows="1" w:id="2"/>
        <w:t>**</w:t>
      </w:r>
      <w:r w:rsidRPr="00D2720C">
        <w:t xml:space="preserve"> </w:t>
      </w:r>
      <w:bookmarkStart w:id="1" w:name="_Hlk27131928"/>
      <w:bookmarkEnd w:id="1"/>
    </w:p>
    <w:p w14:paraId="1506F680" w14:textId="77777777" w:rsidR="00D2720C" w:rsidRPr="00577AF5" w:rsidRDefault="00D2720C" w:rsidP="00D2720C">
      <w:pPr>
        <w:pStyle w:val="SingleTxtG"/>
      </w:pPr>
      <w:r>
        <w:t>1.</w:t>
      </w:r>
      <w:r>
        <w:tab/>
        <w:t>Это предложение уже обсуждалось и было отклонено на совещании постоянной рабочей группы Комиссии экспертов МПОГ в ноябре 2019 года (неофициальный документ INF.9</w:t>
      </w:r>
      <w:r>
        <w:rPr>
          <w:rStyle w:val="FootnoteReference"/>
        </w:rPr>
        <w:footnoteReference w:id="3"/>
      </w:r>
      <w:r w:rsidRPr="00D2720C">
        <w:t>,</w:t>
      </w:r>
      <w:r>
        <w:t xml:space="preserve"> представленный Швейцарией).</w:t>
      </w:r>
    </w:p>
    <w:p w14:paraId="472B4C7D" w14:textId="77777777" w:rsidR="00D2720C" w:rsidRPr="00577AF5" w:rsidRDefault="00D2720C" w:rsidP="00D2720C">
      <w:pPr>
        <w:pStyle w:val="SingleTxtG"/>
      </w:pPr>
      <w:r>
        <w:t>2.</w:t>
      </w:r>
      <w:r>
        <w:tab/>
        <w:t>Существуют различные причины, по которым цистерны могут нуждаться в испытании после истечения срока промежуточной проверки:</w:t>
      </w:r>
    </w:p>
    <w:p w14:paraId="632235E5" w14:textId="77777777" w:rsidR="00D2720C" w:rsidRPr="00577AF5" w:rsidRDefault="00D2720C" w:rsidP="00370CA1">
      <w:pPr>
        <w:pStyle w:val="Bullet1G"/>
        <w:numPr>
          <w:ilvl w:val="0"/>
          <w:numId w:val="0"/>
        </w:numPr>
        <w:ind w:left="2268" w:hanging="567"/>
      </w:pPr>
      <w:r w:rsidRPr="00577AF5">
        <w:t>a)</w:t>
      </w:r>
      <w:r w:rsidRPr="00577AF5">
        <w:tab/>
      </w:r>
      <w:r>
        <w:t>цистерны не используются на момент истечения срока промежуточной проверки;</w:t>
      </w:r>
    </w:p>
    <w:p w14:paraId="327A6DE8" w14:textId="77777777" w:rsidR="00D2720C" w:rsidRPr="00577AF5" w:rsidRDefault="00D2720C" w:rsidP="00370CA1">
      <w:pPr>
        <w:pStyle w:val="Bullet1G"/>
        <w:numPr>
          <w:ilvl w:val="0"/>
          <w:numId w:val="0"/>
        </w:numPr>
        <w:ind w:left="2268" w:hanging="567"/>
      </w:pPr>
      <w:r w:rsidRPr="00577AF5">
        <w:t>b)</w:t>
      </w:r>
      <w:r w:rsidRPr="00577AF5">
        <w:tab/>
      </w:r>
      <w:r>
        <w:t>цистерны возвращаются заказчиком с опозданием (нередко разгрузчик может держать цистерну на своем объекте до разгрузки);</w:t>
      </w:r>
    </w:p>
    <w:p w14:paraId="1DD71D59" w14:textId="77777777" w:rsidR="00D2720C" w:rsidRPr="00577AF5" w:rsidRDefault="00D2720C" w:rsidP="00370CA1">
      <w:pPr>
        <w:pStyle w:val="Bullet1G"/>
        <w:numPr>
          <w:ilvl w:val="0"/>
          <w:numId w:val="0"/>
        </w:numPr>
        <w:ind w:left="2268" w:hanging="567"/>
      </w:pPr>
      <w:r w:rsidRPr="00577AF5">
        <w:t>c)</w:t>
      </w:r>
      <w:r w:rsidRPr="00577AF5">
        <w:tab/>
      </w:r>
      <w:r>
        <w:t>цистерны заполнены до истечения срока, но в связи с длительностью перевозки к месту разгрузки, а затем обратно к месту наполнения срок может быть превышен;</w:t>
      </w:r>
    </w:p>
    <w:p w14:paraId="608D9E6C" w14:textId="77777777" w:rsidR="00D2720C" w:rsidRPr="00577AF5" w:rsidRDefault="00D2720C" w:rsidP="00370CA1">
      <w:pPr>
        <w:pStyle w:val="Bullet1G"/>
        <w:numPr>
          <w:ilvl w:val="0"/>
          <w:numId w:val="0"/>
        </w:numPr>
        <w:ind w:left="2268" w:hanging="567"/>
      </w:pPr>
      <w:r w:rsidRPr="00577AF5">
        <w:t>d)</w:t>
      </w:r>
      <w:r w:rsidRPr="00577AF5">
        <w:tab/>
      </w:r>
      <w:r>
        <w:t>проверка является последним этапом в техническом обслуживании цистерны на тот момент. Цистерна должна быть очищена, должно быть проведено ее техническое обслуживание, для прибытия инспектора требуется время, а также может потребоваться некоторое обсуждение: следует ли менять тип проверки, если инспектор не прибыл вовремя?</w:t>
      </w:r>
    </w:p>
    <w:p w14:paraId="34036CD4" w14:textId="77777777" w:rsidR="00D2720C" w:rsidRPr="00577AF5" w:rsidRDefault="00D2720C" w:rsidP="00D2720C">
      <w:pPr>
        <w:pStyle w:val="SingleTxtG"/>
      </w:pPr>
      <w:r>
        <w:lastRenderedPageBreak/>
        <w:t>3.</w:t>
      </w:r>
      <w:r>
        <w:tab/>
        <w:t>Перевозка цистерн после истечения установленных сроков иногда связана с организационными проблемами, и в техническом отношении цистерны безопасны, даже если они не соответствуют требованиям правил.</w:t>
      </w:r>
    </w:p>
    <w:p w14:paraId="0272C175" w14:textId="77777777" w:rsidR="00D2720C" w:rsidRPr="00577AF5" w:rsidRDefault="00D2720C" w:rsidP="00D2720C">
      <w:pPr>
        <w:pStyle w:val="SingleTxtG"/>
      </w:pPr>
      <w:r>
        <w:t>4.</w:t>
      </w:r>
      <w:r>
        <w:tab/>
        <w:t>Предложение об изменении сроков проведения промежуточных проверок по истечении срока, установленного для такой проверки, потребует более частой очистки цистерн для проведения проверки ее внутреннего состояния.</w:t>
      </w:r>
    </w:p>
    <w:p w14:paraId="07746113" w14:textId="77777777" w:rsidR="00D2720C" w:rsidRPr="00577AF5" w:rsidRDefault="00D2720C" w:rsidP="00D2720C">
      <w:pPr>
        <w:pStyle w:val="SingleTxtG"/>
      </w:pPr>
      <w:r>
        <w:t>5.</w:t>
      </w:r>
      <w:r>
        <w:tab/>
        <w:t>Это приведет не только к увеличению расходов на техническое обслуживание, но и к причинению ущерба окружающей среде в результате очистки.</w:t>
      </w:r>
    </w:p>
    <w:p w14:paraId="16BCD8E5" w14:textId="77777777" w:rsidR="00D2720C" w:rsidRPr="00577AF5" w:rsidRDefault="00D2720C" w:rsidP="00D2720C">
      <w:pPr>
        <w:pStyle w:val="SingleTxtG"/>
      </w:pPr>
      <w:r>
        <w:t>6.</w:t>
      </w:r>
      <w:r>
        <w:tab/>
        <w:t>Предложение, представленное в документе ECE/TRANS/WP.15/AC.1/2020/18, не дает никаких преимуществ с точки зрения безопасности, а лишь увеличивает дополнительные расходы и причинит больше ущерба окружающей среде.</w:t>
      </w:r>
    </w:p>
    <w:p w14:paraId="65D97C22" w14:textId="4EA342AA" w:rsidR="00D2720C" w:rsidRPr="00577AF5" w:rsidRDefault="00D2720C" w:rsidP="00D2720C">
      <w:pPr>
        <w:pStyle w:val="SingleTxtG"/>
      </w:pPr>
      <w:r>
        <w:t>7.</w:t>
      </w:r>
      <w:r>
        <w:tab/>
        <w:t xml:space="preserve">Если имеются некоторые сомнения относительно возможности проведения промежуточной инспекции по истечении установленного срока, МСАГВ предлагает добавить в конце пункта </w:t>
      </w:r>
      <w:r w:rsidR="00DA46DF">
        <w:t>6.8.2.4.3</w:t>
      </w:r>
      <w:r>
        <w:t xml:space="preserve"> следующий текст:</w:t>
      </w:r>
    </w:p>
    <w:p w14:paraId="637C02B9" w14:textId="77777777" w:rsidR="00D2720C" w:rsidRDefault="00D2720C" w:rsidP="00D2720C">
      <w:pPr>
        <w:pStyle w:val="SingleTxtG"/>
        <w:ind w:left="1701" w:hanging="567"/>
      </w:pPr>
      <w:r>
        <w:tab/>
      </w:r>
      <w:r>
        <w:tab/>
        <w:t>«По истечении этого периода срок действия промежуточной проверки, проведенной после истечения установленного срока, не должен превышать срока проведения периодической проверки.».</w:t>
      </w:r>
    </w:p>
    <w:p w14:paraId="2781579D" w14:textId="77777777" w:rsidR="00D2720C" w:rsidRPr="00D2720C" w:rsidRDefault="00D2720C" w:rsidP="00D2720C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2720C" w:rsidRPr="00D2720C" w:rsidSect="00D2720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D3D74" w14:textId="77777777" w:rsidR="00CC124E" w:rsidRPr="00A312BC" w:rsidRDefault="00CC124E" w:rsidP="00A312BC"/>
  </w:endnote>
  <w:endnote w:type="continuationSeparator" w:id="0">
    <w:p w14:paraId="7454C1D1" w14:textId="77777777" w:rsidR="00CC124E" w:rsidRPr="00A312BC" w:rsidRDefault="00CC124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9E3D7" w14:textId="77777777" w:rsidR="00D2720C" w:rsidRPr="00D2720C" w:rsidRDefault="00D2720C">
    <w:pPr>
      <w:pStyle w:val="Footer"/>
    </w:pPr>
    <w:r w:rsidRPr="00D2720C">
      <w:rPr>
        <w:b/>
        <w:sz w:val="18"/>
      </w:rPr>
      <w:fldChar w:fldCharType="begin"/>
    </w:r>
    <w:r w:rsidRPr="00D2720C">
      <w:rPr>
        <w:b/>
        <w:sz w:val="18"/>
      </w:rPr>
      <w:instrText xml:space="preserve"> PAGE  \* MERGEFORMAT </w:instrText>
    </w:r>
    <w:r w:rsidRPr="00D2720C">
      <w:rPr>
        <w:b/>
        <w:sz w:val="18"/>
      </w:rPr>
      <w:fldChar w:fldCharType="separate"/>
    </w:r>
    <w:r w:rsidRPr="00D2720C">
      <w:rPr>
        <w:b/>
        <w:noProof/>
        <w:sz w:val="18"/>
      </w:rPr>
      <w:t>2</w:t>
    </w:r>
    <w:r w:rsidRPr="00D2720C">
      <w:rPr>
        <w:b/>
        <w:sz w:val="18"/>
      </w:rPr>
      <w:fldChar w:fldCharType="end"/>
    </w:r>
    <w:r>
      <w:rPr>
        <w:b/>
        <w:sz w:val="18"/>
      </w:rPr>
      <w:tab/>
    </w:r>
    <w:r>
      <w:t>GE.20-07570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6E979" w14:textId="77777777" w:rsidR="00D2720C" w:rsidRPr="00D2720C" w:rsidRDefault="00D2720C" w:rsidP="00D2720C">
    <w:pPr>
      <w:pStyle w:val="Footer"/>
      <w:tabs>
        <w:tab w:val="clear" w:pos="9639"/>
        <w:tab w:val="right" w:pos="9638"/>
      </w:tabs>
      <w:rPr>
        <w:b/>
        <w:sz w:val="18"/>
      </w:rPr>
    </w:pPr>
    <w:r>
      <w:t>GE.20-07570</w:t>
    </w:r>
    <w:r>
      <w:tab/>
    </w:r>
    <w:r w:rsidRPr="00D2720C">
      <w:rPr>
        <w:b/>
        <w:sz w:val="18"/>
      </w:rPr>
      <w:fldChar w:fldCharType="begin"/>
    </w:r>
    <w:r w:rsidRPr="00D2720C">
      <w:rPr>
        <w:b/>
        <w:sz w:val="18"/>
      </w:rPr>
      <w:instrText xml:space="preserve"> PAGE  \* MERGEFORMAT </w:instrText>
    </w:r>
    <w:r w:rsidRPr="00D2720C">
      <w:rPr>
        <w:b/>
        <w:sz w:val="18"/>
      </w:rPr>
      <w:fldChar w:fldCharType="separate"/>
    </w:r>
    <w:r w:rsidRPr="00D2720C">
      <w:rPr>
        <w:b/>
        <w:noProof/>
        <w:sz w:val="18"/>
      </w:rPr>
      <w:t>3</w:t>
    </w:r>
    <w:r w:rsidRPr="00D2720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33A0B" w14:textId="33861FE1" w:rsidR="00042B72" w:rsidRPr="00D2720C" w:rsidRDefault="00D2720C" w:rsidP="00D2720C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1C24ACB" wp14:editId="65BC115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20-07570  (R)</w:t>
    </w:r>
    <w:r>
      <w:rPr>
        <w:lang w:val="en-US"/>
      </w:rPr>
      <w:t xml:space="preserve">  120620  1</w:t>
    </w:r>
    <w:r w:rsidR="00A60E34">
      <w:t>9</w:t>
    </w:r>
    <w:r>
      <w:rPr>
        <w:lang w:val="en-US"/>
      </w:rPr>
      <w:t>0620</w:t>
    </w:r>
    <w:r>
      <w:br/>
    </w:r>
    <w:r w:rsidRPr="00D2720C">
      <w:rPr>
        <w:rFonts w:ascii="C39T30Lfz" w:hAnsi="C39T30Lfz"/>
        <w:kern w:val="14"/>
        <w:sz w:val="56"/>
      </w:rPr>
      <w:t></w:t>
    </w:r>
    <w:r w:rsidRPr="00D2720C">
      <w:rPr>
        <w:rFonts w:ascii="C39T30Lfz" w:hAnsi="C39T30Lfz"/>
        <w:kern w:val="14"/>
        <w:sz w:val="56"/>
      </w:rPr>
      <w:t></w:t>
    </w:r>
    <w:r w:rsidRPr="00D2720C">
      <w:rPr>
        <w:rFonts w:ascii="C39T30Lfz" w:hAnsi="C39T30Lfz"/>
        <w:kern w:val="14"/>
        <w:sz w:val="56"/>
      </w:rPr>
      <w:t></w:t>
    </w:r>
    <w:r w:rsidRPr="00D2720C">
      <w:rPr>
        <w:rFonts w:ascii="C39T30Lfz" w:hAnsi="C39T30Lfz"/>
        <w:kern w:val="14"/>
        <w:sz w:val="56"/>
      </w:rPr>
      <w:t></w:t>
    </w:r>
    <w:r w:rsidRPr="00D2720C">
      <w:rPr>
        <w:rFonts w:ascii="C39T30Lfz" w:hAnsi="C39T30Lfz"/>
        <w:kern w:val="14"/>
        <w:sz w:val="56"/>
      </w:rPr>
      <w:t></w:t>
    </w:r>
    <w:r w:rsidRPr="00D2720C">
      <w:rPr>
        <w:rFonts w:ascii="C39T30Lfz" w:hAnsi="C39T30Lfz"/>
        <w:kern w:val="14"/>
        <w:sz w:val="56"/>
      </w:rPr>
      <w:t></w:t>
    </w:r>
    <w:r w:rsidRPr="00D2720C">
      <w:rPr>
        <w:rFonts w:ascii="C39T30Lfz" w:hAnsi="C39T30Lfz"/>
        <w:kern w:val="14"/>
        <w:sz w:val="56"/>
      </w:rPr>
      <w:t></w:t>
    </w:r>
    <w:r w:rsidRPr="00D2720C">
      <w:rPr>
        <w:rFonts w:ascii="C39T30Lfz" w:hAnsi="C39T30Lfz"/>
        <w:kern w:val="14"/>
        <w:sz w:val="56"/>
      </w:rPr>
      <w:t></w:t>
    </w:r>
    <w:r w:rsidRPr="00D2720C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BE3AC84" wp14:editId="385E0956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5840C" w14:textId="77777777" w:rsidR="00CC124E" w:rsidRPr="001075E9" w:rsidRDefault="00CC124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2DEF83D" w14:textId="77777777" w:rsidR="00CC124E" w:rsidRDefault="00CC124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A9909BA" w14:textId="77777777" w:rsidR="00D2720C" w:rsidRPr="005E6558" w:rsidRDefault="00D2720C" w:rsidP="00D2720C">
      <w:pPr>
        <w:pStyle w:val="FootnoteText"/>
        <w:rPr>
          <w:sz w:val="20"/>
        </w:rPr>
      </w:pPr>
      <w:r>
        <w:tab/>
      </w:r>
      <w:r w:rsidRPr="00D2720C">
        <w:rPr>
          <w:sz w:val="20"/>
        </w:rPr>
        <w:t>*</w:t>
      </w:r>
      <w:r>
        <w:tab/>
      </w:r>
      <w:r>
        <w:tab/>
        <w:t>2020 год (A/74/6 (раздел 20) и дополнительная информация, подпрограмма 2).</w:t>
      </w:r>
    </w:p>
  </w:footnote>
  <w:footnote w:id="2">
    <w:p w14:paraId="2C16E41C" w14:textId="77777777" w:rsidR="00D2720C" w:rsidRPr="005E6558" w:rsidRDefault="00D2720C" w:rsidP="00D2720C">
      <w:pPr>
        <w:pStyle w:val="FootnoteText"/>
        <w:tabs>
          <w:tab w:val="clear" w:pos="1021"/>
          <w:tab w:val="right" w:pos="993"/>
        </w:tabs>
        <w:rPr>
          <w:sz w:val="20"/>
        </w:rPr>
      </w:pPr>
      <w:r>
        <w:tab/>
      </w:r>
      <w:r w:rsidRPr="00D2720C">
        <w:rPr>
          <w:sz w:val="20"/>
        </w:rPr>
        <w:t>**</w:t>
      </w:r>
      <w:r>
        <w:tab/>
        <w:t>Распространено Межправительственной организацией по международным железнодорожным перевозкам (ОТИФ) под условным обозначением OTIF/RID/RC/2020/45.</w:t>
      </w:r>
    </w:p>
  </w:footnote>
  <w:footnote w:id="3">
    <w:p w14:paraId="0539E137" w14:textId="77777777" w:rsidR="00D2720C" w:rsidRPr="005E6558" w:rsidRDefault="00D2720C" w:rsidP="00D2720C">
      <w:pPr>
        <w:pStyle w:val="FootnoteText"/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  <w:t xml:space="preserve">См. веб-сайт </w:t>
      </w:r>
      <w:hyperlink r:id="rId1" w:history="1">
        <w:r w:rsidRPr="000315B4">
          <w:rPr>
            <w:rStyle w:val="Hyperlink"/>
          </w:rPr>
          <w:t>https://otif.org/fr/?page_id=1079</w:t>
        </w:r>
      </w:hyperlink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DCE32" w14:textId="7B44A533" w:rsidR="00D2720C" w:rsidRPr="00D2720C" w:rsidRDefault="00C31B8D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DF29C5">
      <w:t>ECE/TRANS/WP.15/AC.1/2020/45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62677" w14:textId="13F635D7" w:rsidR="00D2720C" w:rsidRPr="00D2720C" w:rsidRDefault="00C31B8D" w:rsidP="00D2720C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DF29C5">
      <w:t>ECE/TRANS/WP.15/AC.1/2020/45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12"/>
  </w:num>
  <w:num w:numId="3">
    <w:abstractNumId w:val="11"/>
  </w:num>
  <w:num w:numId="4">
    <w:abstractNumId w:val="19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7"/>
  </w:num>
  <w:num w:numId="17">
    <w:abstractNumId w:val="13"/>
  </w:num>
  <w:num w:numId="18">
    <w:abstractNumId w:val="15"/>
  </w:num>
  <w:num w:numId="19">
    <w:abstractNumId w:val="17"/>
  </w:num>
  <w:num w:numId="20">
    <w:abstractNumId w:val="13"/>
  </w:num>
  <w:num w:numId="21">
    <w:abstractNumId w:val="15"/>
  </w:num>
  <w:num w:numId="22">
    <w:abstractNumId w:val="16"/>
    <w:lvlOverride w:ilvl="0">
      <w:lvl w:ilvl="0" w:tplc="8C4849AC">
        <w:start w:val="1"/>
        <w:numFmt w:val="bullet"/>
        <w:lvlText w:val="•"/>
        <w:lvlJc w:val="left"/>
        <w:pPr>
          <w:tabs>
            <w:tab w:val="num" w:pos="1701"/>
          </w:tabs>
          <w:ind w:left="1701" w:hanging="170"/>
        </w:pPr>
        <w:rPr>
          <w:rFonts w:ascii="Times New Roman" w:hAnsi="Times New Roman" w:cs="Times New Roman" w:hint="default"/>
          <w:b w:val="0"/>
          <w:i w:val="0"/>
          <w:sz w:val="20"/>
        </w:rPr>
      </w:lvl>
    </w:lvlOverride>
  </w:num>
  <w:num w:numId="23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24E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70CA1"/>
    <w:rsid w:val="00381C24"/>
    <w:rsid w:val="00387352"/>
    <w:rsid w:val="00387CD4"/>
    <w:rsid w:val="003958D0"/>
    <w:rsid w:val="003A0D43"/>
    <w:rsid w:val="003A48CE"/>
    <w:rsid w:val="003B00E5"/>
    <w:rsid w:val="003D7D67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60E34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31B8D"/>
    <w:rsid w:val="00C60F0C"/>
    <w:rsid w:val="00C71E84"/>
    <w:rsid w:val="00C805C9"/>
    <w:rsid w:val="00C92939"/>
    <w:rsid w:val="00CA1679"/>
    <w:rsid w:val="00CB151C"/>
    <w:rsid w:val="00CC124E"/>
    <w:rsid w:val="00CE5A1A"/>
    <w:rsid w:val="00CF55F6"/>
    <w:rsid w:val="00D2720C"/>
    <w:rsid w:val="00D33D63"/>
    <w:rsid w:val="00D5253A"/>
    <w:rsid w:val="00D873A8"/>
    <w:rsid w:val="00D90028"/>
    <w:rsid w:val="00D90138"/>
    <w:rsid w:val="00D9145B"/>
    <w:rsid w:val="00DA46DF"/>
    <w:rsid w:val="00DD78D1"/>
    <w:rsid w:val="00DE32CD"/>
    <w:rsid w:val="00DF29C5"/>
    <w:rsid w:val="00DF5767"/>
    <w:rsid w:val="00DF71B9"/>
    <w:rsid w:val="00E037A2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E672668"/>
  <w15:docId w15:val="{A99CD5A0-021D-45FC-AF00-257F6C0A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,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D2720C"/>
    <w:rPr>
      <w:lang w:val="ru-RU" w:eastAsia="en-US"/>
    </w:rPr>
  </w:style>
  <w:style w:type="paragraph" w:customStyle="1" w:styleId="ParNoG">
    <w:name w:val="_ParNo_G"/>
    <w:basedOn w:val="SingleTxtG"/>
    <w:qFormat/>
    <w:rsid w:val="00D2720C"/>
    <w:pPr>
      <w:numPr>
        <w:numId w:val="23"/>
      </w:numPr>
      <w:suppressAutoHyphens w:val="0"/>
    </w:pPr>
    <w:rPr>
      <w:lang w:val="en-GB" w:eastAsia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D272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otif.org/fr/?page_id=107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ECE/TRANS/WP.15/AC.1/2020/45</vt:lpstr>
      <vt:lpstr>ECE/TRANS/WP.15/AC.1/2020/45</vt:lpstr>
      <vt:lpstr>A/</vt:lpstr>
    </vt:vector>
  </TitlesOfParts>
  <Company>DCM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ECE/TRANS/WP.15/AC.1/2020/45</dc:title>
  <dc:subject/>
  <dc:creator>Marina KOROTKOVA</dc:creator>
  <cp:keywords/>
  <cp:lastModifiedBy>Christine Barrio-Champeau</cp:lastModifiedBy>
  <cp:revision>2</cp:revision>
  <cp:lastPrinted>2020-06-19T07:21:00Z</cp:lastPrinted>
  <dcterms:created xsi:type="dcterms:W3CDTF">2020-07-01T10:25:00Z</dcterms:created>
  <dcterms:modified xsi:type="dcterms:W3CDTF">2020-07-01T10:25:00Z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