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E22C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E22C5" w:rsidP="00EE22C5">
            <w:pPr>
              <w:jc w:val="right"/>
            </w:pPr>
            <w:r w:rsidRPr="00EE22C5">
              <w:rPr>
                <w:sz w:val="40"/>
              </w:rPr>
              <w:t>ECE</w:t>
            </w:r>
            <w:r>
              <w:t>/TRANS/WP.15/AC.1/2020/45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E22C5" w:rsidP="00C97039">
            <w:pPr>
              <w:spacing w:before="240"/>
            </w:pPr>
            <w:r>
              <w:t>Distr. générale</w:t>
            </w:r>
          </w:p>
          <w:p w:rsidR="00EE22C5" w:rsidRDefault="00EE22C5" w:rsidP="00EE22C5">
            <w:pPr>
              <w:spacing w:line="240" w:lineRule="exact"/>
            </w:pPr>
            <w:r>
              <w:t>8 juin 2020</w:t>
            </w:r>
          </w:p>
          <w:p w:rsidR="00EE22C5" w:rsidRDefault="00EE22C5" w:rsidP="00EE22C5">
            <w:pPr>
              <w:spacing w:line="240" w:lineRule="exact"/>
            </w:pPr>
            <w:r>
              <w:t>Français</w:t>
            </w:r>
          </w:p>
          <w:p w:rsidR="00EE22C5" w:rsidRPr="00DB58B5" w:rsidRDefault="00EE22C5" w:rsidP="00EE22C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E22C5" w:rsidRPr="009E01B8" w:rsidRDefault="00EE22C5" w:rsidP="00AF0CB5">
      <w:pPr>
        <w:spacing w:before="120"/>
        <w:rPr>
          <w:b/>
          <w:sz w:val="24"/>
          <w:szCs w:val="24"/>
        </w:rPr>
      </w:pPr>
      <w:r w:rsidRPr="009E01B8">
        <w:rPr>
          <w:b/>
          <w:sz w:val="24"/>
          <w:szCs w:val="24"/>
        </w:rPr>
        <w:t>Groupe de travail des transports de marchandises dangereuses</w:t>
      </w:r>
    </w:p>
    <w:p w:rsidR="00EE22C5" w:rsidRPr="00926E87" w:rsidRDefault="00EE22C5"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32178A" w:rsidRPr="00DF13D8" w:rsidRDefault="0032178A" w:rsidP="0032178A">
      <w:pPr>
        <w:spacing w:before="120"/>
        <w:rPr>
          <w:lang w:val="fr-FR"/>
        </w:rPr>
      </w:pPr>
      <w:r>
        <w:rPr>
          <w:lang w:val="fr-FR"/>
        </w:rPr>
        <w:t>Berne, 10 et 11 septembre 2020 et Genève, 14-18 septembre 2020</w:t>
      </w:r>
    </w:p>
    <w:p w:rsidR="0032178A" w:rsidRPr="00DF13D8" w:rsidRDefault="0032178A" w:rsidP="0032178A">
      <w:pPr>
        <w:rPr>
          <w:lang w:val="fr-FR"/>
        </w:rPr>
      </w:pPr>
      <w:r>
        <w:rPr>
          <w:lang w:val="fr-FR"/>
        </w:rPr>
        <w:t>Point 2 de l’ordre du jour provisoire</w:t>
      </w:r>
    </w:p>
    <w:p w:rsidR="0032178A" w:rsidRPr="00DF13D8" w:rsidRDefault="0032178A" w:rsidP="0032178A">
      <w:pPr>
        <w:rPr>
          <w:b/>
          <w:bCs/>
          <w:lang w:val="fr-FR"/>
        </w:rPr>
      </w:pPr>
      <w:r>
        <w:rPr>
          <w:b/>
          <w:bCs/>
          <w:lang w:val="fr-FR"/>
        </w:rPr>
        <w:t>Citernes</w:t>
      </w:r>
    </w:p>
    <w:p w:rsidR="0032178A" w:rsidRPr="00DF13D8" w:rsidRDefault="0032178A" w:rsidP="002269AF">
      <w:pPr>
        <w:pStyle w:val="HChG"/>
        <w:rPr>
          <w:szCs w:val="22"/>
          <w:u w:val="single"/>
          <w:lang w:val="fr-FR"/>
        </w:rPr>
      </w:pPr>
      <w:r>
        <w:rPr>
          <w:lang w:val="fr-FR"/>
        </w:rPr>
        <w:tab/>
      </w:r>
      <w:r>
        <w:rPr>
          <w:lang w:val="fr-FR"/>
        </w:rPr>
        <w:tab/>
        <w:t xml:space="preserve">Contrôle des citernes dont la période de validité du contrôle intermédiaire a expiré </w:t>
      </w:r>
      <w:r w:rsidR="002269AF">
        <w:rPr>
          <w:lang w:val="fr-FR"/>
        </w:rPr>
        <w:t>−</w:t>
      </w:r>
      <w:r>
        <w:rPr>
          <w:lang w:val="fr-FR"/>
        </w:rPr>
        <w:t xml:space="preserve"> observations relatives au document ECE/TRANS/WP.15/AC.1/2020/18</w:t>
      </w:r>
    </w:p>
    <w:p w:rsidR="0032178A" w:rsidRPr="00DF13D8" w:rsidRDefault="0032178A" w:rsidP="002269AF">
      <w:pPr>
        <w:pStyle w:val="H1G"/>
        <w:rPr>
          <w:szCs w:val="24"/>
          <w:lang w:val="fr-FR"/>
        </w:rPr>
      </w:pPr>
      <w:r>
        <w:rPr>
          <w:lang w:val="fr-FR"/>
        </w:rPr>
        <w:tab/>
      </w:r>
      <w:r>
        <w:rPr>
          <w:lang w:val="fr-FR"/>
        </w:rPr>
        <w:tab/>
        <w:t>Communication de l’Union internationale des wagons privés (UIC)</w:t>
      </w:r>
      <w:r w:rsidRPr="002269AF">
        <w:rPr>
          <w:rStyle w:val="FootnoteReference"/>
          <w:b w:val="0"/>
          <w:bCs/>
          <w:sz w:val="20"/>
          <w:vertAlign w:val="baseline"/>
          <w:lang w:val="fr-FR"/>
        </w:rPr>
        <w:footnoteReference w:customMarkFollows="1" w:id="2"/>
        <w:t>*</w:t>
      </w:r>
      <w:r w:rsidRPr="002269AF">
        <w:rPr>
          <w:b w:val="0"/>
          <w:bCs/>
          <w:sz w:val="20"/>
          <w:vertAlign w:val="superscript"/>
          <w:lang w:val="fr-FR"/>
        </w:rPr>
        <w:t>,</w:t>
      </w:r>
      <w:r w:rsidR="002269AF">
        <w:rPr>
          <w:b w:val="0"/>
          <w:bCs/>
          <w:sz w:val="20"/>
          <w:lang w:val="fr-FR"/>
        </w:rPr>
        <w:t xml:space="preserve"> </w:t>
      </w:r>
      <w:r w:rsidRPr="002269AF">
        <w:rPr>
          <w:rStyle w:val="FootnoteReference"/>
          <w:b w:val="0"/>
          <w:bCs/>
          <w:sz w:val="20"/>
          <w:vertAlign w:val="baseline"/>
          <w:lang w:val="fr-FR"/>
        </w:rPr>
        <w:footnoteReference w:customMarkFollows="1" w:id="3"/>
        <w:t>**</w:t>
      </w:r>
      <w:bookmarkStart w:id="1" w:name="_Hlk27131928"/>
      <w:bookmarkEnd w:id="1"/>
    </w:p>
    <w:p w:rsidR="0032178A" w:rsidRPr="00DF13D8" w:rsidRDefault="0032178A" w:rsidP="002269AF">
      <w:pPr>
        <w:pStyle w:val="SingleTxtG"/>
        <w:rPr>
          <w:lang w:val="fr-FR"/>
        </w:rPr>
      </w:pPr>
      <w:r>
        <w:rPr>
          <w:lang w:val="fr-FR"/>
        </w:rPr>
        <w:t>1.</w:t>
      </w:r>
      <w:r>
        <w:rPr>
          <w:lang w:val="fr-FR"/>
        </w:rPr>
        <w:tab/>
        <w:t>La présente proposition a déjà été examinée et rejetée à la réunion du groupe de travail permanent de la Commission d’experts du RID en novembre 2019 (document informel INF.9</w:t>
      </w:r>
      <w:r w:rsidRPr="005E04F6">
        <w:rPr>
          <w:rStyle w:val="FootnoteReference"/>
        </w:rPr>
        <w:footnoteReference w:id="4"/>
      </w:r>
      <w:r>
        <w:rPr>
          <w:lang w:val="fr-FR"/>
        </w:rPr>
        <w:t xml:space="preserve"> de la Suisse).</w:t>
      </w:r>
    </w:p>
    <w:p w:rsidR="0032178A" w:rsidRPr="00DF13D8" w:rsidRDefault="0032178A" w:rsidP="00A33300">
      <w:pPr>
        <w:pStyle w:val="SingleTxtG"/>
        <w:keepNext/>
        <w:rPr>
          <w:lang w:val="fr-FR"/>
        </w:rPr>
      </w:pPr>
      <w:r>
        <w:rPr>
          <w:lang w:val="fr-FR"/>
        </w:rPr>
        <w:t>2.</w:t>
      </w:r>
      <w:r>
        <w:rPr>
          <w:lang w:val="fr-FR"/>
        </w:rPr>
        <w:tab/>
        <w:t>Plusieurs raisons peuvent justifier qu’une citerne soit éprouvée après l’expiration de la période de validité du contrôle intermédiaire</w:t>
      </w:r>
      <w:r w:rsidR="00A33300">
        <w:rPr>
          <w:lang w:val="fr-FR"/>
        </w:rPr>
        <w:t> </w:t>
      </w:r>
      <w:r>
        <w:rPr>
          <w:lang w:val="fr-FR"/>
        </w:rPr>
        <w:t>:</w:t>
      </w:r>
    </w:p>
    <w:p w:rsidR="0032178A" w:rsidRPr="00DF13D8" w:rsidRDefault="0032178A" w:rsidP="00A33300">
      <w:pPr>
        <w:pStyle w:val="SingleTxtG"/>
        <w:ind w:firstLine="567"/>
        <w:rPr>
          <w:lang w:val="fr-FR"/>
        </w:rPr>
      </w:pPr>
      <w:r w:rsidRPr="00DF13D8">
        <w:rPr>
          <w:lang w:val="fr-FR"/>
        </w:rPr>
        <w:t>a)</w:t>
      </w:r>
      <w:r w:rsidRPr="00DF13D8">
        <w:rPr>
          <w:lang w:val="fr-FR"/>
        </w:rPr>
        <w:tab/>
      </w:r>
      <w:r w:rsidRPr="00A33300">
        <w:rPr>
          <w:lang w:val="fr-FR"/>
        </w:rPr>
        <w:t>La citerne n’était pas en service</w:t>
      </w:r>
      <w:r>
        <w:rPr>
          <w:lang w:val="fr-FR"/>
        </w:rPr>
        <w:t xml:space="preserve"> à l’époque de la date limite de validité du contrôle intermédiaire ;</w:t>
      </w:r>
    </w:p>
    <w:p w:rsidR="0032178A" w:rsidRPr="00DF13D8" w:rsidRDefault="0032178A" w:rsidP="00A33300">
      <w:pPr>
        <w:pStyle w:val="SingleTxtG"/>
        <w:ind w:firstLine="567"/>
        <w:rPr>
          <w:lang w:val="fr-FR"/>
        </w:rPr>
      </w:pPr>
      <w:r w:rsidRPr="00DF13D8">
        <w:rPr>
          <w:lang w:val="fr-FR"/>
        </w:rPr>
        <w:t>b)</w:t>
      </w:r>
      <w:r w:rsidRPr="00DF13D8">
        <w:rPr>
          <w:lang w:val="fr-FR"/>
        </w:rPr>
        <w:tab/>
      </w:r>
      <w:r>
        <w:rPr>
          <w:lang w:val="fr-FR"/>
        </w:rPr>
        <w:t>La citerne a été renvoyée tardivement par le client (il s’agit souvent du déchargeur, qui peut la garder dans ses locaux jusqu’au déchargement) ;</w:t>
      </w:r>
    </w:p>
    <w:p w:rsidR="0032178A" w:rsidRPr="00DF13D8" w:rsidRDefault="0032178A" w:rsidP="00A33300">
      <w:pPr>
        <w:pStyle w:val="SingleTxtG"/>
        <w:ind w:firstLine="567"/>
        <w:rPr>
          <w:lang w:val="fr-FR"/>
        </w:rPr>
      </w:pPr>
      <w:r w:rsidRPr="00DF13D8">
        <w:rPr>
          <w:lang w:val="fr-FR"/>
        </w:rPr>
        <w:t>c)</w:t>
      </w:r>
      <w:r w:rsidRPr="00DF13D8">
        <w:rPr>
          <w:lang w:val="fr-FR"/>
        </w:rPr>
        <w:tab/>
      </w:r>
      <w:r>
        <w:rPr>
          <w:lang w:val="fr-FR"/>
        </w:rPr>
        <w:t>La citerne a été remplie avant l’expiration de la période de validité mais, en raison du temps écoulé pendant le trajet vers le lieu de déchargement et le retour au lieu de remplissage, la date limite a pu  être dépassée ;</w:t>
      </w:r>
    </w:p>
    <w:p w:rsidR="0032178A" w:rsidRPr="00DF13D8" w:rsidRDefault="0032178A" w:rsidP="00A33300">
      <w:pPr>
        <w:pStyle w:val="SingleTxtG"/>
        <w:ind w:firstLine="567"/>
        <w:rPr>
          <w:lang w:val="fr-FR"/>
        </w:rPr>
      </w:pPr>
      <w:r w:rsidRPr="00DF13D8">
        <w:rPr>
          <w:lang w:val="fr-FR"/>
        </w:rPr>
        <w:t>d)</w:t>
      </w:r>
      <w:r w:rsidRPr="00DF13D8">
        <w:rPr>
          <w:lang w:val="fr-FR"/>
        </w:rPr>
        <w:tab/>
      </w:r>
      <w:r>
        <w:rPr>
          <w:lang w:val="fr-FR"/>
        </w:rPr>
        <w:t>L’inspection constitue la dernière étape de l’entretien de la citerne à un moment donné. Celle-ci doit être nettoyée et entretenue, et un certain temps s’écoule avant que la personne chargée de l’inspection arrive. Il faudra peut-être également déterminer s’il convient de changer le type de contrôle lorsqu’une personne chargée de l’inspection n’est pas disponible à temps.</w:t>
      </w:r>
    </w:p>
    <w:p w:rsidR="0032178A" w:rsidRPr="00DF13D8" w:rsidRDefault="0032178A" w:rsidP="005F2455">
      <w:pPr>
        <w:pStyle w:val="SingleTxtG"/>
        <w:rPr>
          <w:lang w:val="fr-FR"/>
        </w:rPr>
      </w:pPr>
      <w:r>
        <w:rPr>
          <w:lang w:val="fr-FR"/>
        </w:rPr>
        <w:lastRenderedPageBreak/>
        <w:t>3.</w:t>
      </w:r>
      <w:r>
        <w:rPr>
          <w:lang w:val="fr-FR"/>
        </w:rPr>
        <w:tab/>
        <w:t>Il arrive parfois que des citernes dont la période de validité du contrôle intermédiaire a expiré soient utilisées pour un transport, en raison de problèmes d’organisation, ces citernes étant sûres du point de vue technique, bien que non conformes à la réglementation.</w:t>
      </w:r>
    </w:p>
    <w:p w:rsidR="0032178A" w:rsidRPr="00DF13D8" w:rsidRDefault="0032178A" w:rsidP="005F2455">
      <w:pPr>
        <w:pStyle w:val="SingleTxtG"/>
        <w:rPr>
          <w:lang w:val="fr-FR"/>
        </w:rPr>
      </w:pPr>
      <w:r>
        <w:rPr>
          <w:lang w:val="fr-FR"/>
        </w:rPr>
        <w:t>4.</w:t>
      </w:r>
      <w:r>
        <w:rPr>
          <w:lang w:val="fr-FR"/>
        </w:rPr>
        <w:tab/>
        <w:t>Si elle est adoptée, la proposition visant à reprogrammer les contrôles intermédiaires après l’expiration de la période de validité de ces contrôles nécessitera que les citernes soient nettoyées plus souvent afin qu’elles puissent être inspectées depuis l’intérieur.</w:t>
      </w:r>
    </w:p>
    <w:p w:rsidR="0032178A" w:rsidRPr="00DF13D8" w:rsidRDefault="0032178A" w:rsidP="005F2455">
      <w:pPr>
        <w:pStyle w:val="SingleTxtG"/>
        <w:rPr>
          <w:lang w:val="fr-FR"/>
        </w:rPr>
      </w:pPr>
      <w:r>
        <w:rPr>
          <w:lang w:val="fr-FR"/>
        </w:rPr>
        <w:t>5.</w:t>
      </w:r>
      <w:r>
        <w:rPr>
          <w:lang w:val="fr-FR"/>
        </w:rPr>
        <w:tab/>
        <w:t>Cela aura pour effet non seulement d’accroître les coûts d’entretien, mais aussi les dommages causés à l’environnement du fait de ces nettoyages.</w:t>
      </w:r>
    </w:p>
    <w:p w:rsidR="0032178A" w:rsidRPr="00DF13D8" w:rsidRDefault="0032178A" w:rsidP="005F2455">
      <w:pPr>
        <w:pStyle w:val="SingleTxtG"/>
        <w:rPr>
          <w:lang w:val="fr-FR"/>
        </w:rPr>
      </w:pPr>
      <w:r>
        <w:rPr>
          <w:lang w:val="fr-FR"/>
        </w:rPr>
        <w:t>6.</w:t>
      </w:r>
      <w:r>
        <w:rPr>
          <w:lang w:val="fr-FR"/>
        </w:rPr>
        <w:tab/>
        <w:t>La proposition figurant dans le document ECE/TRANS/WP.15/AC.1/2020/18 n’apporte aucun avantage sur le plan de la sécurité ; elle ne fait qu’alourdir les coûts et causer davantage de dégâts à l’environnement.</w:t>
      </w:r>
    </w:p>
    <w:p w:rsidR="0032178A" w:rsidRPr="00DF13D8" w:rsidRDefault="0032178A" w:rsidP="00563E25">
      <w:pPr>
        <w:pStyle w:val="SingleTxtG"/>
        <w:keepNext/>
        <w:rPr>
          <w:lang w:val="fr-FR"/>
        </w:rPr>
      </w:pPr>
      <w:r>
        <w:rPr>
          <w:lang w:val="fr-FR"/>
        </w:rPr>
        <w:t>7.</w:t>
      </w:r>
      <w:r>
        <w:rPr>
          <w:lang w:val="fr-FR"/>
        </w:rPr>
        <w:tab/>
        <w:t xml:space="preserve">Au cas où il y aurait </w:t>
      </w:r>
      <w:r w:rsidR="00600A9B">
        <w:rPr>
          <w:lang w:val="fr-FR"/>
        </w:rPr>
        <w:t xml:space="preserve">un </w:t>
      </w:r>
      <w:r>
        <w:rPr>
          <w:lang w:val="fr-FR"/>
        </w:rPr>
        <w:t>doute sur la possibilité d’effectuer une inspection intermédiaire lorsque la période de validité du contrôle intermédiaire a expiré, l’UIP propose d’ajouter, à la fin du 6.8.2.4.3, le libellé suivant</w:t>
      </w:r>
      <w:r w:rsidR="00600A9B">
        <w:rPr>
          <w:lang w:val="fr-FR"/>
        </w:rPr>
        <w:t> </w:t>
      </w:r>
      <w:r>
        <w:rPr>
          <w:lang w:val="fr-FR"/>
        </w:rPr>
        <w:t>:</w:t>
      </w:r>
    </w:p>
    <w:p w:rsidR="0032178A" w:rsidRPr="00DF13D8" w:rsidRDefault="0032178A" w:rsidP="00600A9B">
      <w:pPr>
        <w:pStyle w:val="SingleTxtG"/>
        <w:ind w:left="1701" w:firstLine="567"/>
        <w:rPr>
          <w:lang w:val="fr-FR"/>
        </w:rPr>
      </w:pPr>
      <w:r>
        <w:rPr>
          <w:lang w:val="fr-FR"/>
        </w:rPr>
        <w:t>« À l’expiration de ce délai, la validité d’un contrôle intermédiaire effectué après la date limite ne dépassera pas le délai prévu pour la réalisation du contrôle périodique. ».</w:t>
      </w:r>
    </w:p>
    <w:p w:rsidR="00F9573C" w:rsidRPr="0032178A" w:rsidRDefault="0032178A" w:rsidP="0032178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32178A" w:rsidSect="00EE22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37" w:rsidRDefault="00003C37" w:rsidP="00F95C08">
      <w:pPr>
        <w:spacing w:line="240" w:lineRule="auto"/>
      </w:pPr>
    </w:p>
  </w:endnote>
  <w:endnote w:type="continuationSeparator" w:id="0">
    <w:p w:rsidR="00003C37" w:rsidRPr="00AC3823" w:rsidRDefault="00003C37" w:rsidP="00AC3823">
      <w:pPr>
        <w:pStyle w:val="Footer"/>
      </w:pPr>
    </w:p>
  </w:endnote>
  <w:endnote w:type="continuationNotice" w:id="1">
    <w:p w:rsidR="00003C37" w:rsidRDefault="00003C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C5" w:rsidRPr="00EE22C5" w:rsidRDefault="00EE22C5" w:rsidP="00EE22C5">
    <w:pPr>
      <w:pStyle w:val="Footer"/>
      <w:tabs>
        <w:tab w:val="right" w:pos="9638"/>
      </w:tabs>
    </w:pPr>
    <w:r w:rsidRPr="00EE22C5">
      <w:rPr>
        <w:b/>
        <w:sz w:val="18"/>
      </w:rPr>
      <w:fldChar w:fldCharType="begin"/>
    </w:r>
    <w:r w:rsidRPr="00EE22C5">
      <w:rPr>
        <w:b/>
        <w:sz w:val="18"/>
      </w:rPr>
      <w:instrText xml:space="preserve"> PAGE  \* MERGEFORMAT </w:instrText>
    </w:r>
    <w:r w:rsidRPr="00EE22C5">
      <w:rPr>
        <w:b/>
        <w:sz w:val="18"/>
      </w:rPr>
      <w:fldChar w:fldCharType="separate"/>
    </w:r>
    <w:r w:rsidRPr="00EE22C5">
      <w:rPr>
        <w:b/>
        <w:noProof/>
        <w:sz w:val="18"/>
      </w:rPr>
      <w:t>2</w:t>
    </w:r>
    <w:r w:rsidRPr="00EE22C5">
      <w:rPr>
        <w:b/>
        <w:sz w:val="18"/>
      </w:rPr>
      <w:fldChar w:fldCharType="end"/>
    </w:r>
    <w:r>
      <w:rPr>
        <w:b/>
        <w:sz w:val="18"/>
      </w:rPr>
      <w:tab/>
    </w:r>
    <w:r>
      <w:t>GE.20-07570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C5" w:rsidRPr="00EE22C5" w:rsidRDefault="00EE22C5" w:rsidP="00EE22C5">
    <w:pPr>
      <w:pStyle w:val="Footer"/>
      <w:tabs>
        <w:tab w:val="right" w:pos="9638"/>
      </w:tabs>
      <w:rPr>
        <w:b/>
        <w:sz w:val="18"/>
      </w:rPr>
    </w:pPr>
    <w:r>
      <w:t>GE.20-07570</w:t>
    </w:r>
    <w:r>
      <w:tab/>
    </w:r>
    <w:r w:rsidRPr="00EE22C5">
      <w:rPr>
        <w:b/>
        <w:sz w:val="18"/>
      </w:rPr>
      <w:fldChar w:fldCharType="begin"/>
    </w:r>
    <w:r w:rsidRPr="00EE22C5">
      <w:rPr>
        <w:b/>
        <w:sz w:val="18"/>
      </w:rPr>
      <w:instrText xml:space="preserve"> PAGE  \* MERGEFORMAT </w:instrText>
    </w:r>
    <w:r w:rsidRPr="00EE22C5">
      <w:rPr>
        <w:b/>
        <w:sz w:val="18"/>
      </w:rPr>
      <w:fldChar w:fldCharType="separate"/>
    </w:r>
    <w:r w:rsidRPr="00EE22C5">
      <w:rPr>
        <w:b/>
        <w:noProof/>
        <w:sz w:val="18"/>
      </w:rPr>
      <w:t>3</w:t>
    </w:r>
    <w:r w:rsidRPr="00EE22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E22C5" w:rsidRDefault="00EE22C5" w:rsidP="00EE22C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20-07570  (F)    010720    010720</w:t>
    </w:r>
    <w:r>
      <w:rPr>
        <w:sz w:val="20"/>
      </w:rPr>
      <w:br/>
    </w:r>
    <w:r w:rsidRPr="00EE22C5">
      <w:rPr>
        <w:rFonts w:ascii="C39T30Lfz" w:hAnsi="C39T30Lfz"/>
        <w:sz w:val="56"/>
      </w:rPr>
      <w:t></w:t>
    </w:r>
    <w:r w:rsidRPr="00EE22C5">
      <w:rPr>
        <w:rFonts w:ascii="C39T30Lfz" w:hAnsi="C39T30Lfz"/>
        <w:sz w:val="56"/>
      </w:rPr>
      <w:t></w:t>
    </w:r>
    <w:r w:rsidRPr="00EE22C5">
      <w:rPr>
        <w:rFonts w:ascii="C39T30Lfz" w:hAnsi="C39T30Lfz"/>
        <w:sz w:val="56"/>
      </w:rPr>
      <w:t></w:t>
    </w:r>
    <w:r w:rsidRPr="00EE22C5">
      <w:rPr>
        <w:rFonts w:ascii="C39T30Lfz" w:hAnsi="C39T30Lfz"/>
        <w:sz w:val="56"/>
      </w:rPr>
      <w:t></w:t>
    </w:r>
    <w:r w:rsidRPr="00EE22C5">
      <w:rPr>
        <w:rFonts w:ascii="C39T30Lfz" w:hAnsi="C39T30Lfz"/>
        <w:sz w:val="56"/>
      </w:rPr>
      <w:t></w:t>
    </w:r>
    <w:r w:rsidRPr="00EE22C5">
      <w:rPr>
        <w:rFonts w:ascii="C39T30Lfz" w:hAnsi="C39T30Lfz"/>
        <w:sz w:val="56"/>
      </w:rPr>
      <w:t></w:t>
    </w:r>
    <w:r w:rsidRPr="00EE22C5">
      <w:rPr>
        <w:rFonts w:ascii="C39T30Lfz" w:hAnsi="C39T30Lfz"/>
        <w:sz w:val="56"/>
      </w:rPr>
      <w:t></w:t>
    </w:r>
    <w:r w:rsidRPr="00EE22C5">
      <w:rPr>
        <w:rFonts w:ascii="C39T30Lfz" w:hAnsi="C39T30Lfz"/>
        <w:sz w:val="56"/>
      </w:rPr>
      <w:t></w:t>
    </w:r>
    <w:r w:rsidRPr="00EE22C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37" w:rsidRPr="00AC3823" w:rsidRDefault="00003C37" w:rsidP="00AC3823">
      <w:pPr>
        <w:pStyle w:val="Footer"/>
        <w:tabs>
          <w:tab w:val="right" w:pos="2155"/>
        </w:tabs>
        <w:spacing w:after="80" w:line="240" w:lineRule="atLeast"/>
        <w:ind w:left="680"/>
        <w:rPr>
          <w:u w:val="single"/>
        </w:rPr>
      </w:pPr>
      <w:r>
        <w:rPr>
          <w:u w:val="single"/>
        </w:rPr>
        <w:tab/>
      </w:r>
    </w:p>
  </w:footnote>
  <w:footnote w:type="continuationSeparator" w:id="0">
    <w:p w:rsidR="00003C37" w:rsidRPr="00AC3823" w:rsidRDefault="00003C37" w:rsidP="00AC3823">
      <w:pPr>
        <w:pStyle w:val="Footer"/>
        <w:tabs>
          <w:tab w:val="right" w:pos="2155"/>
        </w:tabs>
        <w:spacing w:after="80" w:line="240" w:lineRule="atLeast"/>
        <w:ind w:left="680"/>
        <w:rPr>
          <w:u w:val="single"/>
        </w:rPr>
      </w:pPr>
      <w:r>
        <w:rPr>
          <w:u w:val="single"/>
        </w:rPr>
        <w:tab/>
      </w:r>
    </w:p>
  </w:footnote>
  <w:footnote w:type="continuationNotice" w:id="1">
    <w:p w:rsidR="00003C37" w:rsidRPr="00AC3823" w:rsidRDefault="00003C37">
      <w:pPr>
        <w:spacing w:line="240" w:lineRule="auto"/>
        <w:rPr>
          <w:sz w:val="2"/>
          <w:szCs w:val="2"/>
        </w:rPr>
      </w:pPr>
    </w:p>
  </w:footnote>
  <w:footnote w:id="2">
    <w:p w:rsidR="0032178A" w:rsidRPr="00DF13D8" w:rsidRDefault="0032178A" w:rsidP="0032178A">
      <w:pPr>
        <w:pStyle w:val="FootnoteText"/>
        <w:rPr>
          <w:sz w:val="20"/>
          <w:lang w:val="fr-FR"/>
        </w:rPr>
      </w:pPr>
      <w:r>
        <w:rPr>
          <w:lang w:val="fr-FR"/>
        </w:rPr>
        <w:tab/>
      </w:r>
      <w:r w:rsidRPr="005F2455">
        <w:rPr>
          <w:sz w:val="20"/>
          <w:lang w:val="fr-FR"/>
        </w:rPr>
        <w:t>*</w:t>
      </w:r>
      <w:r>
        <w:rPr>
          <w:lang w:val="fr-FR"/>
        </w:rPr>
        <w:tab/>
        <w:t>Sous-programme 2 du budget-programme pour 2020 (A/74/6 (</w:t>
      </w:r>
      <w:r w:rsidR="005F2455">
        <w:rPr>
          <w:lang w:val="fr-FR"/>
        </w:rPr>
        <w:t>s</w:t>
      </w:r>
      <w:r>
        <w:rPr>
          <w:lang w:val="fr-FR"/>
        </w:rPr>
        <w:t>ect. 20)) et informations complémentaires.</w:t>
      </w:r>
    </w:p>
  </w:footnote>
  <w:footnote w:id="3">
    <w:p w:rsidR="0032178A" w:rsidRPr="00DF13D8" w:rsidRDefault="0032178A" w:rsidP="0032178A">
      <w:pPr>
        <w:pStyle w:val="FootnoteText"/>
        <w:rPr>
          <w:sz w:val="20"/>
          <w:lang w:val="fr-FR"/>
        </w:rPr>
      </w:pPr>
      <w:r>
        <w:rPr>
          <w:lang w:val="fr-FR"/>
        </w:rPr>
        <w:tab/>
      </w:r>
      <w:r w:rsidRPr="005F2455">
        <w:rPr>
          <w:sz w:val="20"/>
          <w:lang w:val="fr-FR"/>
        </w:rPr>
        <w:t>**</w:t>
      </w:r>
      <w:r>
        <w:rPr>
          <w:lang w:val="fr-FR"/>
        </w:rPr>
        <w:tab/>
        <w:t>Diffusée par l</w:t>
      </w:r>
      <w:r w:rsidR="005F2455">
        <w:rPr>
          <w:lang w:val="fr-FR"/>
        </w:rPr>
        <w:t>’</w:t>
      </w:r>
      <w:r>
        <w:rPr>
          <w:lang w:val="fr-FR"/>
        </w:rPr>
        <w:t>Organisation intergouvernementale pour les transports internationaux ferroviaires sous la cote OTIF/RID/RC/2020/45.</w:t>
      </w:r>
    </w:p>
  </w:footnote>
  <w:footnote w:id="4">
    <w:p w:rsidR="0032178A" w:rsidRPr="00DF13D8" w:rsidRDefault="0032178A" w:rsidP="0032178A">
      <w:pPr>
        <w:pStyle w:val="FootnoteText"/>
        <w:rPr>
          <w:lang w:val="fr-FR"/>
        </w:rPr>
      </w:pPr>
      <w:r>
        <w:rPr>
          <w:lang w:val="fr-FR"/>
        </w:rPr>
        <w:tab/>
      </w:r>
      <w:r w:rsidRPr="005E04F6">
        <w:rPr>
          <w:rStyle w:val="FootnoteReference"/>
        </w:rPr>
        <w:footnoteRef/>
      </w:r>
      <w:r>
        <w:rPr>
          <w:lang w:val="fr-FR"/>
        </w:rPr>
        <w:t xml:space="preserve"> </w:t>
      </w:r>
      <w:r>
        <w:rPr>
          <w:lang w:val="fr-FR"/>
        </w:rPr>
        <w:tab/>
        <w:t>Voir le site Web à l</w:t>
      </w:r>
      <w:r w:rsidR="005F2455">
        <w:rPr>
          <w:lang w:val="fr-FR"/>
        </w:rPr>
        <w:t>’</w:t>
      </w:r>
      <w:r>
        <w:rPr>
          <w:lang w:val="fr-FR"/>
        </w:rPr>
        <w:t>adresse suivante</w:t>
      </w:r>
      <w:r w:rsidR="005F2455">
        <w:rPr>
          <w:lang w:val="fr-FR"/>
        </w:rPr>
        <w:t> </w:t>
      </w:r>
      <w:r>
        <w:rPr>
          <w:lang w:val="fr-FR"/>
        </w:rPr>
        <w:t xml:space="preserve">: </w:t>
      </w:r>
      <w:hyperlink r:id="rId1" w:history="1">
        <w:r w:rsidRPr="005F2455">
          <w:rPr>
            <w:rStyle w:val="Hyperlink"/>
            <w:color w:val="auto"/>
            <w:lang w:val="fr-FR"/>
          </w:rPr>
          <w:t>https://otif.org/fr/?page_id=1079</w:t>
        </w:r>
      </w:hyperlink>
      <w:r w:rsidR="005F245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C5" w:rsidRPr="00EE22C5" w:rsidRDefault="00EB54B9">
    <w:pPr>
      <w:pStyle w:val="Header"/>
    </w:pPr>
    <w:r>
      <w:fldChar w:fldCharType="begin"/>
    </w:r>
    <w:r>
      <w:instrText xml:space="preserve"> TITLE  \* MERGEFORMAT </w:instrText>
    </w:r>
    <w:r>
      <w:fldChar w:fldCharType="separate"/>
    </w:r>
    <w:r w:rsidR="00EE22C5">
      <w:t>ECE/TRANS/WP.15/AC.1/2020/45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C5" w:rsidRPr="00EE22C5" w:rsidRDefault="00EB54B9" w:rsidP="00EE22C5">
    <w:pPr>
      <w:pStyle w:val="Header"/>
      <w:jc w:val="right"/>
    </w:pPr>
    <w:r>
      <w:fldChar w:fldCharType="begin"/>
    </w:r>
    <w:r>
      <w:instrText xml:space="preserve"> TITLE  \* MERGEFORMAT </w:instrText>
    </w:r>
    <w:r>
      <w:fldChar w:fldCharType="separate"/>
    </w:r>
    <w:r w:rsidR="00EE22C5">
      <w:t>ECE/TRANS/WP.15/AC.1/2020/45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37"/>
    <w:rsid w:val="00003C37"/>
    <w:rsid w:val="00017F94"/>
    <w:rsid w:val="00023842"/>
    <w:rsid w:val="000334F9"/>
    <w:rsid w:val="00045FEB"/>
    <w:rsid w:val="0007796D"/>
    <w:rsid w:val="000B7790"/>
    <w:rsid w:val="00111F2F"/>
    <w:rsid w:val="0014365E"/>
    <w:rsid w:val="00143C66"/>
    <w:rsid w:val="00176178"/>
    <w:rsid w:val="001F525A"/>
    <w:rsid w:val="00223272"/>
    <w:rsid w:val="002269AF"/>
    <w:rsid w:val="0024779E"/>
    <w:rsid w:val="00257168"/>
    <w:rsid w:val="002744B8"/>
    <w:rsid w:val="002832AC"/>
    <w:rsid w:val="002D7C93"/>
    <w:rsid w:val="00305801"/>
    <w:rsid w:val="0032178A"/>
    <w:rsid w:val="003916DE"/>
    <w:rsid w:val="00421996"/>
    <w:rsid w:val="00441C3B"/>
    <w:rsid w:val="00446FE5"/>
    <w:rsid w:val="00452396"/>
    <w:rsid w:val="004837D8"/>
    <w:rsid w:val="004E2EED"/>
    <w:rsid w:val="004E468C"/>
    <w:rsid w:val="005505B7"/>
    <w:rsid w:val="00563E25"/>
    <w:rsid w:val="00573BE5"/>
    <w:rsid w:val="00586ED3"/>
    <w:rsid w:val="00596AA9"/>
    <w:rsid w:val="005F2455"/>
    <w:rsid w:val="00600A9B"/>
    <w:rsid w:val="0071601D"/>
    <w:rsid w:val="007A62E6"/>
    <w:rsid w:val="007F20FA"/>
    <w:rsid w:val="0080684C"/>
    <w:rsid w:val="00871C75"/>
    <w:rsid w:val="008776DC"/>
    <w:rsid w:val="009446C0"/>
    <w:rsid w:val="009705C8"/>
    <w:rsid w:val="009C1CF4"/>
    <w:rsid w:val="009F6B74"/>
    <w:rsid w:val="00A3029F"/>
    <w:rsid w:val="00A30353"/>
    <w:rsid w:val="00A33300"/>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B54B9"/>
    <w:rsid w:val="00EE22C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30D4DC-641A-4C94-8AC7-62D09A10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2178A"/>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F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tif.org/fr/?page_id=1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ECE/TRANS/WP.15/AC.1/2020/45</vt:lpstr>
      <vt:lpstr>ECE/TRANS/WP.15/AC.1/2020/45</vt:lpstr>
    </vt:vector>
  </TitlesOfParts>
  <Company>DCM</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ECE/TRANS/WP.15/AC.1/2020/45</dc:title>
  <dc:subject/>
  <dc:creator>Nathalie VITTOZ</dc:creator>
  <cp:keywords/>
  <cp:lastModifiedBy>Christine Barrio-Champeau</cp:lastModifiedBy>
  <cp:revision>2</cp:revision>
  <cp:lastPrinted>2014-05-14T10:59:00Z</cp:lastPrinted>
  <dcterms:created xsi:type="dcterms:W3CDTF">2020-07-01T10:27:00Z</dcterms:created>
  <dcterms:modified xsi:type="dcterms:W3CDTF">2020-07-01T10:27:00Z</dcterms:modified>
</cp:coreProperties>
</file>