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60B5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60B57" w:rsidP="00460B57">
            <w:pPr>
              <w:jc w:val="right"/>
            </w:pPr>
            <w:r w:rsidRPr="00460B57">
              <w:rPr>
                <w:sz w:val="40"/>
              </w:rPr>
              <w:t>ECE</w:t>
            </w:r>
            <w:r>
              <w:t>/TRANS/WP.15/AC.1/2020/44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60B57" w:rsidP="00C97039">
            <w:pPr>
              <w:spacing w:before="240"/>
            </w:pPr>
            <w:r>
              <w:t>Distr. générale</w:t>
            </w:r>
          </w:p>
          <w:p w:rsidR="00460B57" w:rsidRDefault="00460B57" w:rsidP="00460B57">
            <w:pPr>
              <w:spacing w:line="240" w:lineRule="exact"/>
            </w:pPr>
            <w:r>
              <w:t>15 juin 2020</w:t>
            </w:r>
          </w:p>
          <w:p w:rsidR="00460B57" w:rsidRDefault="00460B57" w:rsidP="00460B57">
            <w:pPr>
              <w:spacing w:line="240" w:lineRule="exact"/>
            </w:pPr>
            <w:r>
              <w:t>Français</w:t>
            </w:r>
          </w:p>
          <w:p w:rsidR="00460B57" w:rsidRPr="00DB58B5" w:rsidRDefault="00460B57" w:rsidP="00460B57">
            <w:pPr>
              <w:spacing w:line="240" w:lineRule="exact"/>
            </w:pPr>
            <w:r>
              <w:t>Original</w:t>
            </w:r>
            <w:r w:rsidR="006E6BCB">
              <w:t> </w:t>
            </w:r>
            <w:r>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E183E" w:rsidRPr="00DE183E" w:rsidRDefault="00DE183E" w:rsidP="00DE183E">
      <w:pPr>
        <w:spacing w:before="120" w:after="120"/>
        <w:rPr>
          <w:b/>
          <w:sz w:val="24"/>
          <w:szCs w:val="24"/>
        </w:rPr>
      </w:pPr>
      <w:r w:rsidRPr="00DE183E">
        <w:rPr>
          <w:b/>
          <w:bCs/>
          <w:sz w:val="24"/>
          <w:szCs w:val="24"/>
        </w:rPr>
        <w:t xml:space="preserve">Groupe de travail des transports </w:t>
      </w:r>
      <w:r w:rsidR="00F12E3C">
        <w:rPr>
          <w:b/>
          <w:bCs/>
          <w:sz w:val="24"/>
          <w:szCs w:val="24"/>
        </w:rPr>
        <w:br/>
      </w:r>
      <w:r w:rsidRPr="00DE183E">
        <w:rPr>
          <w:b/>
          <w:bCs/>
          <w:sz w:val="24"/>
          <w:szCs w:val="24"/>
        </w:rPr>
        <w:t>de marchandises dangereuses</w:t>
      </w:r>
    </w:p>
    <w:p w:rsidR="00DE183E" w:rsidRPr="00372EDA" w:rsidRDefault="00DE183E" w:rsidP="00DE183E">
      <w:pPr>
        <w:rPr>
          <w:b/>
          <w:bCs/>
        </w:rPr>
      </w:pPr>
      <w:r w:rsidRPr="00372EDA">
        <w:rPr>
          <w:b/>
          <w:bCs/>
        </w:rPr>
        <w:t xml:space="preserve">Réunion commune de la Commission d’experts du RID et du </w:t>
      </w:r>
      <w:r>
        <w:rPr>
          <w:b/>
          <w:bCs/>
        </w:rPr>
        <w:br/>
      </w:r>
      <w:r w:rsidRPr="00372EDA">
        <w:rPr>
          <w:b/>
          <w:bCs/>
        </w:rPr>
        <w:t>Groupe de travail des transports de marchandises dangereuses</w:t>
      </w:r>
    </w:p>
    <w:p w:rsidR="00DE183E" w:rsidRPr="00372EDA" w:rsidRDefault="00DE183E" w:rsidP="00DE183E">
      <w:r w:rsidRPr="00372EDA">
        <w:t>Berne, 10 et 11 septembre 2020</w:t>
      </w:r>
      <w:r w:rsidR="00F12E3C">
        <w:t>,</w:t>
      </w:r>
      <w:r w:rsidRPr="00372EDA">
        <w:t xml:space="preserve"> et Genève, 14-18 septembre</w:t>
      </w:r>
      <w:r w:rsidR="00F12E3C">
        <w:t xml:space="preserve"> 2020</w:t>
      </w:r>
    </w:p>
    <w:p w:rsidR="00DE183E" w:rsidRPr="00372EDA" w:rsidRDefault="00DE183E" w:rsidP="00DE183E">
      <w:r w:rsidRPr="00372EDA">
        <w:t>Point 6 de l’ordre du jour provisoire</w:t>
      </w:r>
    </w:p>
    <w:p w:rsidR="00DE183E" w:rsidRPr="00372EDA" w:rsidRDefault="00DE183E" w:rsidP="00DE183E">
      <w:pPr>
        <w:spacing w:line="240" w:lineRule="exact"/>
        <w:rPr>
          <w:b/>
          <w:bCs/>
          <w:sz w:val="28"/>
          <w:szCs w:val="28"/>
        </w:rPr>
      </w:pPr>
      <w:r w:rsidRPr="00372EDA">
        <w:rPr>
          <w:b/>
          <w:bCs/>
        </w:rPr>
        <w:t>Rapports des groupes de travail informels</w:t>
      </w:r>
    </w:p>
    <w:p w:rsidR="00DE183E" w:rsidRPr="00372EDA" w:rsidRDefault="00DE183E" w:rsidP="00DE183E">
      <w:pPr>
        <w:pStyle w:val="HChG"/>
      </w:pPr>
      <w:r w:rsidRPr="00372EDA">
        <w:tab/>
      </w:r>
      <w:r w:rsidRPr="00372EDA">
        <w:tab/>
        <w:t>Groupe de travail informel des définitions des termes « risque » et « danger »</w:t>
      </w:r>
    </w:p>
    <w:p w:rsidR="00DE183E" w:rsidRPr="00372EDA" w:rsidRDefault="00DE183E" w:rsidP="00DE183E">
      <w:pPr>
        <w:pStyle w:val="H1G"/>
      </w:pPr>
      <w:r w:rsidRPr="00372EDA">
        <w:tab/>
      </w:r>
      <w:r w:rsidRPr="00372EDA">
        <w:tab/>
      </w:r>
      <w:r w:rsidRPr="00372EDA">
        <w:rPr>
          <w:bCs/>
        </w:rPr>
        <w:t>Communication du Gouvernement roumain au nom du groupe</w:t>
      </w:r>
      <w:r w:rsidRPr="00DE183E">
        <w:rPr>
          <w:b w:val="0"/>
          <w:bCs/>
          <w:sz w:val="20"/>
        </w:rPr>
        <w:footnoteReference w:customMarkFollows="1" w:id="2"/>
        <w:t>*</w:t>
      </w:r>
      <w:r w:rsidRPr="00DE183E">
        <w:rPr>
          <w:b w:val="0"/>
          <w:bCs/>
          <w:sz w:val="20"/>
          <w:vertAlign w:val="superscript"/>
        </w:rPr>
        <w:t>,</w:t>
      </w:r>
      <w:r>
        <w:rPr>
          <w:b w:val="0"/>
          <w:bCs/>
          <w:sz w:val="20"/>
        </w:rPr>
        <w:t xml:space="preserve"> </w:t>
      </w:r>
      <w:r w:rsidRPr="00DE183E">
        <w:rPr>
          <w:b w:val="0"/>
          <w:bCs/>
          <w:sz w:val="20"/>
        </w:rPr>
        <w:footnoteReference w:customMarkFollows="1" w:id="3"/>
        <w:t>**</w:t>
      </w:r>
    </w:p>
    <w:p w:rsidR="00DE183E" w:rsidRPr="00372EDA" w:rsidRDefault="00DE183E" w:rsidP="00DE183E">
      <w:pPr>
        <w:pStyle w:val="HChG"/>
      </w:pPr>
      <w:r w:rsidRPr="00372EDA">
        <w:tab/>
      </w:r>
      <w:r w:rsidRPr="00372EDA">
        <w:tab/>
      </w:r>
      <w:r w:rsidRPr="00372EDA">
        <w:rPr>
          <w:bCs/>
        </w:rPr>
        <w:t>Introduction</w:t>
      </w:r>
      <w:bookmarkStart w:id="1" w:name="_Hlk532555907"/>
      <w:bookmarkEnd w:id="1"/>
    </w:p>
    <w:p w:rsidR="00DE183E" w:rsidRPr="00372EDA" w:rsidRDefault="00DE183E" w:rsidP="00DE183E">
      <w:pPr>
        <w:pStyle w:val="SingleTxtG"/>
      </w:pPr>
      <w:r w:rsidRPr="00372EDA">
        <w:t>1.</w:t>
      </w:r>
      <w:r w:rsidRPr="00372EDA">
        <w:tab/>
        <w:t xml:space="preserve">Sur la base du mandat de la Réunion commune de la Commission d’experts du RID et du Groupe de travail des transports de marchandises dangereuses, le groupe de travail informel </w:t>
      </w:r>
      <w:r w:rsidRPr="00372EDA">
        <w:rPr>
          <w:bCs/>
        </w:rPr>
        <w:t xml:space="preserve">des définitions des termes « risque » et « danger » </w:t>
      </w:r>
      <w:r w:rsidRPr="00372EDA">
        <w:t>a tenu sa troisième réunion à La</w:t>
      </w:r>
      <w:r w:rsidR="00F12E3C">
        <w:t> </w:t>
      </w:r>
      <w:r w:rsidRPr="00372EDA">
        <w:t>Haye (Pays-Bas) du 10 au 12</w:t>
      </w:r>
      <w:r>
        <w:t> </w:t>
      </w:r>
      <w:r w:rsidRPr="00372EDA">
        <w:t>février 2020, à l’invitation des Pays-Bas et sous la direction de la Roumanie.</w:t>
      </w:r>
    </w:p>
    <w:p w:rsidR="00DE183E" w:rsidRPr="00372EDA" w:rsidRDefault="00DE183E" w:rsidP="00DE183E">
      <w:pPr>
        <w:pStyle w:val="SingleTxtG"/>
      </w:pPr>
      <w:r w:rsidRPr="00372EDA">
        <w:t>2.</w:t>
      </w:r>
      <w:r w:rsidRPr="00372EDA">
        <w:tab/>
        <w:t>Le groupe de travail informel a réuni des experts représentant les Parties contractantes et les États parties, les organisations internationales et les professionnels du secteur, comme en atteste la liste des participants jointe.</w:t>
      </w:r>
    </w:p>
    <w:p w:rsidR="00DE183E" w:rsidRPr="00372EDA" w:rsidRDefault="00DE183E" w:rsidP="00DE183E">
      <w:pPr>
        <w:pStyle w:val="SingleTxtG"/>
      </w:pPr>
      <w:r w:rsidRPr="00372EDA">
        <w:t>3.</w:t>
      </w:r>
      <w:r w:rsidRPr="00372EDA">
        <w:tab/>
        <w:t>À cette réunion, le groupe s’est concentré sur l’élaboration de propositions concernant divers passages des Recommandations relatives au transport des marchandises dangereuses et de son annexe, le Règlement type, dans lesquels figurent les termes « risque » et « danger ».</w:t>
      </w:r>
    </w:p>
    <w:p w:rsidR="00DE183E" w:rsidRPr="00372EDA" w:rsidRDefault="00DE183E" w:rsidP="00DE183E">
      <w:pPr>
        <w:pStyle w:val="SingleTxtG"/>
      </w:pPr>
      <w:r w:rsidRPr="00372EDA">
        <w:t>4.</w:t>
      </w:r>
      <w:r w:rsidRPr="00372EDA">
        <w:tab/>
        <w:t>Comme préconisé à la Réunion commune, ces propositions seront analysées à la prochaine session du Sous-Comité d’experts du transport des marchandises dangereuses.</w:t>
      </w:r>
    </w:p>
    <w:p w:rsidR="00DE183E" w:rsidRPr="00372EDA" w:rsidRDefault="00DE183E" w:rsidP="00DE183E">
      <w:pPr>
        <w:pStyle w:val="SingleTxtG"/>
        <w:keepNext/>
      </w:pPr>
      <w:r w:rsidRPr="00372EDA">
        <w:lastRenderedPageBreak/>
        <w:t>5.</w:t>
      </w:r>
      <w:r w:rsidRPr="00372EDA">
        <w:tab/>
        <w:t>Dans le rapport de la cinquante-cinquième session (été</w:t>
      </w:r>
      <w:r>
        <w:t xml:space="preserve"> </w:t>
      </w:r>
      <w:r w:rsidRPr="00372EDA">
        <w:t>2019) du Sous-Comité d’experts du transport des marchandises dangereuses (ST/SG/AC.10/C.3/110, par.</w:t>
      </w:r>
      <w:r>
        <w:t> </w:t>
      </w:r>
      <w:r w:rsidRPr="00372EDA">
        <w:t>83 à 86), on trouve la mention suivante</w:t>
      </w:r>
      <w:r>
        <w:t> :</w:t>
      </w:r>
    </w:p>
    <w:p w:rsidR="00DE183E" w:rsidRPr="00372EDA" w:rsidRDefault="00DE183E" w:rsidP="00DE183E">
      <w:pPr>
        <w:pStyle w:val="SingleTxtG"/>
        <w:ind w:left="1701"/>
      </w:pPr>
      <w:r w:rsidRPr="00372EDA">
        <w:t>« 84.</w:t>
      </w:r>
      <w:r w:rsidRPr="00372EDA">
        <w:tab/>
        <w:t>Il a été souligné que des discussions à ce sujet étaient en cours à la Réunion commune et que leur résultat devrait être pris en compte dans toute future proposition visant à modifier le Règlement type. ».</w:t>
      </w:r>
    </w:p>
    <w:p w:rsidR="00DE183E" w:rsidRPr="00372EDA" w:rsidRDefault="00DE183E" w:rsidP="00DE183E">
      <w:pPr>
        <w:pStyle w:val="SingleTxtG"/>
      </w:pPr>
      <w:r w:rsidRPr="00372EDA">
        <w:t>6.</w:t>
      </w:r>
      <w:r w:rsidRPr="00372EDA">
        <w:tab/>
        <w:t>La totalité de la correspondance et des documents de travail ont été distribués et ont fait l’objet de discussions entre les membres du groupe de travail informel et ceux du nouveau groupe de travail par correspondance établi sous l’autorité du Sous-Comité d’experts du transport des marchandises dangereuses, comme mentionné dans le rapport de la cinquante-cinquième session de cet organe (ST/SG/AC.10/C.3/110)</w:t>
      </w:r>
      <w:r>
        <w:t> :</w:t>
      </w:r>
    </w:p>
    <w:p w:rsidR="00DE183E" w:rsidRPr="00372EDA" w:rsidRDefault="00DE183E" w:rsidP="00DE183E">
      <w:pPr>
        <w:pStyle w:val="SingleTxtG"/>
        <w:ind w:left="1701"/>
      </w:pPr>
      <w:r w:rsidRPr="00372EDA">
        <w:t>« 86.</w:t>
      </w:r>
      <w:r w:rsidRPr="00372EDA">
        <w:tab/>
        <w:t xml:space="preserve">Il a été décidé de créer un groupe de travail par correspondance dirigé par la Roumanie et il a été suggéré, pour faciliter le travail, que les participants s’entendent sur un certain nombre de points, notamment sur une interprétation commune des termes </w:t>
      </w:r>
      <w:r w:rsidR="00F12E3C">
        <w:t>“</w:t>
      </w:r>
      <w:r w:rsidRPr="00372EDA">
        <w:t>risque</w:t>
      </w:r>
      <w:r w:rsidR="00F12E3C">
        <w:t>”</w:t>
      </w:r>
      <w:r w:rsidRPr="00372EDA">
        <w:t xml:space="preserve"> et </w:t>
      </w:r>
      <w:r w:rsidR="00F12E3C">
        <w:t>“</w:t>
      </w:r>
      <w:r w:rsidRPr="00372EDA">
        <w:t>danger</w:t>
      </w:r>
      <w:r w:rsidR="00F12E3C">
        <w:t>”</w:t>
      </w:r>
      <w:r w:rsidRPr="00372EDA">
        <w:t xml:space="preserve"> et sur le fait qu’il fallait éviter d’utiliser ces termes dans des contextes ne correspondant pas à leur définition précise. ».</w:t>
      </w:r>
    </w:p>
    <w:p w:rsidR="00DE183E" w:rsidRPr="00372EDA" w:rsidRDefault="00DE183E" w:rsidP="00DE183E">
      <w:pPr>
        <w:pStyle w:val="HChG"/>
        <w:rPr>
          <w:b w:val="0"/>
        </w:rPr>
      </w:pPr>
      <w:r w:rsidRPr="00372EDA">
        <w:tab/>
      </w:r>
      <w:r w:rsidRPr="00372EDA">
        <w:tab/>
      </w:r>
      <w:r w:rsidRPr="00372EDA">
        <w:rPr>
          <w:bCs/>
        </w:rPr>
        <w:t>Questions nécessitant une attention particulière</w:t>
      </w:r>
    </w:p>
    <w:p w:rsidR="00DE183E" w:rsidRPr="00372EDA" w:rsidRDefault="00DE183E" w:rsidP="00DE183E">
      <w:pPr>
        <w:pStyle w:val="SingleTxtG"/>
      </w:pPr>
      <w:r w:rsidRPr="00372EDA">
        <w:t>7.</w:t>
      </w:r>
      <w:r w:rsidRPr="00372EDA">
        <w:tab/>
        <w:t>Parmi les différentes propositions avancées, le groupe souhaite mettre en lumière les questions suivantes</w:t>
      </w:r>
      <w:r>
        <w:t> :</w:t>
      </w:r>
    </w:p>
    <w:p w:rsidR="00DE183E" w:rsidRPr="00372EDA" w:rsidRDefault="00DE183E" w:rsidP="00DE183E">
      <w:pPr>
        <w:pStyle w:val="SingleTxtG"/>
        <w:ind w:left="2268" w:hanging="567"/>
      </w:pPr>
      <w:r w:rsidRPr="00372EDA">
        <w:t>a)</w:t>
      </w:r>
      <w:r w:rsidRPr="00372EDA">
        <w:tab/>
        <w:t>Dans le chapitre</w:t>
      </w:r>
      <w:r>
        <w:t xml:space="preserve"> </w:t>
      </w:r>
      <w:r w:rsidRPr="00372EDA">
        <w:t>1.4 du Règlement type (chap</w:t>
      </w:r>
      <w:r>
        <w:t>. </w:t>
      </w:r>
      <w:r w:rsidRPr="00372EDA">
        <w:t>1.10 du RID, de l’ADR e</w:t>
      </w:r>
      <w:r w:rsidR="00F12E3C">
        <w:t>t</w:t>
      </w:r>
      <w:r w:rsidRPr="00372EDA">
        <w:t xml:space="preserve"> de l’ADN), en ce qui concerne la dénomination générique « marchandises dangereuses », le groupe propose de conserver le terme en anglais et de donner trois possibilités pour la version française</w:t>
      </w:r>
      <w:r>
        <w:t> :</w:t>
      </w:r>
    </w:p>
    <w:p w:rsidR="00DE183E" w:rsidRPr="00372EDA" w:rsidRDefault="00DE183E" w:rsidP="00DE183E">
      <w:pPr>
        <w:pStyle w:val="Bullet2G"/>
        <w:ind w:left="2552" w:hanging="284"/>
      </w:pPr>
      <w:r w:rsidRPr="00372EDA">
        <w:t>En anglais, conserver</w:t>
      </w:r>
      <w:r>
        <w:t> :</w:t>
      </w:r>
      <w:r w:rsidRPr="00372EDA">
        <w:t xml:space="preserve"> « </w:t>
      </w:r>
      <w:r w:rsidRPr="00372EDA">
        <w:rPr>
          <w:b/>
          <w:bCs/>
        </w:rPr>
        <w:t xml:space="preserve">high </w:t>
      </w:r>
      <w:proofErr w:type="spellStart"/>
      <w:r w:rsidRPr="00372EDA">
        <w:rPr>
          <w:b/>
          <w:bCs/>
        </w:rPr>
        <w:t>consequence</w:t>
      </w:r>
      <w:proofErr w:type="spellEnd"/>
      <w:r w:rsidRPr="00372EDA">
        <w:rPr>
          <w:b/>
          <w:bCs/>
        </w:rPr>
        <w:t xml:space="preserve"> </w:t>
      </w:r>
      <w:proofErr w:type="spellStart"/>
      <w:r w:rsidRPr="00372EDA">
        <w:rPr>
          <w:b/>
          <w:bCs/>
        </w:rPr>
        <w:t>dangerous</w:t>
      </w:r>
      <w:proofErr w:type="spellEnd"/>
      <w:r w:rsidRPr="00372EDA">
        <w:rPr>
          <w:b/>
          <w:bCs/>
        </w:rPr>
        <w:t xml:space="preserve"> </w:t>
      </w:r>
      <w:proofErr w:type="spellStart"/>
      <w:r w:rsidRPr="00372EDA">
        <w:rPr>
          <w:b/>
          <w:bCs/>
        </w:rPr>
        <w:t>goods</w:t>
      </w:r>
      <w:proofErr w:type="spellEnd"/>
      <w:r w:rsidRPr="00372EDA">
        <w:t> »</w:t>
      </w:r>
      <w:r>
        <w:t> ;</w:t>
      </w:r>
    </w:p>
    <w:p w:rsidR="00DE183E" w:rsidRPr="00372EDA" w:rsidRDefault="00DE183E" w:rsidP="00DE183E">
      <w:pPr>
        <w:pStyle w:val="Bullet2G"/>
        <w:ind w:left="2552" w:hanging="284"/>
      </w:pPr>
      <w:r w:rsidRPr="00372EDA">
        <w:t>En français, continuer d’utiliser « </w:t>
      </w:r>
      <w:r w:rsidRPr="00372EDA">
        <w:rPr>
          <w:b/>
          <w:bCs/>
        </w:rPr>
        <w:t>marchandises dangereuses</w:t>
      </w:r>
      <w:r w:rsidRPr="00372EDA">
        <w:t xml:space="preserve"> </w:t>
      </w:r>
      <w:r w:rsidRPr="00372EDA">
        <w:rPr>
          <w:b/>
          <w:bCs/>
          <w:u w:val="single"/>
        </w:rPr>
        <w:t>à haut risque</w:t>
      </w:r>
      <w:r w:rsidRPr="00372EDA">
        <w:rPr>
          <w:u w:val="single"/>
        </w:rPr>
        <w:t> »</w:t>
      </w:r>
      <w:r w:rsidRPr="00372EDA">
        <w:t xml:space="preserve"> ou remplacer cette expression par « </w:t>
      </w:r>
      <w:r w:rsidRPr="00372EDA">
        <w:rPr>
          <w:b/>
          <w:bCs/>
        </w:rPr>
        <w:t>marchandises dangereuses</w:t>
      </w:r>
      <w:r w:rsidR="00F12E3C">
        <w:rPr>
          <w:b/>
          <w:bCs/>
        </w:rPr>
        <w:t xml:space="preserve"> </w:t>
      </w:r>
      <w:r w:rsidRPr="00372EDA">
        <w:rPr>
          <w:b/>
          <w:bCs/>
        </w:rPr>
        <w:t xml:space="preserve">à </w:t>
      </w:r>
      <w:r w:rsidRPr="00372EDA">
        <w:rPr>
          <w:b/>
          <w:bCs/>
          <w:u w:val="single"/>
        </w:rPr>
        <w:t>potentiel de conséquences graves</w:t>
      </w:r>
      <w:r w:rsidRPr="00372EDA">
        <w:t> » ou par sa forme abrégée « </w:t>
      </w:r>
      <w:r w:rsidRPr="00372EDA">
        <w:rPr>
          <w:b/>
          <w:bCs/>
        </w:rPr>
        <w:t xml:space="preserve">marchandises dangereuses à </w:t>
      </w:r>
      <w:r w:rsidRPr="00372EDA">
        <w:rPr>
          <w:b/>
          <w:bCs/>
          <w:u w:val="single"/>
        </w:rPr>
        <w:t>conséquences graves</w:t>
      </w:r>
      <w:r w:rsidRPr="00372EDA">
        <w:t> ».</w:t>
      </w:r>
    </w:p>
    <w:p w:rsidR="00DE183E" w:rsidRPr="00372EDA" w:rsidRDefault="00DE183E" w:rsidP="00DE183E">
      <w:pPr>
        <w:pStyle w:val="SingleTxtG"/>
        <w:ind w:left="2268"/>
      </w:pPr>
      <w:r w:rsidRPr="00372EDA">
        <w:t>En outre, la proposition initialement formulée par le groupe après la deuxième réunion (11 au 13 juin</w:t>
      </w:r>
      <w:r>
        <w:t xml:space="preserve"> </w:t>
      </w:r>
      <w:r w:rsidRPr="00372EDA">
        <w:t>2018) et soumise dans le document informel</w:t>
      </w:r>
      <w:r w:rsidR="00F12E3C">
        <w:t xml:space="preserve"> </w:t>
      </w:r>
      <w:r w:rsidRPr="00372EDA">
        <w:t>INF.10 dans le cadre de la session de septembre</w:t>
      </w:r>
      <w:r>
        <w:t xml:space="preserve"> </w:t>
      </w:r>
      <w:r w:rsidRPr="00372EDA">
        <w:t>2018 de la Réunion commune visait à harmoniser la version française avec la version anglaise mais il était alors question de remplacer « </w:t>
      </w:r>
      <w:r w:rsidRPr="00372EDA">
        <w:rPr>
          <w:b/>
          <w:bCs/>
        </w:rPr>
        <w:t xml:space="preserve">marchandises dangereuses à </w:t>
      </w:r>
      <w:r w:rsidRPr="00372EDA">
        <w:rPr>
          <w:b/>
          <w:bCs/>
          <w:u w:val="single"/>
        </w:rPr>
        <w:t>haut risque</w:t>
      </w:r>
      <w:r w:rsidRPr="00372EDA">
        <w:t> » par « </w:t>
      </w:r>
      <w:r w:rsidRPr="00372EDA">
        <w:rPr>
          <w:b/>
          <w:bCs/>
        </w:rPr>
        <w:t xml:space="preserve">marchandises dangereuses à </w:t>
      </w:r>
      <w:r w:rsidRPr="00372EDA">
        <w:rPr>
          <w:b/>
          <w:bCs/>
          <w:u w:val="single"/>
        </w:rPr>
        <w:t>haut potentiel de dommages</w:t>
      </w:r>
      <w:r w:rsidRPr="00372EDA">
        <w:rPr>
          <w:u w:val="single"/>
        </w:rPr>
        <w:t> »</w:t>
      </w:r>
      <w:r w:rsidRPr="00372EDA">
        <w:t>.</w:t>
      </w:r>
    </w:p>
    <w:p w:rsidR="00DE183E" w:rsidRPr="00372EDA" w:rsidRDefault="00DE183E" w:rsidP="00DE183E">
      <w:pPr>
        <w:pStyle w:val="SingleTxtG"/>
        <w:ind w:left="2268" w:hanging="567"/>
      </w:pPr>
      <w:r w:rsidRPr="00372EDA">
        <w:t>b)</w:t>
      </w:r>
      <w:r w:rsidRPr="00372EDA">
        <w:tab/>
        <w:t>Dans la version française du Règlement type, le terme « risque » est également décliné sous sa forme verbale (« risquer ») de trois manières</w:t>
      </w:r>
      <w:r>
        <w:t> :</w:t>
      </w:r>
    </w:p>
    <w:p w:rsidR="00DE183E" w:rsidRDefault="00DE183E" w:rsidP="00DE183E">
      <w:pPr>
        <w:pStyle w:val="Bullet2G"/>
        <w:ind w:left="2552" w:hanging="284"/>
      </w:pPr>
      <w:r w:rsidRPr="00DE183E">
        <w:rPr>
          <w:b/>
          <w:bCs/>
          <w:i/>
          <w:iCs/>
        </w:rPr>
        <w:t xml:space="preserve">risquant </w:t>
      </w:r>
      <w:r w:rsidRPr="00372EDA">
        <w:t>aux 4.1.3.6.4, 4.1.6.1.8, 6.2.1.1.6, 6.2.1.3.2, 6.6.4.4.6, 6.6.4.5.7, 6.6.4.5.8 et 6.7.5.3.1</w:t>
      </w:r>
      <w:r>
        <w:t> ;</w:t>
      </w:r>
    </w:p>
    <w:p w:rsidR="00DE183E" w:rsidRDefault="00DE183E" w:rsidP="00DE183E">
      <w:pPr>
        <w:pStyle w:val="Bullet2G"/>
        <w:ind w:left="2552" w:hanging="284"/>
      </w:pPr>
      <w:r w:rsidRPr="00DE183E">
        <w:rPr>
          <w:b/>
          <w:bCs/>
          <w:i/>
          <w:iCs/>
        </w:rPr>
        <w:t xml:space="preserve">risquent </w:t>
      </w:r>
      <w:r w:rsidRPr="00372EDA">
        <w:t>au 1.4.3.1.1, au nota</w:t>
      </w:r>
      <w:r w:rsidR="00F12E3C">
        <w:t xml:space="preserve"> </w:t>
      </w:r>
      <w:r w:rsidRPr="00372EDA">
        <w:t>3 sous le titre du chapitre 2.1 et aux 2.6.2.1.3, 3.5.3.2, 4.2.1.6, 6.1.4.9.2 et 6.3.5.2.2</w:t>
      </w:r>
      <w:r>
        <w:t> ;</w:t>
      </w:r>
      <w:r w:rsidRPr="00372EDA">
        <w:t xml:space="preserve"> et</w:t>
      </w:r>
    </w:p>
    <w:p w:rsidR="00DE183E" w:rsidRPr="00372EDA" w:rsidRDefault="00DE183E" w:rsidP="00DE183E">
      <w:pPr>
        <w:pStyle w:val="Bullet2G"/>
        <w:ind w:left="2552" w:hanging="284"/>
      </w:pPr>
      <w:r w:rsidRPr="00DE183E">
        <w:rPr>
          <w:b/>
          <w:bCs/>
          <w:i/>
          <w:iCs/>
        </w:rPr>
        <w:t xml:space="preserve">risquerait </w:t>
      </w:r>
      <w:r w:rsidRPr="00372EDA">
        <w:t>dans les dispositions spéciales d’emballage PP93, PP92, B19 et B18.</w:t>
      </w:r>
    </w:p>
    <w:p w:rsidR="00DE183E" w:rsidRPr="00372EDA" w:rsidRDefault="00DE183E" w:rsidP="00DE183E">
      <w:pPr>
        <w:pStyle w:val="SingleTxtG"/>
        <w:ind w:left="2268"/>
      </w:pPr>
      <w:r w:rsidRPr="00372EDA">
        <w:t>Étant donné que les termes « </w:t>
      </w:r>
      <w:proofErr w:type="spellStart"/>
      <w:r w:rsidRPr="00372EDA">
        <w:t>risk</w:t>
      </w:r>
      <w:proofErr w:type="spellEnd"/>
      <w:r w:rsidRPr="00372EDA">
        <w:t> », « </w:t>
      </w:r>
      <w:proofErr w:type="spellStart"/>
      <w:r w:rsidRPr="00372EDA">
        <w:t>hazard</w:t>
      </w:r>
      <w:proofErr w:type="spellEnd"/>
      <w:r w:rsidRPr="00372EDA">
        <w:t> » et « danger » ne sont pas utilisés dans les parties correspondantes de la version anglaise, celles-ci n’ont pas besoin d’être modifiées.</w:t>
      </w:r>
    </w:p>
    <w:p w:rsidR="00DE183E" w:rsidRPr="00372EDA" w:rsidRDefault="00DE183E" w:rsidP="00DE183E">
      <w:pPr>
        <w:pStyle w:val="SingleTxtG"/>
        <w:ind w:left="2268"/>
      </w:pPr>
      <w:r w:rsidRPr="00372EDA">
        <w:t>Dans ces circonstances, le groupe a établi des propositions adaptées à la version française.</w:t>
      </w:r>
    </w:p>
    <w:p w:rsidR="00DE183E" w:rsidRPr="00372EDA" w:rsidRDefault="00DE183E" w:rsidP="00DE183E">
      <w:pPr>
        <w:pStyle w:val="SingleTxtG"/>
        <w:ind w:left="2268" w:hanging="567"/>
      </w:pPr>
      <w:r w:rsidRPr="00372EDA">
        <w:lastRenderedPageBreak/>
        <w:t>c)</w:t>
      </w:r>
      <w:r w:rsidRPr="00372EDA">
        <w:tab/>
        <w:t>Pour ce qui est du point</w:t>
      </w:r>
      <w:r>
        <w:t xml:space="preserve"> </w:t>
      </w:r>
      <w:r w:rsidRPr="00372EDA">
        <w:rPr>
          <w:b/>
          <w:bCs/>
        </w:rPr>
        <w:t>16</w:t>
      </w:r>
      <w:r w:rsidRPr="00372EDA">
        <w:t>, qui se rapporte au 1.5.1.1 du Règlement type, il est fait mention de la classe</w:t>
      </w:r>
      <w:r>
        <w:t xml:space="preserve"> </w:t>
      </w:r>
      <w:r w:rsidRPr="00372EDA">
        <w:t>7 (matières radioactives) et le terme « </w:t>
      </w:r>
      <w:proofErr w:type="spellStart"/>
      <w:r w:rsidRPr="00372EDA">
        <w:t>risk</w:t>
      </w:r>
      <w:proofErr w:type="spellEnd"/>
      <w:r w:rsidRPr="00372EDA">
        <w:t> »/« risque » est employé.</w:t>
      </w:r>
    </w:p>
    <w:p w:rsidR="00DE183E" w:rsidRPr="00372EDA" w:rsidRDefault="00DE183E" w:rsidP="00DE183E">
      <w:pPr>
        <w:pStyle w:val="SingleTxtG"/>
        <w:ind w:left="2268"/>
      </w:pPr>
      <w:r w:rsidRPr="00372EDA">
        <w:t>Le groupe souhaite demander au Sous-Comité d’envisager d’utiliser également « </w:t>
      </w:r>
      <w:proofErr w:type="spellStart"/>
      <w:r w:rsidRPr="00372EDA">
        <w:t>hazard</w:t>
      </w:r>
      <w:proofErr w:type="spellEnd"/>
      <w:r w:rsidRPr="00372EDA">
        <w:t> » plutôt que « </w:t>
      </w:r>
      <w:proofErr w:type="spellStart"/>
      <w:r w:rsidRPr="00372EDA">
        <w:t>risk</w:t>
      </w:r>
      <w:proofErr w:type="spellEnd"/>
      <w:r w:rsidRPr="00372EDA">
        <w:t> » pour les dispositions relatives à la classe</w:t>
      </w:r>
      <w:r w:rsidR="007F0C5A">
        <w:t xml:space="preserve"> </w:t>
      </w:r>
      <w:r w:rsidRPr="00372EDA">
        <w:t>7 qui se rapportent aux propriétés intrinsèques de la matière. Ce faisant, le Sous-Comité pourrait demander l’appui de l’Agence internationale de l’énergie atomique (AIEA). Dans ce cadre, le Règlement de transport des matières radioactives, n</w:t>
      </w:r>
      <w:r w:rsidRPr="00372EDA">
        <w:rPr>
          <w:vertAlign w:val="superscript"/>
        </w:rPr>
        <w:t>o</w:t>
      </w:r>
      <w:r w:rsidRPr="00372EDA">
        <w:t xml:space="preserve"> SSR-6 de la collection Normes de sûreté de l’AIEA, pourrait être harmonisé avec la terminologie du Règlement type et du Système général harmonisé de classification et d’étiquetage des produits chimiques (SGH). Le groupe appelle de nouveau l’attention sur les dispositions du 1.1.2.6.2 du SGH, qui porte le titre </w:t>
      </w:r>
      <w:r w:rsidRPr="00372EDA">
        <w:rPr>
          <w:i/>
          <w:iCs/>
        </w:rPr>
        <w:t>Rapport entre notions de danger et de risque</w:t>
      </w:r>
      <w:r w:rsidRPr="00372EDA">
        <w:t>.</w:t>
      </w:r>
    </w:p>
    <w:p w:rsidR="00DE183E" w:rsidRPr="00372EDA" w:rsidRDefault="00DE183E" w:rsidP="00DE183E">
      <w:pPr>
        <w:pStyle w:val="SingleTxtG"/>
        <w:ind w:left="2268"/>
      </w:pPr>
      <w:r w:rsidRPr="00372EDA">
        <w:t>Il cite en outre le 1.5.1.1 du Règlement type, qui se lit comme suit</w:t>
      </w:r>
      <w:r>
        <w:t> :</w:t>
      </w:r>
    </w:p>
    <w:p w:rsidR="00DE183E" w:rsidRPr="00372EDA" w:rsidRDefault="00DE183E" w:rsidP="00DE183E">
      <w:pPr>
        <w:pStyle w:val="SingleTxtG"/>
        <w:ind w:left="2268"/>
        <w:rPr>
          <w:lang w:val="en-US"/>
        </w:rPr>
      </w:pPr>
      <w:r w:rsidRPr="00F12E3C">
        <w:rPr>
          <w:b/>
          <w:bCs/>
        </w:rPr>
        <w:t>Anglais</w:t>
      </w:r>
      <w:r>
        <w:rPr>
          <w:lang w:val="en-US"/>
        </w:rPr>
        <w:t> :</w:t>
      </w:r>
      <w:r w:rsidRPr="00372EDA">
        <w:rPr>
          <w:lang w:val="en-US"/>
        </w:rPr>
        <w:t xml:space="preserve"> « The prime responsibility for safety shall rest with the person or organization responsible for facilities and activities that give rise to </w:t>
      </w:r>
      <w:r w:rsidRPr="00F12E3C">
        <w:rPr>
          <w:u w:val="single"/>
          <w:lang w:val="en-US"/>
        </w:rPr>
        <w:t>radiation risk</w:t>
      </w:r>
      <w:r w:rsidRPr="00372EDA">
        <w:rPr>
          <w:lang w:val="en-US"/>
        </w:rPr>
        <w:t>. »</w:t>
      </w:r>
      <w:r>
        <w:rPr>
          <w:lang w:val="en-US"/>
        </w:rPr>
        <w:t> ;</w:t>
      </w:r>
    </w:p>
    <w:p w:rsidR="00DE183E" w:rsidRPr="00372EDA" w:rsidRDefault="00DE183E" w:rsidP="00DE183E">
      <w:pPr>
        <w:pStyle w:val="SingleTxtG"/>
        <w:ind w:left="2268"/>
      </w:pPr>
      <w:r w:rsidRPr="00372EDA">
        <w:rPr>
          <w:b/>
          <w:bCs/>
        </w:rPr>
        <w:t>Français</w:t>
      </w:r>
      <w:r>
        <w:t> :</w:t>
      </w:r>
      <w:r w:rsidRPr="00372EDA">
        <w:t xml:space="preserve"> « La responsabilité première en matière de sécurité doit incomber à la personne ou à l’organisme responsable des installations et des activités présentant </w:t>
      </w:r>
      <w:r w:rsidRPr="00F12E3C">
        <w:rPr>
          <w:u w:val="single"/>
        </w:rPr>
        <w:t>des risques liés aux rayonnements</w:t>
      </w:r>
      <w:r w:rsidRPr="00372EDA">
        <w:t>. ».</w:t>
      </w:r>
    </w:p>
    <w:p w:rsidR="007F0C5A" w:rsidRDefault="00DE183E" w:rsidP="007F0C5A">
      <w:pPr>
        <w:pStyle w:val="SingleTxtG"/>
        <w:ind w:left="2268" w:hanging="567"/>
      </w:pPr>
      <w:r w:rsidRPr="00372EDA">
        <w:t>d)</w:t>
      </w:r>
      <w:r w:rsidRPr="00372EDA">
        <w:tab/>
        <w:t xml:space="preserve">Au point </w:t>
      </w:r>
      <w:r w:rsidRPr="00372EDA">
        <w:rPr>
          <w:b/>
          <w:bCs/>
        </w:rPr>
        <w:t>25</w:t>
      </w:r>
      <w:r w:rsidRPr="00372EDA">
        <w:t>, qui porte sur le 2.8.2.2, le terme « risque d’inhalation » a été remplacé par « la toxicité à l’inhalation », conformément au renvoi au point 2.8.2.4 qui concerne la toxicité. Cette modification est également conforme à l’utilisation du terme « toxicité à l’inhalation » dans d’autres passages du Règlement type. Une analyse plus approfondie du texte a révélé que, dans les dispositions spéciales 343 et 357, le terme « danger par inhalation » était utilisé. Le Sous-Comité d’experts et la Réunion commune souhaiteront peut</w:t>
      </w:r>
      <w:r w:rsidR="00F12E3C">
        <w:noBreakHyphen/>
      </w:r>
      <w:r w:rsidRPr="00372EDA">
        <w:t>être utiliser, dans ces dispositions spéciales, une formulation plus courante, à savoir « toxicité à l’inhalation ».</w:t>
      </w:r>
    </w:p>
    <w:p w:rsidR="00DE183E" w:rsidRPr="00372EDA" w:rsidRDefault="00DE183E" w:rsidP="007F0C5A">
      <w:pPr>
        <w:pStyle w:val="SingleTxtG"/>
        <w:ind w:left="2268" w:hanging="567"/>
      </w:pPr>
      <w:r w:rsidRPr="00372EDA">
        <w:t>e)</w:t>
      </w:r>
      <w:r w:rsidRPr="00372EDA">
        <w:tab/>
        <w:t xml:space="preserve">En ce qui concerne les points </w:t>
      </w:r>
      <w:r w:rsidRPr="00372EDA">
        <w:rPr>
          <w:b/>
          <w:bCs/>
        </w:rPr>
        <w:t xml:space="preserve">36 </w:t>
      </w:r>
      <w:r w:rsidRPr="00372EDA">
        <w:t xml:space="preserve">et </w:t>
      </w:r>
      <w:r w:rsidRPr="00372EDA">
        <w:rPr>
          <w:b/>
          <w:bCs/>
        </w:rPr>
        <w:t>37</w:t>
      </w:r>
      <w:r w:rsidRPr="00372EDA">
        <w:t>, qui portent sur les textes des instructions spéciales d’emballage PP52 et PP76 (rel</w:t>
      </w:r>
      <w:r w:rsidR="007F0C5A">
        <w:t>e</w:t>
      </w:r>
      <w:r w:rsidRPr="00372EDA">
        <w:t>vant respectivement des instructions d’emballage P114</w:t>
      </w:r>
      <w:r w:rsidR="007F0C5A">
        <w:t> </w:t>
      </w:r>
      <w:r w:rsidRPr="00372EDA">
        <w:t>b) et P143)), la proposition du groupe pourrait être examinée par le Groupe de travail des explosifs du Sous-Comité d’experts, car il convient de préciser si le but recherché par la disposition est d’empêcher la montée en pression ou de prévenir une explosion lorsque la pression augmente.</w:t>
      </w:r>
    </w:p>
    <w:tbl>
      <w:tblPr>
        <w:tblW w:w="6804" w:type="dxa"/>
        <w:tblInd w:w="1701" w:type="dxa"/>
        <w:tblLayout w:type="fixed"/>
        <w:tblCellMar>
          <w:left w:w="0" w:type="dxa"/>
          <w:right w:w="0" w:type="dxa"/>
        </w:tblCellMar>
        <w:tblLook w:val="04A0" w:firstRow="1" w:lastRow="0" w:firstColumn="1" w:lastColumn="0" w:noHBand="0" w:noVBand="1"/>
      </w:tblPr>
      <w:tblGrid>
        <w:gridCol w:w="3402"/>
        <w:gridCol w:w="3402"/>
      </w:tblGrid>
      <w:tr w:rsidR="00DE183E" w:rsidRPr="00372EDA" w:rsidTr="00DE183E">
        <w:trPr>
          <w:trHeight w:val="83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E183E" w:rsidRPr="00372EDA" w:rsidRDefault="00DE183E" w:rsidP="00DE183E">
            <w:pPr>
              <w:spacing w:before="60" w:after="60"/>
              <w:ind w:left="113" w:right="113"/>
              <w:jc w:val="both"/>
              <w:rPr>
                <w:lang w:val="en-US"/>
              </w:rPr>
            </w:pPr>
            <w:r w:rsidRPr="00372EDA">
              <w:rPr>
                <w:lang w:val="en-US"/>
              </w:rPr>
              <w:t xml:space="preserve">For UN 0160 and UN 0161, when metal drums (1A1, 1A2, 1B1, 1B2, 1N1 or 1N2) are used as the outer packaging, metal </w:t>
            </w:r>
            <w:proofErr w:type="spellStart"/>
            <w:r w:rsidRPr="00372EDA">
              <w:rPr>
                <w:lang w:val="en-US"/>
              </w:rPr>
              <w:t>packagings</w:t>
            </w:r>
            <w:proofErr w:type="spellEnd"/>
            <w:r w:rsidRPr="00372EDA">
              <w:rPr>
                <w:lang w:val="en-US"/>
              </w:rPr>
              <w:t xml:space="preserve"> shall be so constructed that </w:t>
            </w:r>
            <w:r w:rsidRPr="00F12E3C">
              <w:rPr>
                <w:b/>
                <w:bCs/>
                <w:strike/>
                <w:u w:val="single"/>
                <w:lang w:val="en-US"/>
              </w:rPr>
              <w:t>the risk of</w:t>
            </w:r>
            <w:r w:rsidRPr="00372EDA">
              <w:rPr>
                <w:lang w:val="en-US"/>
              </w:rPr>
              <w:t xml:space="preserve"> explosion, by reason of increase </w:t>
            </w:r>
            <w:r w:rsidRPr="00372EDA">
              <w:rPr>
                <w:b/>
                <w:bCs/>
                <w:u w:val="single"/>
                <w:lang w:val="en-US"/>
              </w:rPr>
              <w:t>in</w:t>
            </w:r>
            <w:r w:rsidRPr="00372EDA">
              <w:rPr>
                <w:lang w:val="en-US"/>
              </w:rPr>
              <w:t xml:space="preserve"> internal pressure from internal or external causes</w:t>
            </w:r>
            <w:r w:rsidRPr="00372EDA">
              <w:rPr>
                <w:b/>
                <w:bCs/>
                <w:u w:val="single"/>
                <w:lang w:val="en-US"/>
              </w:rPr>
              <w:t>,</w:t>
            </w:r>
            <w:r w:rsidRPr="00372EDA">
              <w:rPr>
                <w:lang w:val="en-US"/>
              </w:rPr>
              <w:t xml:space="preserve"> is prevented.</w:t>
            </w:r>
          </w:p>
        </w:tc>
        <w:tc>
          <w:tcPr>
            <w:tcW w:w="3402" w:type="dxa"/>
            <w:tcBorders>
              <w:top w:val="single" w:sz="4" w:space="0" w:color="auto"/>
              <w:left w:val="nil"/>
              <w:bottom w:val="single" w:sz="4" w:space="0" w:color="auto"/>
              <w:right w:val="single" w:sz="4" w:space="0" w:color="auto"/>
            </w:tcBorders>
            <w:shd w:val="clear" w:color="auto" w:fill="auto"/>
            <w:hideMark/>
          </w:tcPr>
          <w:p w:rsidR="00DE183E" w:rsidRPr="00372EDA" w:rsidRDefault="00DE183E" w:rsidP="00DE183E">
            <w:pPr>
              <w:spacing w:before="60" w:after="60"/>
              <w:ind w:left="113" w:right="113"/>
              <w:jc w:val="both"/>
              <w:rPr>
                <w:lang w:eastAsia="ro-RO"/>
              </w:rPr>
            </w:pPr>
            <w:r w:rsidRPr="00372EDA">
              <w:rPr>
                <w:lang w:eastAsia="ro-RO"/>
              </w:rPr>
              <w:t>Pour les N</w:t>
            </w:r>
            <w:r w:rsidRPr="00372EDA">
              <w:rPr>
                <w:vertAlign w:val="superscript"/>
                <w:lang w:eastAsia="ro-RO"/>
              </w:rPr>
              <w:t>os</w:t>
            </w:r>
            <w:r w:rsidRPr="00372EDA">
              <w:rPr>
                <w:lang w:eastAsia="ro-RO"/>
              </w:rPr>
              <w:t> ONU 0160 et 0161, si des fûts en métal (1A1, 1A2, 1B1, 1B2, 1N1 ou 1N2) sont utilisés comme emballages extérieurs, les emballages métalliques doivent être construits de façon à éviter l</w:t>
            </w:r>
            <w:r w:rsidRPr="00372EDA">
              <w:rPr>
                <w:b/>
                <w:bCs/>
                <w:strike/>
                <w:u w:val="single"/>
                <w:lang w:eastAsia="ro-RO"/>
              </w:rPr>
              <w:t>e risque d</w:t>
            </w:r>
            <w:r w:rsidRPr="00372EDA">
              <w:rPr>
                <w:lang w:eastAsia="ro-RO"/>
              </w:rPr>
              <w:t>’explosion du fait d’une augmentation de la pression interne due à des causes internes ou externes.</w:t>
            </w:r>
          </w:p>
        </w:tc>
      </w:tr>
    </w:tbl>
    <w:p w:rsidR="00DE183E" w:rsidRPr="00372EDA" w:rsidRDefault="00DE183E" w:rsidP="00DE183E">
      <w:pPr>
        <w:pStyle w:val="SingleTxtG"/>
        <w:spacing w:before="120"/>
        <w:ind w:left="2268" w:hanging="567"/>
        <w:rPr>
          <w:lang w:eastAsia="es-ES"/>
        </w:rPr>
      </w:pPr>
      <w:r w:rsidRPr="00372EDA">
        <w:rPr>
          <w:lang w:eastAsia="es-ES"/>
        </w:rPr>
        <w:t>f)</w:t>
      </w:r>
      <w:r w:rsidRPr="00372EDA">
        <w:rPr>
          <w:lang w:eastAsia="es-ES"/>
        </w:rPr>
        <w:tab/>
        <w:t xml:space="preserve">En ce qui concerne les points </w:t>
      </w:r>
      <w:r w:rsidRPr="00372EDA">
        <w:rPr>
          <w:b/>
          <w:lang w:eastAsia="es-ES"/>
        </w:rPr>
        <w:t xml:space="preserve">39 </w:t>
      </w:r>
      <w:r w:rsidRPr="00372EDA">
        <w:rPr>
          <w:lang w:eastAsia="es-ES"/>
        </w:rPr>
        <w:t xml:space="preserve">et </w:t>
      </w:r>
      <w:r w:rsidRPr="00372EDA">
        <w:rPr>
          <w:b/>
          <w:lang w:eastAsia="es-ES"/>
        </w:rPr>
        <w:t>40</w:t>
      </w:r>
      <w:r w:rsidRPr="00372EDA">
        <w:rPr>
          <w:lang w:eastAsia="es-ES"/>
        </w:rPr>
        <w:t xml:space="preserve"> qui se rapportent aux instructions d’emballage P601 4) a) et P602</w:t>
      </w:r>
      <w:r w:rsidR="007F0C5A">
        <w:rPr>
          <w:lang w:eastAsia="es-ES"/>
        </w:rPr>
        <w:t> </w:t>
      </w:r>
      <w:r w:rsidRPr="00372EDA">
        <w:rPr>
          <w:lang w:eastAsia="es-ES"/>
        </w:rPr>
        <w:t>4)</w:t>
      </w:r>
      <w:r w:rsidR="007F0C5A">
        <w:rPr>
          <w:lang w:eastAsia="es-ES"/>
        </w:rPr>
        <w:t> </w:t>
      </w:r>
      <w:r w:rsidRPr="00372EDA">
        <w:rPr>
          <w:lang w:eastAsia="es-ES"/>
        </w:rPr>
        <w:t>a), la Belgique a formulé des observations visant à modifier la version française des textes en remplaçant « </w:t>
      </w:r>
      <w:r w:rsidRPr="00372EDA">
        <w:rPr>
          <w:b/>
          <w:lang w:eastAsia="es-ES"/>
        </w:rPr>
        <w:t>robinets</w:t>
      </w:r>
      <w:r w:rsidRPr="00F12E3C">
        <w:rPr>
          <w:bCs/>
          <w:lang w:eastAsia="es-ES"/>
        </w:rPr>
        <w:t> »</w:t>
      </w:r>
      <w:r w:rsidRPr="00372EDA">
        <w:rPr>
          <w:lang w:eastAsia="es-ES"/>
        </w:rPr>
        <w:t xml:space="preserve"> par « </w:t>
      </w:r>
      <w:r w:rsidRPr="00372EDA">
        <w:rPr>
          <w:b/>
          <w:lang w:eastAsia="es-ES"/>
        </w:rPr>
        <w:t>soupapes</w:t>
      </w:r>
      <w:r w:rsidRPr="00F12E3C">
        <w:rPr>
          <w:bCs/>
          <w:lang w:eastAsia="es-ES"/>
        </w:rPr>
        <w:t> »</w:t>
      </w:r>
      <w:r w:rsidRPr="00372EDA">
        <w:rPr>
          <w:lang w:eastAsia="es-ES"/>
        </w:rPr>
        <w:t>, ce qui permettrait de l’harmoniser avec la version anglaise. N’ayant pas été confiées au groupe au titre du mandat conféré par le Sous</w:t>
      </w:r>
      <w:r w:rsidR="00F12E3C">
        <w:rPr>
          <w:lang w:eastAsia="es-ES"/>
        </w:rPr>
        <w:noBreakHyphen/>
      </w:r>
      <w:r w:rsidRPr="00372EDA">
        <w:rPr>
          <w:lang w:eastAsia="es-ES"/>
        </w:rPr>
        <w:t>Comité d’experts (voir par. 6 ci-dessus), ces questions n’ont pas été traitées mais elles pourraient faire l’objet de futures propositions.</w:t>
      </w:r>
    </w:p>
    <w:p w:rsidR="00DE183E" w:rsidRPr="00372EDA" w:rsidRDefault="00DE183E" w:rsidP="00DE183E">
      <w:pPr>
        <w:pStyle w:val="SingleTxtG"/>
        <w:spacing w:before="120"/>
        <w:ind w:left="2268" w:hanging="567"/>
        <w:rPr>
          <w:lang w:eastAsia="es-ES"/>
        </w:rPr>
      </w:pPr>
      <w:r w:rsidRPr="00372EDA">
        <w:rPr>
          <w:lang w:eastAsia="es-ES"/>
        </w:rPr>
        <w:lastRenderedPageBreak/>
        <w:t>g)</w:t>
      </w:r>
      <w:r w:rsidRPr="00372EDA">
        <w:rPr>
          <w:lang w:eastAsia="es-ES"/>
        </w:rPr>
        <w:tab/>
        <w:t>Pour ce qui est du point</w:t>
      </w:r>
      <w:r w:rsidR="007F0C5A">
        <w:rPr>
          <w:lang w:eastAsia="es-ES"/>
        </w:rPr>
        <w:t xml:space="preserve"> </w:t>
      </w:r>
      <w:r w:rsidRPr="00372EDA">
        <w:rPr>
          <w:b/>
          <w:lang w:eastAsia="es-ES"/>
        </w:rPr>
        <w:t>46</w:t>
      </w:r>
      <w:r w:rsidRPr="00372EDA">
        <w:rPr>
          <w:lang w:eastAsia="es-ES"/>
        </w:rPr>
        <w:t xml:space="preserve"> relatif au paragraphe 4.1.5.2 c) du Règlement type, le groupe a pris en compte le document informel INF.42 présenté par le Canada (</w:t>
      </w:r>
      <w:r w:rsidRPr="00372EDA">
        <w:t xml:space="preserve">cinquante-cinquième </w:t>
      </w:r>
      <w:r w:rsidRPr="00372EDA">
        <w:rPr>
          <w:lang w:eastAsia="es-ES"/>
        </w:rPr>
        <w:t xml:space="preserve">session du Sous-Comité d’experts) ainsi que diverses observations, et il propose que les deux options ci-après soient soumises au </w:t>
      </w:r>
      <w:r w:rsidRPr="00372EDA">
        <w:t xml:space="preserve">Groupe de travail des explosifs du </w:t>
      </w:r>
      <w:r w:rsidRPr="00372EDA">
        <w:rPr>
          <w:lang w:eastAsia="es-ES"/>
        </w:rPr>
        <w:t>Sous-Comité d’experts, comme suit</w:t>
      </w:r>
      <w:r>
        <w:rPr>
          <w:lang w:eastAsia="es-ES"/>
        </w:rPr>
        <w:t> :</w:t>
      </w:r>
    </w:p>
    <w:p w:rsidR="00DE183E" w:rsidRPr="00372EDA" w:rsidRDefault="00DE183E" w:rsidP="00DE183E">
      <w:pPr>
        <w:pStyle w:val="SingleTxtG"/>
        <w:ind w:firstLine="567"/>
        <w:rPr>
          <w:b/>
          <w:bCs/>
        </w:rPr>
      </w:pPr>
      <w:r w:rsidRPr="00372EDA">
        <w:rPr>
          <w:b/>
          <w:bCs/>
        </w:rPr>
        <w:t>Option 1 proposée par le Canada dans le document informel INF.42</w:t>
      </w:r>
      <w:r>
        <w:rPr>
          <w:b/>
          <w:bCs/>
        </w:rPr>
        <w:t> :</w:t>
      </w:r>
    </w:p>
    <w:tbl>
      <w:tblPr>
        <w:tblW w:w="6804" w:type="dxa"/>
        <w:tblInd w:w="1701" w:type="dxa"/>
        <w:tblLayout w:type="fixed"/>
        <w:tblCellMar>
          <w:left w:w="0" w:type="dxa"/>
          <w:right w:w="0" w:type="dxa"/>
        </w:tblCellMar>
        <w:tblLook w:val="04A0" w:firstRow="1" w:lastRow="0" w:firstColumn="1" w:lastColumn="0" w:noHBand="0" w:noVBand="1"/>
      </w:tblPr>
      <w:tblGrid>
        <w:gridCol w:w="3402"/>
        <w:gridCol w:w="3402"/>
      </w:tblGrid>
      <w:tr w:rsidR="00DE183E" w:rsidRPr="00372EDA" w:rsidTr="00DE183E">
        <w:trPr>
          <w:trHeight w:val="258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E183E" w:rsidRPr="00372EDA" w:rsidRDefault="00DE183E" w:rsidP="00DE183E">
            <w:pPr>
              <w:spacing w:before="60" w:after="60"/>
              <w:ind w:left="113" w:right="113"/>
              <w:rPr>
                <w:lang w:val="en-US" w:eastAsia="ro-RO"/>
              </w:rPr>
            </w:pPr>
            <w:r w:rsidRPr="00372EDA">
              <w:rPr>
                <w:b/>
                <w:lang w:val="en-US" w:eastAsia="ro-RO"/>
              </w:rPr>
              <w:t>(c)</w:t>
            </w:r>
            <w:r w:rsidRPr="00372EDA">
              <w:rPr>
                <w:lang w:val="en-US" w:eastAsia="ro-RO"/>
              </w:rPr>
              <w:t xml:space="preserve"> The packages will withstand any loading imposed on them by foreseeable stacking to which they will be subject during transport so that </w:t>
            </w:r>
            <w:r w:rsidRPr="00372EDA">
              <w:rPr>
                <w:b/>
                <w:bCs/>
                <w:strike/>
                <w:u w:val="single"/>
                <w:lang w:val="en-US" w:eastAsia="ro-RO"/>
              </w:rPr>
              <w:t>they</w:t>
            </w:r>
            <w:r w:rsidRPr="00372EDA">
              <w:rPr>
                <w:lang w:val="en-US" w:eastAsia="ro-RO"/>
              </w:rPr>
              <w:t>/</w:t>
            </w:r>
            <w:r w:rsidRPr="00372EDA">
              <w:rPr>
                <w:b/>
                <w:bCs/>
                <w:u w:val="single"/>
                <w:lang w:val="en-US" w:eastAsia="ro-RO"/>
              </w:rPr>
              <w:t>the packages</w:t>
            </w:r>
            <w:r w:rsidRPr="00372EDA">
              <w:rPr>
                <w:lang w:val="en-US" w:eastAsia="ro-RO"/>
              </w:rPr>
              <w:t xml:space="preserve"> do not</w:t>
            </w:r>
            <w:r w:rsidRPr="00372EDA">
              <w:rPr>
                <w:b/>
                <w:strike/>
                <w:u w:val="single"/>
                <w:lang w:val="en-US" w:eastAsia="ro-RO"/>
              </w:rPr>
              <w:t xml:space="preserve"> add to the</w:t>
            </w:r>
            <w:r w:rsidRPr="00372EDA">
              <w:rPr>
                <w:lang w:val="en-US" w:eastAsia="ro-RO"/>
              </w:rPr>
              <w:t xml:space="preserve"> </w:t>
            </w:r>
            <w:r w:rsidRPr="00372EDA">
              <w:rPr>
                <w:b/>
                <w:bCs/>
                <w:strike/>
                <w:u w:val="single"/>
                <w:lang w:val="en-US" w:eastAsia="ro-RO"/>
              </w:rPr>
              <w:t>risk presented by the explosives</w:t>
            </w:r>
            <w:r w:rsidRPr="00372EDA">
              <w:rPr>
                <w:lang w:val="en-US" w:eastAsia="ro-RO"/>
              </w:rPr>
              <w:t xml:space="preserve"> / </w:t>
            </w:r>
            <w:r w:rsidRPr="00372EDA">
              <w:rPr>
                <w:b/>
                <w:u w:val="single"/>
                <w:lang w:val="en-US" w:eastAsia="ro-RO"/>
              </w:rPr>
              <w:t>cause an increase in the</w:t>
            </w:r>
            <w:r w:rsidRPr="00372EDA">
              <w:rPr>
                <w:lang w:val="en-US" w:eastAsia="ro-RO"/>
              </w:rPr>
              <w:t xml:space="preserve"> </w:t>
            </w:r>
            <w:r w:rsidRPr="00372EDA">
              <w:rPr>
                <w:b/>
                <w:bCs/>
                <w:u w:val="single"/>
                <w:lang w:val="en-US" w:eastAsia="ro-RO"/>
              </w:rPr>
              <w:t>likelihood of unintended ignition or initiation</w:t>
            </w:r>
            <w:r w:rsidRPr="00372EDA">
              <w:rPr>
                <w:lang w:val="en-US" w:eastAsia="ro-RO"/>
              </w:rPr>
              <w:t xml:space="preserve">, the containment function of the </w:t>
            </w:r>
            <w:proofErr w:type="spellStart"/>
            <w:r w:rsidRPr="00372EDA">
              <w:rPr>
                <w:lang w:val="en-US" w:eastAsia="ro-RO"/>
              </w:rPr>
              <w:t>packagings</w:t>
            </w:r>
            <w:proofErr w:type="spellEnd"/>
            <w:r w:rsidRPr="00372EDA">
              <w:rPr>
                <w:lang w:val="en-US" w:eastAsia="ro-RO"/>
              </w:rPr>
              <w:t xml:space="preserve"> is not harmed, and </w:t>
            </w:r>
            <w:proofErr w:type="spellStart"/>
            <w:r w:rsidRPr="00372EDA">
              <w:rPr>
                <w:b/>
                <w:bCs/>
                <w:strike/>
                <w:u w:val="single"/>
                <w:lang w:val="en-US" w:eastAsia="ro-RO"/>
              </w:rPr>
              <w:t>they</w:t>
            </w:r>
            <w:r w:rsidRPr="00372EDA">
              <w:rPr>
                <w:b/>
                <w:bCs/>
                <w:u w:val="single"/>
                <w:lang w:val="en-US" w:eastAsia="ro-RO"/>
              </w:rPr>
              <w:t>the</w:t>
            </w:r>
            <w:proofErr w:type="spellEnd"/>
            <w:r w:rsidRPr="00372EDA">
              <w:rPr>
                <w:b/>
                <w:bCs/>
                <w:u w:val="single"/>
                <w:lang w:val="en-US" w:eastAsia="ro-RO"/>
              </w:rPr>
              <w:t xml:space="preserve"> packages</w:t>
            </w:r>
            <w:r w:rsidRPr="00372EDA">
              <w:rPr>
                <w:lang w:val="en-US" w:eastAsia="ro-RO"/>
              </w:rPr>
              <w:t xml:space="preserve"> are not distorted in a way or to an extent which will reduce their strength or cause instability of a stack.</w:t>
            </w:r>
          </w:p>
        </w:tc>
        <w:tc>
          <w:tcPr>
            <w:tcW w:w="3402" w:type="dxa"/>
            <w:tcBorders>
              <w:top w:val="single" w:sz="4" w:space="0" w:color="auto"/>
              <w:left w:val="nil"/>
              <w:bottom w:val="single" w:sz="4" w:space="0" w:color="auto"/>
              <w:right w:val="single" w:sz="4" w:space="0" w:color="auto"/>
            </w:tcBorders>
            <w:shd w:val="clear" w:color="auto" w:fill="auto"/>
            <w:hideMark/>
          </w:tcPr>
          <w:p w:rsidR="00DE183E" w:rsidRPr="00372EDA" w:rsidRDefault="00DE183E" w:rsidP="00DE183E">
            <w:pPr>
              <w:spacing w:before="60" w:after="60"/>
              <w:ind w:left="113" w:right="113"/>
              <w:rPr>
                <w:lang w:eastAsia="ro-RO"/>
              </w:rPr>
            </w:pPr>
            <w:r w:rsidRPr="00372EDA">
              <w:rPr>
                <w:lang w:eastAsia="ro-RO"/>
              </w:rPr>
              <w:t xml:space="preserve">que les colis supportent toute charge appliquée lors du gerbage prévisible auquel ils pourraient être soumis pendant le transport sans </w:t>
            </w:r>
            <w:r w:rsidRPr="00372EDA">
              <w:rPr>
                <w:b/>
                <w:bCs/>
                <w:strike/>
                <w:u w:val="single"/>
                <w:lang w:eastAsia="ro-RO"/>
              </w:rPr>
              <w:t>accroître les risques présentés par les matières et objets explosifs</w:t>
            </w:r>
            <w:r w:rsidRPr="00372EDA">
              <w:rPr>
                <w:lang w:eastAsia="ro-RO"/>
              </w:rPr>
              <w:t>/</w:t>
            </w:r>
            <w:r w:rsidRPr="00372EDA">
              <w:rPr>
                <w:b/>
                <w:bCs/>
                <w:u w:val="single"/>
                <w:lang w:eastAsia="ro-RO"/>
              </w:rPr>
              <w:t>augmenter la probabilité d’allumage ou d’amorçage intempestif</w:t>
            </w:r>
            <w:r w:rsidRPr="00372EDA">
              <w:rPr>
                <w:lang w:eastAsia="ro-RO"/>
              </w:rPr>
              <w:t>, sans que l’aptitude des emballages à contenir les marchandises soit altérée et sans qu’ils soient déformés de manière à réduire leur solidité ou à entraîner l’instabilité d’une pile de colis.</w:t>
            </w:r>
          </w:p>
        </w:tc>
      </w:tr>
    </w:tbl>
    <w:p w:rsidR="00DE183E" w:rsidRPr="00372EDA" w:rsidRDefault="00DE183E" w:rsidP="00DE183E">
      <w:pPr>
        <w:keepNext/>
        <w:keepLines/>
        <w:spacing w:before="120" w:after="120"/>
        <w:ind w:left="1134" w:firstLine="567"/>
        <w:rPr>
          <w:b/>
          <w:bCs/>
          <w:lang w:eastAsia="ro-RO"/>
        </w:rPr>
      </w:pPr>
      <w:r w:rsidRPr="00372EDA">
        <w:rPr>
          <w:b/>
          <w:bCs/>
          <w:lang w:eastAsia="ro-RO"/>
        </w:rPr>
        <w:t>Option 2 élaborée par le groupe</w:t>
      </w:r>
      <w:r>
        <w:rPr>
          <w:b/>
          <w:bCs/>
          <w:lang w:eastAsia="ro-RO"/>
        </w:rPr>
        <w:t> :</w:t>
      </w:r>
    </w:p>
    <w:tbl>
      <w:tblPr>
        <w:tblW w:w="6804" w:type="dxa"/>
        <w:tblInd w:w="1701" w:type="dxa"/>
        <w:tblLayout w:type="fixed"/>
        <w:tblCellMar>
          <w:left w:w="0" w:type="dxa"/>
          <w:right w:w="0" w:type="dxa"/>
        </w:tblCellMar>
        <w:tblLook w:val="04A0" w:firstRow="1" w:lastRow="0" w:firstColumn="1" w:lastColumn="0" w:noHBand="0" w:noVBand="1"/>
      </w:tblPr>
      <w:tblGrid>
        <w:gridCol w:w="3402"/>
        <w:gridCol w:w="3402"/>
      </w:tblGrid>
      <w:tr w:rsidR="00DE183E" w:rsidRPr="00372EDA" w:rsidTr="00DE183E">
        <w:trPr>
          <w:trHeight w:val="258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E183E" w:rsidRPr="00372EDA" w:rsidRDefault="00DE183E" w:rsidP="00DE183E">
            <w:pPr>
              <w:keepNext/>
              <w:keepLines/>
              <w:spacing w:before="60" w:after="60"/>
              <w:ind w:left="113" w:right="113"/>
              <w:rPr>
                <w:lang w:val="en-US" w:eastAsia="ro-RO"/>
              </w:rPr>
            </w:pPr>
            <w:r w:rsidRPr="00372EDA">
              <w:rPr>
                <w:b/>
                <w:lang w:val="en-US" w:eastAsia="ro-RO"/>
              </w:rPr>
              <w:t>(c)</w:t>
            </w:r>
            <w:r w:rsidRPr="00372EDA">
              <w:rPr>
                <w:lang w:val="en-US" w:eastAsia="ro-RO"/>
              </w:rPr>
              <w:t xml:space="preserve"> The packages will withstand any loading imposed on them by foreseeable stacking to which they will be subject during transport so that </w:t>
            </w:r>
            <w:proofErr w:type="spellStart"/>
            <w:r w:rsidRPr="00372EDA">
              <w:rPr>
                <w:b/>
                <w:bCs/>
                <w:strike/>
                <w:lang w:val="en-US" w:eastAsia="ro-RO"/>
              </w:rPr>
              <w:t>they</w:t>
            </w:r>
            <w:r w:rsidRPr="00372EDA">
              <w:rPr>
                <w:u w:val="single"/>
                <w:lang w:val="en-US" w:eastAsia="ro-RO"/>
              </w:rPr>
              <w:t>the</w:t>
            </w:r>
            <w:proofErr w:type="spellEnd"/>
            <w:r w:rsidRPr="00372EDA">
              <w:rPr>
                <w:u w:val="single"/>
                <w:lang w:val="en-US" w:eastAsia="ro-RO"/>
              </w:rPr>
              <w:t xml:space="preserve"> packages</w:t>
            </w:r>
            <w:r w:rsidRPr="00372EDA">
              <w:rPr>
                <w:lang w:val="en-US" w:eastAsia="ro-RO"/>
              </w:rPr>
              <w:t xml:space="preserve"> do not add to the </w:t>
            </w:r>
            <w:r w:rsidRPr="00372EDA">
              <w:rPr>
                <w:b/>
                <w:strike/>
                <w:u w:val="single"/>
                <w:lang w:val="en-US" w:eastAsia="ro-RO"/>
              </w:rPr>
              <w:t xml:space="preserve">risk </w:t>
            </w:r>
            <w:r w:rsidRPr="00372EDA">
              <w:rPr>
                <w:b/>
                <w:bCs/>
                <w:strike/>
                <w:u w:val="single"/>
                <w:lang w:val="en-US" w:eastAsia="ro-RO"/>
              </w:rPr>
              <w:t>presented by the explosives</w:t>
            </w:r>
            <w:r w:rsidRPr="00372EDA">
              <w:rPr>
                <w:b/>
                <w:bCs/>
                <w:lang w:val="en-US" w:eastAsia="ro-RO"/>
              </w:rPr>
              <w:t xml:space="preserve"> /</w:t>
            </w:r>
            <w:r w:rsidRPr="00372EDA">
              <w:rPr>
                <w:b/>
                <w:bCs/>
                <w:u w:val="single"/>
                <w:lang w:val="en-US" w:eastAsia="ro-RO"/>
              </w:rPr>
              <w:t xml:space="preserve"> substance’s</w:t>
            </w:r>
            <w:r w:rsidRPr="00372EDA">
              <w:rPr>
                <w:b/>
                <w:bCs/>
                <w:lang w:val="en-US" w:eastAsia="ro-RO"/>
              </w:rPr>
              <w:t xml:space="preserve"> </w:t>
            </w:r>
            <w:r w:rsidRPr="00372EDA">
              <w:rPr>
                <w:b/>
                <w:bCs/>
                <w:u w:val="single"/>
                <w:lang w:val="en-US" w:eastAsia="ro-RO"/>
              </w:rPr>
              <w:t xml:space="preserve">potential </w:t>
            </w:r>
            <w:r w:rsidRPr="00372EDA">
              <w:rPr>
                <w:b/>
                <w:u w:val="single"/>
                <w:lang w:val="en-US" w:eastAsia="ro-RO"/>
              </w:rPr>
              <w:t>for explosion</w:t>
            </w:r>
            <w:r w:rsidRPr="00372EDA">
              <w:rPr>
                <w:lang w:val="en-US" w:eastAsia="ro-RO"/>
              </w:rPr>
              <w:t xml:space="preserve">, the containment function of the </w:t>
            </w:r>
            <w:proofErr w:type="spellStart"/>
            <w:r w:rsidRPr="00372EDA">
              <w:rPr>
                <w:lang w:val="en-US" w:eastAsia="ro-RO"/>
              </w:rPr>
              <w:t>packagings</w:t>
            </w:r>
            <w:proofErr w:type="spellEnd"/>
            <w:r w:rsidRPr="00372EDA">
              <w:rPr>
                <w:lang w:val="en-US" w:eastAsia="ro-RO"/>
              </w:rPr>
              <w:t xml:space="preserve"> is not harmed, and </w:t>
            </w:r>
            <w:proofErr w:type="spellStart"/>
            <w:r w:rsidRPr="00372EDA">
              <w:rPr>
                <w:b/>
                <w:bCs/>
                <w:strike/>
                <w:lang w:val="en-US" w:eastAsia="ro-RO"/>
              </w:rPr>
              <w:t>they</w:t>
            </w:r>
            <w:r w:rsidRPr="00372EDA">
              <w:rPr>
                <w:u w:val="single"/>
                <w:lang w:val="en-US" w:eastAsia="ro-RO"/>
              </w:rPr>
              <w:t>the</w:t>
            </w:r>
            <w:proofErr w:type="spellEnd"/>
            <w:r w:rsidRPr="00372EDA">
              <w:rPr>
                <w:u w:val="single"/>
                <w:lang w:val="en-US" w:eastAsia="ro-RO"/>
              </w:rPr>
              <w:t xml:space="preserve"> packages</w:t>
            </w:r>
            <w:r w:rsidRPr="00372EDA">
              <w:rPr>
                <w:lang w:val="en-US" w:eastAsia="ro-RO"/>
              </w:rPr>
              <w:t xml:space="preserve"> are not distorted in a way or to an extent which will reduce their strength or cause instability of a stack.</w:t>
            </w:r>
          </w:p>
        </w:tc>
        <w:tc>
          <w:tcPr>
            <w:tcW w:w="3402" w:type="dxa"/>
            <w:tcBorders>
              <w:top w:val="single" w:sz="4" w:space="0" w:color="auto"/>
              <w:left w:val="nil"/>
              <w:bottom w:val="single" w:sz="4" w:space="0" w:color="auto"/>
              <w:right w:val="single" w:sz="4" w:space="0" w:color="auto"/>
            </w:tcBorders>
            <w:shd w:val="clear" w:color="auto" w:fill="auto"/>
            <w:hideMark/>
          </w:tcPr>
          <w:p w:rsidR="00DE183E" w:rsidRPr="00372EDA" w:rsidRDefault="00DE183E" w:rsidP="00DE183E">
            <w:pPr>
              <w:keepNext/>
              <w:keepLines/>
              <w:spacing w:before="60" w:after="60"/>
              <w:ind w:left="113" w:right="113"/>
              <w:rPr>
                <w:lang w:eastAsia="ro-RO"/>
              </w:rPr>
            </w:pPr>
            <w:r w:rsidRPr="00372EDA">
              <w:rPr>
                <w:lang w:eastAsia="ro-RO"/>
              </w:rPr>
              <w:t xml:space="preserve">que les colis supportent toute charge appliquée lors du gerbage prévisible auquel ils pourraient être soumis pendant le transport sans </w:t>
            </w:r>
            <w:r w:rsidRPr="00043817">
              <w:rPr>
                <w:bCs/>
                <w:lang w:eastAsia="ro-RO"/>
              </w:rPr>
              <w:t xml:space="preserve">accroître </w:t>
            </w:r>
            <w:r w:rsidRPr="00372EDA">
              <w:rPr>
                <w:b/>
                <w:bCs/>
                <w:strike/>
                <w:u w:val="single"/>
                <w:lang w:eastAsia="ro-RO"/>
              </w:rPr>
              <w:t>les risques présentés par les matières et objets explosifs</w:t>
            </w:r>
            <w:r w:rsidRPr="00372EDA">
              <w:rPr>
                <w:lang w:eastAsia="ro-RO"/>
              </w:rPr>
              <w:t>/</w:t>
            </w:r>
            <w:r w:rsidRPr="00372EDA">
              <w:rPr>
                <w:b/>
                <w:bCs/>
                <w:u w:val="single"/>
                <w:lang w:eastAsia="ro-RO"/>
              </w:rPr>
              <w:t>la susceptibilité de la matière à exploser</w:t>
            </w:r>
            <w:r w:rsidRPr="00372EDA">
              <w:rPr>
                <w:lang w:eastAsia="ro-RO"/>
              </w:rPr>
              <w:t>, sans que l’aptitude des emballages à contenir les marchandises soit altérée et sans qu’ils soient déformés de manière à réduire leur solidité ou à entraîner l’instabilité d’une pile de colis.</w:t>
            </w:r>
          </w:p>
        </w:tc>
      </w:tr>
    </w:tbl>
    <w:p w:rsidR="00DE183E" w:rsidRPr="00372EDA" w:rsidRDefault="00DE183E" w:rsidP="00DE183E">
      <w:pPr>
        <w:pStyle w:val="SingleTxtG"/>
        <w:spacing w:before="120"/>
        <w:ind w:left="2268" w:hanging="567"/>
        <w:rPr>
          <w:lang w:eastAsia="es-ES"/>
        </w:rPr>
      </w:pPr>
      <w:r w:rsidRPr="00372EDA">
        <w:rPr>
          <w:lang w:eastAsia="es-ES"/>
        </w:rPr>
        <w:t>h)</w:t>
      </w:r>
      <w:r w:rsidRPr="00372EDA">
        <w:rPr>
          <w:lang w:eastAsia="es-ES"/>
        </w:rPr>
        <w:tab/>
        <w:t xml:space="preserve">Au point </w:t>
      </w:r>
      <w:r w:rsidRPr="00372EDA">
        <w:rPr>
          <w:b/>
          <w:lang w:eastAsia="es-ES"/>
        </w:rPr>
        <w:t>89</w:t>
      </w:r>
      <w:r w:rsidRPr="00372EDA">
        <w:rPr>
          <w:bCs/>
          <w:lang w:eastAsia="es-ES"/>
        </w:rPr>
        <w:t>,</w:t>
      </w:r>
      <w:r w:rsidRPr="00372EDA">
        <w:rPr>
          <w:lang w:eastAsia="es-ES"/>
        </w:rPr>
        <w:t xml:space="preserve"> </w:t>
      </w:r>
      <w:r w:rsidRPr="00372EDA">
        <w:t xml:space="preserve">qui porte sur le </w:t>
      </w:r>
      <w:r w:rsidRPr="00372EDA">
        <w:rPr>
          <w:lang w:eastAsia="es-ES"/>
        </w:rPr>
        <w:t>7.1.1.10 de la version française, le texte comprend un élément supplémentaire</w:t>
      </w:r>
      <w:r>
        <w:rPr>
          <w:lang w:eastAsia="es-ES"/>
        </w:rPr>
        <w:t> :</w:t>
      </w:r>
      <w:r w:rsidRPr="00372EDA">
        <w:rPr>
          <w:lang w:eastAsia="es-ES"/>
        </w:rPr>
        <w:t xml:space="preserve"> « </w:t>
      </w:r>
      <w:r w:rsidRPr="00372EDA">
        <w:rPr>
          <w:b/>
          <w:i/>
          <w:lang w:eastAsia="es-ES"/>
        </w:rPr>
        <w:t>le personnel chargé de faire appliquer les règlements</w:t>
      </w:r>
      <w:r w:rsidRPr="00372EDA">
        <w:rPr>
          <w:bCs/>
          <w:iCs/>
          <w:lang w:eastAsia="es-ES"/>
        </w:rPr>
        <w:t> »</w:t>
      </w:r>
      <w:r w:rsidRPr="00372EDA">
        <w:rPr>
          <w:lang w:eastAsia="es-ES"/>
        </w:rPr>
        <w:t>.</w:t>
      </w:r>
    </w:p>
    <w:p w:rsidR="00DE183E" w:rsidRPr="00372EDA" w:rsidRDefault="00DE183E" w:rsidP="00DE183E">
      <w:pPr>
        <w:pStyle w:val="SingleTxtG"/>
        <w:ind w:left="2268" w:hanging="567"/>
        <w:rPr>
          <w:lang w:eastAsia="es-ES"/>
        </w:rPr>
      </w:pPr>
      <w:r w:rsidRPr="00372EDA">
        <w:rPr>
          <w:lang w:eastAsia="es-ES"/>
        </w:rPr>
        <w:t>i)</w:t>
      </w:r>
      <w:r w:rsidRPr="00372EDA">
        <w:rPr>
          <w:lang w:eastAsia="es-ES"/>
        </w:rPr>
        <w:tab/>
        <w:t xml:space="preserve">Au point </w:t>
      </w:r>
      <w:r w:rsidRPr="00372EDA">
        <w:rPr>
          <w:b/>
          <w:lang w:eastAsia="es-ES"/>
        </w:rPr>
        <w:t>93</w:t>
      </w:r>
      <w:r w:rsidRPr="00372EDA">
        <w:rPr>
          <w:bCs/>
          <w:lang w:eastAsia="es-ES"/>
        </w:rPr>
        <w:t>,</w:t>
      </w:r>
      <w:r w:rsidRPr="00372EDA">
        <w:rPr>
          <w:lang w:eastAsia="es-ES"/>
        </w:rPr>
        <w:t xml:space="preserve"> qui se rapporte au 7.1.5.3.3, la Suisse a formulé des observations visant à modifier les deux versions linguistiques du texte afin de renforcer la disposition en transformant la recommandation en obligation. N’ayant pas été confiées au groupe au titre du mandat conféré par le Sous</w:t>
      </w:r>
      <w:r w:rsidR="00043817">
        <w:rPr>
          <w:lang w:eastAsia="es-ES"/>
        </w:rPr>
        <w:noBreakHyphen/>
      </w:r>
      <w:r w:rsidRPr="00372EDA">
        <w:rPr>
          <w:lang w:eastAsia="es-ES"/>
        </w:rPr>
        <w:t>Comité d’experts (voir par. 6 ci-dessus), ces questions n’ont pas été traitées mais elles pourraient faire l’objet de futures propositions.</w:t>
      </w:r>
    </w:p>
    <w:p w:rsidR="00DE183E" w:rsidRPr="00372EDA" w:rsidRDefault="00DE183E" w:rsidP="00DE183E">
      <w:pPr>
        <w:pStyle w:val="SingleTxtG"/>
        <w:ind w:left="2268"/>
        <w:rPr>
          <w:lang w:eastAsia="es-ES"/>
        </w:rPr>
      </w:pPr>
      <w:r w:rsidRPr="00372EDA">
        <w:rPr>
          <w:lang w:eastAsia="es-ES"/>
        </w:rPr>
        <w:t>Le groupe appelle l’attention sur un passage pertinent du 7.1.5.3.3</w:t>
      </w:r>
      <w:r>
        <w:rPr>
          <w:lang w:eastAsia="es-ES"/>
        </w:rPr>
        <w:t> :</w:t>
      </w:r>
    </w:p>
    <w:p w:rsidR="00DE183E" w:rsidRPr="00372EDA" w:rsidRDefault="00DE183E" w:rsidP="00DE183E">
      <w:pPr>
        <w:pStyle w:val="SingleTxtG"/>
        <w:ind w:left="2268"/>
        <w:rPr>
          <w:lang w:eastAsia="es-ES"/>
        </w:rPr>
      </w:pPr>
      <w:r w:rsidRPr="00372EDA">
        <w:rPr>
          <w:lang w:eastAsia="es-ES"/>
        </w:rPr>
        <w:t>« </w:t>
      </w:r>
      <w:proofErr w:type="spellStart"/>
      <w:r w:rsidRPr="00372EDA">
        <w:rPr>
          <w:lang w:eastAsia="es-ES"/>
        </w:rPr>
        <w:t>it</w:t>
      </w:r>
      <w:proofErr w:type="spellEnd"/>
      <w:r w:rsidRPr="00372EDA">
        <w:rPr>
          <w:lang w:eastAsia="es-ES"/>
        </w:rPr>
        <w:t xml:space="preserve"> </w:t>
      </w:r>
      <w:proofErr w:type="spellStart"/>
      <w:r w:rsidRPr="00372EDA">
        <w:rPr>
          <w:lang w:eastAsia="es-ES"/>
        </w:rPr>
        <w:t>may</w:t>
      </w:r>
      <w:proofErr w:type="spellEnd"/>
      <w:r w:rsidRPr="00372EDA">
        <w:rPr>
          <w:lang w:eastAsia="es-ES"/>
        </w:rPr>
        <w:t xml:space="preserve"> </w:t>
      </w:r>
      <w:proofErr w:type="spellStart"/>
      <w:r w:rsidRPr="00372EDA">
        <w:rPr>
          <w:lang w:eastAsia="es-ES"/>
        </w:rPr>
        <w:t>require</w:t>
      </w:r>
      <w:proofErr w:type="spellEnd"/>
      <w:r w:rsidRPr="00372EDA">
        <w:rPr>
          <w:lang w:eastAsia="es-ES"/>
        </w:rPr>
        <w:t xml:space="preserve"> </w:t>
      </w:r>
      <w:proofErr w:type="spellStart"/>
      <w:r w:rsidRPr="00372EDA">
        <w:rPr>
          <w:lang w:eastAsia="es-ES"/>
        </w:rPr>
        <w:t>temperature</w:t>
      </w:r>
      <w:proofErr w:type="spellEnd"/>
      <w:r w:rsidRPr="00372EDA">
        <w:rPr>
          <w:lang w:eastAsia="es-ES"/>
        </w:rPr>
        <w:t xml:space="preserve"> control »/« la régulation de température </w:t>
      </w:r>
      <w:r w:rsidRPr="00372EDA">
        <w:rPr>
          <w:b/>
          <w:strike/>
          <w:u w:val="single"/>
          <w:lang w:eastAsia="es-ES"/>
        </w:rPr>
        <w:t>peut</w:t>
      </w:r>
      <w:r w:rsidRPr="00372EDA">
        <w:rPr>
          <w:lang w:eastAsia="es-ES"/>
        </w:rPr>
        <w:t>/</w:t>
      </w:r>
      <w:r w:rsidRPr="00372EDA">
        <w:rPr>
          <w:b/>
          <w:u w:val="single"/>
          <w:lang w:eastAsia="es-ES"/>
        </w:rPr>
        <w:t>pourrait</w:t>
      </w:r>
      <w:r w:rsidRPr="00372EDA">
        <w:rPr>
          <w:lang w:eastAsia="es-ES"/>
        </w:rPr>
        <w:t xml:space="preserve"> s’imposer ».</w:t>
      </w:r>
    </w:p>
    <w:p w:rsidR="00DE183E" w:rsidRPr="007F0C5A" w:rsidRDefault="00DE183E" w:rsidP="00DE183E">
      <w:pPr>
        <w:pStyle w:val="SingleTxtG"/>
        <w:ind w:left="2268"/>
      </w:pPr>
      <w:r w:rsidRPr="00372EDA">
        <w:rPr>
          <w:lang w:eastAsia="es-ES"/>
        </w:rPr>
        <w:t>La proposition du groupe tend simplement à harmoniser les textes des deux versions linguistiques.</w:t>
      </w:r>
    </w:p>
    <w:p w:rsidR="00DE183E" w:rsidRPr="00372EDA" w:rsidRDefault="00DE183E" w:rsidP="00DE183E">
      <w:pPr>
        <w:pStyle w:val="HChG"/>
      </w:pPr>
      <w:r w:rsidRPr="00372EDA">
        <w:tab/>
      </w:r>
      <w:r w:rsidRPr="00372EDA">
        <w:tab/>
        <w:t>Propositions</w:t>
      </w:r>
    </w:p>
    <w:p w:rsidR="00DE183E" w:rsidRPr="00372EDA" w:rsidRDefault="00DE183E" w:rsidP="00DE183E">
      <w:pPr>
        <w:pStyle w:val="SingleTxtG"/>
      </w:pPr>
      <w:r w:rsidRPr="00372EDA">
        <w:t>8.</w:t>
      </w:r>
      <w:r w:rsidRPr="00372EDA">
        <w:tab/>
        <w:t>Par conséquent, le groupe de travail informel soumet à la Réunion commune les propositions annexées afin qu’elles puissent être présentées au Sous-Comité d’experts.</w:t>
      </w:r>
    </w:p>
    <w:p w:rsidR="00DE183E" w:rsidRPr="00372EDA" w:rsidRDefault="00DE183E" w:rsidP="00DE183E">
      <w:pPr>
        <w:pStyle w:val="SingleTxtG"/>
      </w:pPr>
      <w:r w:rsidRPr="00372EDA">
        <w:lastRenderedPageBreak/>
        <w:t>9.</w:t>
      </w:r>
      <w:r w:rsidRPr="00372EDA">
        <w:tab/>
        <w:t>Le groupe de travail informel accueillera avec intérêt toute autre suggestion visant à améliorer les textes du Règlement type en vue de trouver les meilleures solutions concernant les dispositions actuelles.</w:t>
      </w:r>
    </w:p>
    <w:p w:rsidR="00DE183E" w:rsidRPr="00372EDA" w:rsidRDefault="00DE183E" w:rsidP="00DE183E">
      <w:pPr>
        <w:pStyle w:val="HChG"/>
        <w:rPr>
          <w:lang w:eastAsia="es-ES"/>
        </w:rPr>
      </w:pPr>
      <w:r w:rsidRPr="00372EDA">
        <w:rPr>
          <w:lang w:eastAsia="es-ES"/>
        </w:rPr>
        <w:br w:type="page"/>
      </w:r>
      <w:r w:rsidRPr="00372EDA">
        <w:rPr>
          <w:lang w:eastAsia="es-ES"/>
        </w:rPr>
        <w:lastRenderedPageBreak/>
        <w:t>Annexe</w:t>
      </w:r>
    </w:p>
    <w:p w:rsidR="00DE183E" w:rsidRPr="00372EDA" w:rsidRDefault="00DE183E" w:rsidP="00DE183E">
      <w:pPr>
        <w:pStyle w:val="SingleTxtG"/>
        <w:ind w:right="0"/>
        <w:jc w:val="right"/>
        <w:rPr>
          <w:lang w:eastAsia="es-ES"/>
        </w:rPr>
      </w:pPr>
      <w:r w:rsidRPr="00372EDA">
        <w:rPr>
          <w:lang w:eastAsia="es-ES"/>
        </w:rPr>
        <w:t>[</w:t>
      </w:r>
      <w:r>
        <w:rPr>
          <w:lang w:eastAsia="es-ES"/>
        </w:rPr>
        <w:t>A</w:t>
      </w:r>
      <w:r w:rsidRPr="00372EDA">
        <w:rPr>
          <w:lang w:eastAsia="es-ES"/>
        </w:rPr>
        <w:t>nglais/français uniquement]</w:t>
      </w:r>
    </w:p>
    <w:tbl>
      <w:tblPr>
        <w:tblW w:w="9637" w:type="dxa"/>
        <w:tblLayout w:type="fixed"/>
        <w:tblCellMar>
          <w:left w:w="0" w:type="dxa"/>
          <w:right w:w="0" w:type="dxa"/>
        </w:tblCellMar>
        <w:tblLook w:val="04A0" w:firstRow="1" w:lastRow="0" w:firstColumn="1" w:lastColumn="0" w:noHBand="0" w:noVBand="1"/>
      </w:tblPr>
      <w:tblGrid>
        <w:gridCol w:w="732"/>
        <w:gridCol w:w="1762"/>
        <w:gridCol w:w="3297"/>
        <w:gridCol w:w="3846"/>
      </w:tblGrid>
      <w:tr w:rsidR="00DE183E" w:rsidRPr="00372EDA" w:rsidTr="00DE183E">
        <w:trPr>
          <w:trHeight w:val="312"/>
          <w:tblHeader/>
        </w:trPr>
        <w:tc>
          <w:tcPr>
            <w:tcW w:w="73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DE183E" w:rsidRPr="00372EDA" w:rsidRDefault="00DE183E" w:rsidP="00DE183E">
            <w:pPr>
              <w:spacing w:before="60" w:after="60" w:line="240" w:lineRule="auto"/>
              <w:ind w:left="57" w:right="57"/>
              <w:jc w:val="center"/>
              <w:rPr>
                <w:b/>
                <w:bCs/>
              </w:rPr>
            </w:pPr>
            <w:r w:rsidRPr="00372EDA">
              <w:rPr>
                <w:b/>
                <w:bCs/>
              </w:rPr>
              <w:t>Point</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jc w:val="center"/>
              <w:rPr>
                <w:b/>
                <w:bCs/>
                <w:lang w:eastAsia="ro-RO"/>
              </w:rPr>
            </w:pPr>
            <w:r w:rsidRPr="00372EDA">
              <w:rPr>
                <w:b/>
                <w:bCs/>
                <w:lang w:eastAsia="ro-RO"/>
              </w:rPr>
              <w:t>Référence</w:t>
            </w:r>
          </w:p>
        </w:tc>
        <w:tc>
          <w:tcPr>
            <w:tcW w:w="714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jc w:val="center"/>
              <w:rPr>
                <w:b/>
                <w:bCs/>
                <w:lang w:eastAsia="ro-RO"/>
              </w:rPr>
            </w:pPr>
            <w:r w:rsidRPr="00372EDA">
              <w:rPr>
                <w:b/>
                <w:bCs/>
                <w:lang w:eastAsia="ro-RO"/>
              </w:rPr>
              <w:t>Propositions</w:t>
            </w:r>
          </w:p>
        </w:tc>
      </w:tr>
      <w:tr w:rsidR="00DE183E" w:rsidRPr="00372EDA" w:rsidTr="00DE183E">
        <w:trPr>
          <w:trHeight w:val="231"/>
          <w:tblHeader/>
        </w:trPr>
        <w:tc>
          <w:tcPr>
            <w:tcW w:w="73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rPr>
                <w:b/>
                <w:bCs/>
                <w:lang w:eastAsia="ro-RO"/>
              </w:rPr>
            </w:pPr>
          </w:p>
        </w:tc>
        <w:tc>
          <w:tcPr>
            <w:tcW w:w="176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rPr>
                <w:b/>
                <w:bCs/>
                <w:lang w:eastAsia="ro-RO"/>
              </w:rPr>
            </w:pPr>
          </w:p>
        </w:tc>
        <w:tc>
          <w:tcPr>
            <w:tcW w:w="3297" w:type="dxa"/>
            <w:tcBorders>
              <w:top w:val="nil"/>
              <w:left w:val="nil"/>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jc w:val="center"/>
              <w:rPr>
                <w:b/>
                <w:bCs/>
                <w:lang w:eastAsia="ro-RO"/>
              </w:rPr>
            </w:pPr>
            <w:r w:rsidRPr="00372EDA">
              <w:rPr>
                <w:b/>
                <w:bCs/>
                <w:lang w:eastAsia="ro-RO"/>
              </w:rPr>
              <w:t>Anglais</w:t>
            </w:r>
          </w:p>
        </w:tc>
        <w:tc>
          <w:tcPr>
            <w:tcW w:w="3846" w:type="dxa"/>
            <w:tcBorders>
              <w:top w:val="nil"/>
              <w:left w:val="nil"/>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jc w:val="center"/>
              <w:rPr>
                <w:b/>
                <w:bCs/>
                <w:lang w:eastAsia="ro-RO"/>
              </w:rPr>
            </w:pPr>
            <w:r w:rsidRPr="00372EDA">
              <w:rPr>
                <w:b/>
                <w:bCs/>
                <w:lang w:eastAsia="ro-RO"/>
              </w:rPr>
              <w:t>Français</w:t>
            </w:r>
          </w:p>
        </w:tc>
      </w:tr>
      <w:tr w:rsidR="00DE183E" w:rsidRPr="00372EDA" w:rsidTr="00DE183E">
        <w:trPr>
          <w:trHeight w:val="533"/>
        </w:trPr>
        <w:tc>
          <w:tcPr>
            <w:tcW w:w="732" w:type="dxa"/>
            <w:tcBorders>
              <w:top w:val="nil"/>
              <w:left w:val="single" w:sz="4" w:space="0" w:color="auto"/>
              <w:bottom w:val="single" w:sz="4" w:space="0" w:color="auto"/>
              <w:right w:val="single" w:sz="4" w:space="0" w:color="auto"/>
            </w:tcBorders>
            <w:shd w:val="clear" w:color="auto" w:fill="C6D9F1" w:themeFill="text2" w:themeFillTint="33"/>
            <w:noWrap/>
          </w:tcPr>
          <w:p w:rsidR="00DE183E" w:rsidRPr="00372EDA" w:rsidRDefault="00DE183E" w:rsidP="00DE183E">
            <w:pPr>
              <w:spacing w:before="60" w:after="60" w:line="240" w:lineRule="auto"/>
              <w:ind w:left="57" w:right="57"/>
              <w:jc w:val="center"/>
              <w:rPr>
                <w:b/>
                <w:bCs/>
              </w:rPr>
            </w:pPr>
            <w:r w:rsidRPr="00372EDA">
              <w:rPr>
                <w:b/>
                <w:bCs/>
              </w:rPr>
              <w:t>0</w:t>
            </w:r>
          </w:p>
        </w:tc>
        <w:tc>
          <w:tcPr>
            <w:tcW w:w="1762" w:type="dxa"/>
            <w:tcBorders>
              <w:top w:val="nil"/>
              <w:left w:val="nil"/>
              <w:bottom w:val="single" w:sz="4" w:space="0" w:color="auto"/>
              <w:right w:val="single" w:sz="4" w:space="0" w:color="auto"/>
            </w:tcBorders>
            <w:shd w:val="clear" w:color="auto" w:fill="C6D9F1" w:themeFill="text2" w:themeFillTint="33"/>
          </w:tcPr>
          <w:p w:rsidR="00DE183E" w:rsidRPr="00372EDA" w:rsidRDefault="00DE183E" w:rsidP="00DE183E">
            <w:pPr>
              <w:spacing w:before="60" w:after="60" w:line="240" w:lineRule="auto"/>
              <w:ind w:left="57" w:right="57"/>
              <w:jc w:val="center"/>
              <w:rPr>
                <w:b/>
                <w:bCs/>
              </w:rPr>
            </w:pPr>
            <w:r w:rsidRPr="00372EDA">
              <w:rPr>
                <w:b/>
                <w:bCs/>
              </w:rPr>
              <w:t>1</w:t>
            </w:r>
          </w:p>
        </w:tc>
        <w:tc>
          <w:tcPr>
            <w:tcW w:w="3297" w:type="dxa"/>
            <w:tcBorders>
              <w:top w:val="nil"/>
              <w:left w:val="nil"/>
              <w:bottom w:val="single" w:sz="4" w:space="0" w:color="auto"/>
              <w:right w:val="single" w:sz="4" w:space="0" w:color="auto"/>
            </w:tcBorders>
            <w:shd w:val="clear" w:color="auto" w:fill="C6D9F1" w:themeFill="text2" w:themeFillTint="33"/>
            <w:hideMark/>
          </w:tcPr>
          <w:p w:rsidR="00DE183E" w:rsidRPr="00372EDA" w:rsidRDefault="00DE183E" w:rsidP="00DE183E">
            <w:pPr>
              <w:spacing w:before="60" w:after="60" w:line="240" w:lineRule="auto"/>
              <w:ind w:left="57" w:right="57"/>
              <w:jc w:val="center"/>
              <w:rPr>
                <w:b/>
                <w:bCs/>
                <w:lang w:eastAsia="ro-RO"/>
              </w:rPr>
            </w:pPr>
            <w:proofErr w:type="spellStart"/>
            <w:r w:rsidRPr="00372EDA">
              <w:rPr>
                <w:b/>
                <w:bCs/>
                <w:lang w:eastAsia="ro-RO"/>
              </w:rPr>
              <w:t>Recommendation</w:t>
            </w:r>
            <w:proofErr w:type="spellEnd"/>
            <w:r w:rsidRPr="00372EDA">
              <w:rPr>
                <w:b/>
                <w:bCs/>
                <w:lang w:eastAsia="ro-RO"/>
              </w:rPr>
              <w:t xml:space="preserve"> TDG</w:t>
            </w:r>
          </w:p>
        </w:tc>
        <w:tc>
          <w:tcPr>
            <w:tcW w:w="3846" w:type="dxa"/>
            <w:tcBorders>
              <w:top w:val="nil"/>
              <w:left w:val="nil"/>
              <w:bottom w:val="single" w:sz="4" w:space="0" w:color="auto"/>
              <w:right w:val="single" w:sz="4" w:space="0" w:color="auto"/>
            </w:tcBorders>
            <w:shd w:val="clear" w:color="auto" w:fill="C6D9F1" w:themeFill="text2" w:themeFillTint="33"/>
            <w:hideMark/>
          </w:tcPr>
          <w:p w:rsidR="00DE183E" w:rsidRPr="00372EDA" w:rsidRDefault="00DE183E" w:rsidP="00DE183E">
            <w:pPr>
              <w:spacing w:before="60" w:after="60" w:line="240" w:lineRule="auto"/>
              <w:ind w:left="57" w:right="57"/>
              <w:jc w:val="center"/>
              <w:rPr>
                <w:sz w:val="16"/>
                <w:szCs w:val="16"/>
              </w:rPr>
            </w:pPr>
            <w:r w:rsidRPr="00372EDA">
              <w:rPr>
                <w:b/>
                <w:bCs/>
                <w:lang w:eastAsia="ro-RO"/>
              </w:rPr>
              <w:t>Recommandations TMD</w:t>
            </w:r>
          </w:p>
        </w:tc>
      </w:tr>
      <w:tr w:rsidR="00DE183E" w:rsidRPr="00372EDA" w:rsidTr="00DE183E">
        <w:trPr>
          <w:trHeight w:val="533"/>
        </w:trPr>
        <w:tc>
          <w:tcPr>
            <w:tcW w:w="732" w:type="dxa"/>
            <w:tcBorders>
              <w:top w:val="nil"/>
              <w:left w:val="single" w:sz="4" w:space="0" w:color="auto"/>
              <w:bottom w:val="single" w:sz="4" w:space="0" w:color="auto"/>
              <w:right w:val="single" w:sz="4" w:space="0" w:color="auto"/>
            </w:tcBorders>
            <w:shd w:val="clear" w:color="auto" w:fill="auto"/>
            <w:noWrap/>
          </w:tcPr>
          <w:p w:rsidR="00DE183E" w:rsidRPr="00372EDA" w:rsidRDefault="00DE183E" w:rsidP="00DE183E">
            <w:pPr>
              <w:spacing w:before="60" w:after="60" w:line="240" w:lineRule="auto"/>
              <w:ind w:left="57" w:right="57"/>
              <w:jc w:val="center"/>
              <w:rPr>
                <w:b/>
                <w:bCs/>
              </w:rPr>
            </w:pPr>
            <w:r w:rsidRPr="00372EDA">
              <w:rPr>
                <w:b/>
                <w:bCs/>
              </w:rPr>
              <w:t>1</w:t>
            </w:r>
          </w:p>
        </w:tc>
        <w:tc>
          <w:tcPr>
            <w:tcW w:w="1762" w:type="dxa"/>
            <w:tcBorders>
              <w:top w:val="nil"/>
              <w:left w:val="nil"/>
              <w:bottom w:val="single" w:sz="4" w:space="0" w:color="auto"/>
              <w:right w:val="single" w:sz="4" w:space="0" w:color="auto"/>
            </w:tcBorders>
            <w:shd w:val="clear" w:color="auto" w:fill="auto"/>
          </w:tcPr>
          <w:p w:rsidR="00DE183E" w:rsidRPr="00372EDA" w:rsidRDefault="00DE183E" w:rsidP="00DE183E">
            <w:pPr>
              <w:spacing w:before="60" w:after="60" w:line="240" w:lineRule="auto"/>
              <w:ind w:left="57" w:right="57"/>
              <w:rPr>
                <w:lang w:eastAsia="ro-RO"/>
              </w:rPr>
            </w:pPr>
            <w:r w:rsidRPr="00372EDA">
              <w:rPr>
                <w:lang w:eastAsia="ro-RO"/>
              </w:rPr>
              <w:t>Recommandations,</w:t>
            </w:r>
            <w:r w:rsidRPr="00372EDA">
              <w:rPr>
                <w:lang w:eastAsia="ro-RO"/>
              </w:rPr>
              <w:br/>
              <w:t>paragraphe 4</w:t>
            </w:r>
          </w:p>
        </w:tc>
        <w:tc>
          <w:tcPr>
            <w:tcW w:w="3297" w:type="dxa"/>
            <w:tcBorders>
              <w:top w:val="nil"/>
              <w:left w:val="nil"/>
              <w:bottom w:val="single" w:sz="4" w:space="0" w:color="auto"/>
              <w:right w:val="single" w:sz="4" w:space="0" w:color="auto"/>
            </w:tcBorders>
            <w:shd w:val="clear" w:color="auto" w:fill="auto"/>
          </w:tcPr>
          <w:p w:rsidR="00DE183E" w:rsidRPr="00372EDA" w:rsidRDefault="00DE183E" w:rsidP="00DE183E">
            <w:pPr>
              <w:spacing w:before="60" w:after="60" w:line="240" w:lineRule="auto"/>
              <w:ind w:left="57" w:right="57"/>
              <w:rPr>
                <w:lang w:eastAsia="ro-RO"/>
              </w:rPr>
            </w:pPr>
          </w:p>
        </w:tc>
        <w:tc>
          <w:tcPr>
            <w:tcW w:w="3846" w:type="dxa"/>
            <w:tcBorders>
              <w:top w:val="nil"/>
              <w:left w:val="nil"/>
              <w:bottom w:val="single" w:sz="4" w:space="0" w:color="auto"/>
              <w:right w:val="single" w:sz="4" w:space="0" w:color="auto"/>
            </w:tcBorders>
            <w:shd w:val="clear" w:color="auto" w:fill="auto"/>
          </w:tcPr>
          <w:p w:rsidR="00DE183E" w:rsidRPr="00372EDA" w:rsidRDefault="00DE183E" w:rsidP="00DE183E">
            <w:pPr>
              <w:spacing w:before="60" w:after="60" w:line="240" w:lineRule="auto"/>
              <w:ind w:left="57" w:right="57"/>
              <w:rPr>
                <w:lang w:eastAsia="ro-RO"/>
              </w:rPr>
            </w:pPr>
          </w:p>
        </w:tc>
      </w:tr>
      <w:tr w:rsidR="00DE183E" w:rsidRPr="00372EDA" w:rsidTr="00DE183E">
        <w:trPr>
          <w:trHeight w:val="388"/>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2</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Recommandations,</w:t>
            </w:r>
            <w:r w:rsidRPr="00372EDA">
              <w:rPr>
                <w:lang w:eastAsia="ro-RO"/>
              </w:rPr>
              <w:br/>
              <w:t>paragraphe 8</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Remplacer «</w:t>
            </w:r>
            <w:r w:rsidR="007F0C5A">
              <w:rPr>
                <w:lang w:eastAsia="ro-RO"/>
              </w:rPr>
              <w:t> </w:t>
            </w:r>
            <w:r w:rsidRPr="00372EDA">
              <w:rPr>
                <w:lang w:eastAsia="ro-RO"/>
              </w:rPr>
              <w:t>risque</w:t>
            </w:r>
            <w:r w:rsidR="007F0C5A">
              <w:rPr>
                <w:lang w:eastAsia="ro-RO"/>
              </w:rPr>
              <w:t> </w:t>
            </w:r>
            <w:r w:rsidRPr="00372EDA">
              <w:rPr>
                <w:lang w:eastAsia="ro-RO"/>
              </w:rPr>
              <w:t>» par «</w:t>
            </w:r>
            <w:r w:rsidR="007F0C5A">
              <w:rPr>
                <w:lang w:eastAsia="ro-RO"/>
              </w:rPr>
              <w:t> </w:t>
            </w:r>
            <w:r w:rsidRPr="00372EDA">
              <w:rPr>
                <w:lang w:eastAsia="ro-RO"/>
              </w:rPr>
              <w:t>danger</w:t>
            </w:r>
            <w:r w:rsidR="007F0C5A">
              <w:rPr>
                <w:lang w:eastAsia="ro-RO"/>
              </w:rPr>
              <w:t> </w:t>
            </w:r>
            <w:r w:rsidRPr="00372EDA">
              <w:rPr>
                <w:lang w:eastAsia="ro-RO"/>
              </w:rPr>
              <w:t>».</w:t>
            </w:r>
          </w:p>
        </w:tc>
      </w:tr>
      <w:tr w:rsidR="00DE183E" w:rsidRPr="00372EDA" w:rsidTr="00DE183E">
        <w:trPr>
          <w:trHeight w:val="446"/>
        </w:trPr>
        <w:tc>
          <w:tcPr>
            <w:tcW w:w="732"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DE183E" w:rsidRPr="00372EDA" w:rsidRDefault="00DE183E" w:rsidP="00DE183E">
            <w:pPr>
              <w:spacing w:before="60" w:after="60" w:line="240" w:lineRule="auto"/>
              <w:ind w:left="57" w:right="57"/>
              <w:jc w:val="center"/>
              <w:rPr>
                <w:b/>
                <w:bCs/>
                <w:lang w:eastAsia="ro-RO"/>
              </w:rPr>
            </w:pPr>
            <w:r w:rsidRPr="00372EDA">
              <w:rPr>
                <w:b/>
                <w:bCs/>
                <w:lang w:eastAsia="ro-RO"/>
              </w:rPr>
              <w:t> </w:t>
            </w:r>
          </w:p>
        </w:tc>
        <w:tc>
          <w:tcPr>
            <w:tcW w:w="1762" w:type="dxa"/>
            <w:tcBorders>
              <w:top w:val="nil"/>
              <w:left w:val="nil"/>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rPr>
                <w:b/>
                <w:bCs/>
                <w:lang w:eastAsia="ro-RO"/>
              </w:rPr>
            </w:pPr>
            <w:r w:rsidRPr="00372EDA">
              <w:rPr>
                <w:b/>
                <w:bCs/>
                <w:lang w:eastAsia="ro-RO"/>
              </w:rPr>
              <w:t>Annexe, Vol. I</w:t>
            </w:r>
          </w:p>
        </w:tc>
        <w:tc>
          <w:tcPr>
            <w:tcW w:w="3297" w:type="dxa"/>
            <w:tcBorders>
              <w:top w:val="nil"/>
              <w:left w:val="nil"/>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jc w:val="center"/>
              <w:rPr>
                <w:b/>
                <w:bCs/>
                <w:lang w:eastAsia="ro-RO"/>
              </w:rPr>
            </w:pPr>
            <w:r w:rsidRPr="00372EDA">
              <w:rPr>
                <w:b/>
                <w:bCs/>
                <w:lang w:eastAsia="ro-RO"/>
              </w:rPr>
              <w:t xml:space="preserve">UN Model </w:t>
            </w:r>
            <w:proofErr w:type="spellStart"/>
            <w:r w:rsidRPr="00372EDA">
              <w:rPr>
                <w:b/>
                <w:bCs/>
                <w:lang w:eastAsia="ro-RO"/>
              </w:rPr>
              <w:t>Regulations</w:t>
            </w:r>
            <w:proofErr w:type="spellEnd"/>
          </w:p>
        </w:tc>
        <w:tc>
          <w:tcPr>
            <w:tcW w:w="3846" w:type="dxa"/>
            <w:tcBorders>
              <w:top w:val="nil"/>
              <w:left w:val="nil"/>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jc w:val="center"/>
              <w:rPr>
                <w:b/>
                <w:bCs/>
                <w:lang w:eastAsia="ro-RO"/>
              </w:rPr>
            </w:pPr>
            <w:r w:rsidRPr="00372EDA">
              <w:rPr>
                <w:b/>
                <w:bCs/>
                <w:lang w:eastAsia="ro-RO"/>
              </w:rPr>
              <w:t>Règlement type ONU</w:t>
            </w:r>
          </w:p>
        </w:tc>
      </w:tr>
      <w:tr w:rsidR="00DE183E" w:rsidRPr="00372EDA" w:rsidTr="00DE183E">
        <w:trPr>
          <w:trHeight w:val="78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3</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1.3.2 c)</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"risk of exposure" by "likelihood of exposure, and the hazards involved,</w:t>
            </w:r>
            <w:r w:rsidR="007F0C5A">
              <w:rPr>
                <w:szCs w:val="22"/>
                <w:lang w:val="en-US"/>
              </w:rPr>
              <w:t> </w:t>
            </w:r>
            <w:r w:rsidRPr="00372EDA">
              <w:rPr>
                <w:szCs w:val="22"/>
                <w:lang w:val="en-US"/>
              </w:rPr>
              <w: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des risques d’exposition</w:t>
            </w:r>
            <w:r w:rsidR="007F0C5A">
              <w:rPr>
                <w:szCs w:val="22"/>
              </w:rPr>
              <w:t> </w:t>
            </w:r>
            <w:r w:rsidRPr="00372EDA">
              <w:rPr>
                <w:szCs w:val="22"/>
              </w:rPr>
              <w:t>» par « de la probabilité d’exposition et des dangers impliqués,</w:t>
            </w:r>
            <w:r w:rsidR="007F0C5A">
              <w:rPr>
                <w:szCs w:val="22"/>
              </w:rPr>
              <w:t> </w:t>
            </w:r>
            <w:r w:rsidRPr="00372EDA">
              <w:rPr>
                <w:szCs w:val="22"/>
              </w:rPr>
              <w:t>».</w:t>
            </w:r>
          </w:p>
        </w:tc>
      </w:tr>
      <w:tr w:rsidR="00DE183E" w:rsidRPr="00372EDA" w:rsidTr="00DE183E">
        <w:trPr>
          <w:trHeight w:val="351"/>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4</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1.4.2.2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
        </w:tc>
      </w:tr>
      <w:tr w:rsidR="00DE183E" w:rsidRPr="00372EDA" w:rsidTr="00DE183E">
        <w:trPr>
          <w:trHeight w:val="389"/>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5</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1.4.3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 haut risque</w:t>
            </w:r>
            <w:r w:rsidR="007F0C5A">
              <w:rPr>
                <w:szCs w:val="22"/>
              </w:rPr>
              <w:t> </w:t>
            </w:r>
            <w:r w:rsidRPr="00372EDA">
              <w:rPr>
                <w:szCs w:val="22"/>
              </w:rPr>
              <w:t>» par « potentiel de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w:t>
            </w:r>
            <w:r w:rsidR="007F0C5A">
              <w:rPr>
                <w:szCs w:val="22"/>
              </w:rPr>
              <w:t xml:space="preserve"> </w:t>
            </w:r>
            <w:r w:rsidRPr="00372EDA">
              <w:rPr>
                <w:szCs w:val="22"/>
              </w:rPr>
              <w:t>«</w:t>
            </w:r>
            <w:r w:rsidR="007F0C5A">
              <w:rPr>
                <w:szCs w:val="22"/>
              </w:rPr>
              <w:t> </w:t>
            </w:r>
            <w:r w:rsidRPr="00372EDA">
              <w:rPr>
                <w:szCs w:val="22"/>
              </w:rPr>
              <w:t>haut risque</w:t>
            </w:r>
            <w:r w:rsidR="007F0C5A">
              <w:rPr>
                <w:szCs w:val="22"/>
              </w:rPr>
              <w:t> </w:t>
            </w:r>
            <w:r w:rsidRPr="00372EDA">
              <w:rPr>
                <w:szCs w:val="22"/>
              </w:rPr>
              <w:t>» par «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r w:rsidRPr="00372EDA">
              <w:rPr>
                <w:szCs w:val="22"/>
              </w:rPr>
              <w:t>(voir aussi le par</w:t>
            </w:r>
            <w:r w:rsidR="00043817">
              <w:rPr>
                <w:szCs w:val="22"/>
              </w:rPr>
              <w:t xml:space="preserve">agraphe </w:t>
            </w:r>
            <w:r w:rsidRPr="00372EDA">
              <w:rPr>
                <w:szCs w:val="22"/>
              </w:rPr>
              <w:t>7 a) du document)</w:t>
            </w:r>
          </w:p>
        </w:tc>
      </w:tr>
      <w:tr w:rsidR="00DE183E" w:rsidRPr="00372EDA" w:rsidTr="00DE183E">
        <w:trPr>
          <w:trHeight w:val="397"/>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6</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1.4.3.1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potentiel de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 « haut risque</w:t>
            </w:r>
            <w:r w:rsidR="007F0C5A">
              <w:rPr>
                <w:szCs w:val="22"/>
              </w:rPr>
              <w:t> </w:t>
            </w:r>
            <w:r w:rsidRPr="00372EDA">
              <w:rPr>
                <w:szCs w:val="22"/>
              </w:rPr>
              <w:t>» par «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r w:rsidRPr="00372EDA">
              <w:rPr>
                <w:szCs w:val="22"/>
              </w:rPr>
              <w:t xml:space="preserve">(voir aussi </w:t>
            </w:r>
            <w:r w:rsidR="00043817">
              <w:rPr>
                <w:szCs w:val="22"/>
              </w:rPr>
              <w:t>le paragraphe 7</w:t>
            </w:r>
            <w:r w:rsidR="007F0C5A">
              <w:rPr>
                <w:szCs w:val="22"/>
              </w:rPr>
              <w:t> </w:t>
            </w:r>
            <w:r w:rsidRPr="00372EDA">
              <w:rPr>
                <w:szCs w:val="22"/>
              </w:rPr>
              <w:t>a) du document)</w:t>
            </w:r>
          </w:p>
        </w:tc>
      </w:tr>
      <w:tr w:rsidR="00DE183E" w:rsidRPr="00372EDA" w:rsidTr="00DE183E">
        <w:trPr>
          <w:trHeight w:val="67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7</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1.4.3.1.1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potentiel de conséquences graves</w:t>
            </w:r>
            <w:r w:rsidR="007F0C5A">
              <w:rPr>
                <w:szCs w:val="22"/>
              </w:rPr>
              <w:t> </w:t>
            </w:r>
            <w:r w:rsidRPr="00372EDA">
              <w:rPr>
                <w:szCs w:val="22"/>
              </w:rPr>
              <w:t>» et remplacer «</w:t>
            </w:r>
            <w:r w:rsidR="007F0C5A">
              <w:rPr>
                <w:szCs w:val="22"/>
              </w:rPr>
              <w:t> </w:t>
            </w:r>
            <w:r w:rsidRPr="00372EDA">
              <w:rPr>
                <w:szCs w:val="22"/>
              </w:rPr>
              <w:t>risquent</w:t>
            </w:r>
            <w:r w:rsidR="007F0C5A">
              <w:rPr>
                <w:szCs w:val="22"/>
              </w:rPr>
              <w:t> </w:t>
            </w:r>
            <w:r w:rsidRPr="00372EDA">
              <w:rPr>
                <w:szCs w:val="22"/>
              </w:rPr>
              <w:t>» par «</w:t>
            </w:r>
            <w:r w:rsidR="007F0C5A">
              <w:rPr>
                <w:szCs w:val="22"/>
              </w:rPr>
              <w:t> </w:t>
            </w:r>
            <w:r w:rsidRPr="00372EDA">
              <w:rPr>
                <w:szCs w:val="22"/>
              </w:rPr>
              <w:t>ont le potentiel ».</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conséquences graves</w:t>
            </w:r>
            <w:r w:rsidR="007F0C5A">
              <w:rPr>
                <w:szCs w:val="22"/>
              </w:rPr>
              <w:t> </w:t>
            </w:r>
            <w:r w:rsidRPr="00372EDA">
              <w:rPr>
                <w:szCs w:val="22"/>
              </w:rPr>
              <w:t>» et remplacer « risquent</w:t>
            </w:r>
            <w:r w:rsidR="007F0C5A">
              <w:rPr>
                <w:szCs w:val="22"/>
              </w:rPr>
              <w:t> </w:t>
            </w:r>
            <w:r w:rsidRPr="00372EDA">
              <w:rPr>
                <w:szCs w:val="22"/>
              </w:rPr>
              <w:t>» par « ont le potentiel ».</w:t>
            </w:r>
          </w:p>
          <w:p w:rsidR="00DE183E" w:rsidRPr="00372EDA" w:rsidRDefault="00DE183E" w:rsidP="00DE183E">
            <w:pPr>
              <w:spacing w:before="60" w:after="60" w:line="240" w:lineRule="auto"/>
              <w:ind w:left="57" w:right="57"/>
              <w:rPr>
                <w:szCs w:val="22"/>
              </w:rPr>
            </w:pPr>
            <w:r w:rsidRPr="00372EDA">
              <w:rPr>
                <w:szCs w:val="22"/>
              </w:rPr>
              <w:t xml:space="preserve">(voir aussi </w:t>
            </w:r>
            <w:r w:rsidR="00043817">
              <w:rPr>
                <w:szCs w:val="22"/>
              </w:rPr>
              <w:t>le paragraphe 7</w:t>
            </w:r>
            <w:r w:rsidR="007F0C5A">
              <w:rPr>
                <w:szCs w:val="22"/>
              </w:rPr>
              <w:t> </w:t>
            </w:r>
            <w:r w:rsidRPr="00372EDA">
              <w:rPr>
                <w:szCs w:val="22"/>
              </w:rPr>
              <w:t>a) du document)</w:t>
            </w:r>
          </w:p>
        </w:tc>
      </w:tr>
      <w:tr w:rsidR="00DE183E" w:rsidRPr="00372EDA" w:rsidTr="00DE183E">
        <w:trPr>
          <w:trHeight w:val="273"/>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8</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1.4.3.1.2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potentiel de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r w:rsidRPr="00372EDA">
              <w:rPr>
                <w:szCs w:val="22"/>
              </w:rPr>
              <w:t xml:space="preserve">(voir aussi </w:t>
            </w:r>
            <w:r w:rsidR="00043817">
              <w:rPr>
                <w:szCs w:val="22"/>
              </w:rPr>
              <w:t>le paragraphe 7</w:t>
            </w:r>
            <w:r w:rsidR="007F0C5A">
              <w:rPr>
                <w:szCs w:val="22"/>
              </w:rPr>
              <w:t> </w:t>
            </w:r>
            <w:r w:rsidRPr="00372EDA">
              <w:rPr>
                <w:szCs w:val="22"/>
              </w:rPr>
              <w:t>a) du document)</w:t>
            </w:r>
          </w:p>
        </w:tc>
      </w:tr>
      <w:tr w:rsidR="00DE183E" w:rsidRPr="00372EDA" w:rsidTr="00DE183E">
        <w:trPr>
          <w:trHeight w:val="36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9</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1.4.3.1.2, tableau</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potentiel de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r w:rsidRPr="00372EDA">
              <w:rPr>
                <w:szCs w:val="22"/>
              </w:rPr>
              <w:t xml:space="preserve">(voir aussi </w:t>
            </w:r>
            <w:r w:rsidR="00043817">
              <w:rPr>
                <w:szCs w:val="22"/>
              </w:rPr>
              <w:t>le paragraphe 7</w:t>
            </w:r>
            <w:r w:rsidR="007F0C5A">
              <w:rPr>
                <w:szCs w:val="22"/>
              </w:rPr>
              <w:t> </w:t>
            </w:r>
            <w:r w:rsidRPr="00372EDA">
              <w:rPr>
                <w:szCs w:val="22"/>
              </w:rPr>
              <w:t>a) du document)</w:t>
            </w:r>
          </w:p>
        </w:tc>
      </w:tr>
      <w:tr w:rsidR="00DE183E" w:rsidRPr="00372EDA" w:rsidTr="00DE183E">
        <w:trPr>
          <w:trHeight w:val="31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10</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1.4.3.1.3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w:t>
            </w:r>
            <w:r w:rsidRPr="00372EDA">
              <w:rPr>
                <w:lang w:val="fr-FR"/>
              </w:rPr>
              <w:t> </w:t>
            </w:r>
            <w:r w:rsidRPr="00372EDA">
              <w:rPr>
                <w:szCs w:val="22"/>
              </w:rPr>
              <w:t>haut risque</w:t>
            </w:r>
            <w:r w:rsidR="007F0C5A">
              <w:rPr>
                <w:szCs w:val="22"/>
              </w:rPr>
              <w:t> </w:t>
            </w:r>
            <w:r w:rsidRPr="00372EDA">
              <w:rPr>
                <w:szCs w:val="22"/>
              </w:rPr>
              <w:t>» par « potentiel de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r w:rsidRPr="00372EDA">
              <w:rPr>
                <w:szCs w:val="22"/>
              </w:rPr>
              <w:t xml:space="preserve">(voir aussi </w:t>
            </w:r>
            <w:r w:rsidR="00043817">
              <w:rPr>
                <w:szCs w:val="22"/>
              </w:rPr>
              <w:t>le paragraphe 7</w:t>
            </w:r>
            <w:r w:rsidR="007F0C5A">
              <w:rPr>
                <w:szCs w:val="22"/>
              </w:rPr>
              <w:t> </w:t>
            </w:r>
            <w:r w:rsidRPr="00372EDA">
              <w:rPr>
                <w:szCs w:val="22"/>
              </w:rPr>
              <w:t>a) du document)</w:t>
            </w:r>
          </w:p>
        </w:tc>
      </w:tr>
      <w:tr w:rsidR="00DE183E" w:rsidRPr="00372EDA" w:rsidTr="00DE183E">
        <w:trPr>
          <w:trHeight w:val="42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lastRenderedPageBreak/>
              <w:t>11</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1.4.3.2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 haut risque</w:t>
            </w:r>
            <w:r w:rsidR="007F0C5A">
              <w:rPr>
                <w:szCs w:val="22"/>
              </w:rPr>
              <w:t> </w:t>
            </w:r>
            <w:r w:rsidRPr="00372EDA">
              <w:rPr>
                <w:szCs w:val="22"/>
              </w:rPr>
              <w:t>» par « potentiel de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r w:rsidRPr="00372EDA">
              <w:rPr>
                <w:szCs w:val="22"/>
              </w:rPr>
              <w:t xml:space="preserve">(voir aussi </w:t>
            </w:r>
            <w:r w:rsidR="00043817">
              <w:rPr>
                <w:szCs w:val="22"/>
              </w:rPr>
              <w:t>le paragraphe 7 </w:t>
            </w:r>
            <w:r w:rsidRPr="00372EDA">
              <w:rPr>
                <w:szCs w:val="22"/>
              </w:rPr>
              <w:t>a) du document)</w:t>
            </w:r>
          </w:p>
        </w:tc>
      </w:tr>
      <w:tr w:rsidR="00DE183E" w:rsidRPr="00372EDA" w:rsidTr="00DE183E">
        <w:trPr>
          <w:trHeight w:val="37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12</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1.4.3.2.1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 haut risque</w:t>
            </w:r>
            <w:r w:rsidR="007F0C5A">
              <w:rPr>
                <w:szCs w:val="22"/>
              </w:rPr>
              <w:t> </w:t>
            </w:r>
            <w:r w:rsidRPr="00372EDA">
              <w:rPr>
                <w:szCs w:val="22"/>
              </w:rPr>
              <w:t>» par « potentiel de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conséquences graves</w:t>
            </w:r>
            <w:r w:rsidR="007F0C5A">
              <w:rPr>
                <w:szCs w:val="22"/>
              </w:rPr>
              <w:t> </w:t>
            </w:r>
            <w:r w:rsidRPr="00372EDA">
              <w:rPr>
                <w:szCs w:val="22"/>
              </w:rPr>
              <w:t>».</w:t>
            </w:r>
          </w:p>
          <w:p w:rsidR="00DE183E" w:rsidRPr="00372EDA" w:rsidRDefault="00DE183E" w:rsidP="00DE183E">
            <w:pPr>
              <w:spacing w:before="60" w:after="60" w:line="240" w:lineRule="auto"/>
              <w:ind w:left="57" w:right="57"/>
              <w:rPr>
                <w:szCs w:val="22"/>
              </w:rPr>
            </w:pPr>
            <w:r w:rsidRPr="00372EDA">
              <w:rPr>
                <w:szCs w:val="22"/>
              </w:rPr>
              <w:t xml:space="preserve">(voir aussi </w:t>
            </w:r>
            <w:r w:rsidR="00043817">
              <w:rPr>
                <w:szCs w:val="22"/>
              </w:rPr>
              <w:t>le paragraphe 7</w:t>
            </w:r>
            <w:r w:rsidR="007F0C5A">
              <w:rPr>
                <w:szCs w:val="22"/>
              </w:rPr>
              <w:t> </w:t>
            </w:r>
            <w:r w:rsidRPr="00372EDA">
              <w:rPr>
                <w:szCs w:val="22"/>
              </w:rPr>
              <w:t>a) du document)</w:t>
            </w:r>
          </w:p>
        </w:tc>
      </w:tr>
      <w:tr w:rsidR="00DE183E" w:rsidRPr="00372EDA" w:rsidTr="00DE183E">
        <w:trPr>
          <w:trHeight w:val="442"/>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13</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1.4.3.2.2.1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 haut risque » par « potentiel de conséquences graves ».</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 «</w:t>
            </w:r>
            <w:r w:rsidR="007F0C5A">
              <w:rPr>
                <w:szCs w:val="22"/>
              </w:rPr>
              <w:t> </w:t>
            </w:r>
            <w:r w:rsidRPr="00372EDA">
              <w:rPr>
                <w:szCs w:val="22"/>
              </w:rPr>
              <w:t>haut risque</w:t>
            </w:r>
            <w:r w:rsidR="007F0C5A">
              <w:rPr>
                <w:szCs w:val="22"/>
              </w:rPr>
              <w:t> </w:t>
            </w:r>
            <w:r w:rsidRPr="00372EDA">
              <w:rPr>
                <w:szCs w:val="22"/>
              </w:rPr>
              <w:t>» par « conséquences graves ».</w:t>
            </w:r>
          </w:p>
          <w:p w:rsidR="00DE183E" w:rsidRPr="00372EDA" w:rsidRDefault="00DE183E" w:rsidP="00DE183E">
            <w:pPr>
              <w:spacing w:before="60" w:after="60" w:line="240" w:lineRule="auto"/>
              <w:ind w:left="57" w:right="57"/>
              <w:rPr>
                <w:szCs w:val="22"/>
              </w:rPr>
            </w:pPr>
            <w:r w:rsidRPr="00372EDA">
              <w:rPr>
                <w:szCs w:val="22"/>
              </w:rPr>
              <w:t xml:space="preserve">(voir aussi </w:t>
            </w:r>
            <w:r w:rsidR="00043817">
              <w:rPr>
                <w:szCs w:val="22"/>
              </w:rPr>
              <w:t>le paragraphe 7</w:t>
            </w:r>
            <w:r w:rsidR="007F0C5A">
              <w:rPr>
                <w:szCs w:val="22"/>
              </w:rPr>
              <w:t> a</w:t>
            </w:r>
            <w:r w:rsidRPr="00372EDA">
              <w:rPr>
                <w:szCs w:val="22"/>
              </w:rPr>
              <w:t>) du document)</w:t>
            </w:r>
          </w:p>
        </w:tc>
      </w:tr>
      <w:tr w:rsidR="00DE183E" w:rsidRPr="00372EDA" w:rsidTr="00DE183E">
        <w:trPr>
          <w:trHeight w:val="551"/>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14</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1.4.3.2.2.2, c)</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Évaluation</w:t>
            </w:r>
            <w:r w:rsidR="007F0C5A">
              <w:rPr>
                <w:szCs w:val="22"/>
              </w:rPr>
              <w:t> </w:t>
            </w:r>
            <w:r w:rsidRPr="00372EDA">
              <w:rPr>
                <w:szCs w:val="22"/>
              </w:rPr>
              <w:t>» par «</w:t>
            </w:r>
            <w:r w:rsidR="007F0C5A">
              <w:rPr>
                <w:szCs w:val="22"/>
              </w:rPr>
              <w:t> </w:t>
            </w:r>
            <w:r w:rsidRPr="00372EDA">
              <w:rPr>
                <w:szCs w:val="22"/>
              </w:rPr>
              <w:t>Analyse</w:t>
            </w:r>
            <w:r w:rsidR="007F0C5A">
              <w:rPr>
                <w:szCs w:val="22"/>
              </w:rPr>
              <w:t> </w:t>
            </w:r>
            <w:r w:rsidRPr="00372EDA">
              <w:rPr>
                <w:szCs w:val="22"/>
              </w:rPr>
              <w:t>» et « des risques pour la sûreté qui en résultent</w:t>
            </w:r>
            <w:r w:rsidR="007F0C5A">
              <w:rPr>
                <w:szCs w:val="22"/>
              </w:rPr>
              <w:t> </w:t>
            </w:r>
            <w:r w:rsidRPr="00372EDA">
              <w:rPr>
                <w:szCs w:val="22"/>
              </w:rPr>
              <w:t>» par «</w:t>
            </w:r>
            <w:r w:rsidR="007F0C5A">
              <w:rPr>
                <w:szCs w:val="22"/>
              </w:rPr>
              <w:t> </w:t>
            </w:r>
            <w:r w:rsidRPr="00372EDA">
              <w:rPr>
                <w:szCs w:val="22"/>
              </w:rPr>
              <w:t>évaluation des vulnérabilités</w:t>
            </w:r>
            <w:r w:rsidR="007F0C5A">
              <w:rPr>
                <w:szCs w:val="22"/>
              </w:rPr>
              <w:t> </w:t>
            </w:r>
            <w:r w:rsidRPr="00372EDA">
              <w:rPr>
                <w:szCs w:val="22"/>
              </w:rPr>
              <w:t>».</w:t>
            </w:r>
          </w:p>
        </w:tc>
      </w:tr>
      <w:tr w:rsidR="00DE183E" w:rsidRPr="00372EDA" w:rsidTr="00DE183E">
        <w:trPr>
          <w:trHeight w:val="279"/>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15</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1.4.3.2.2.2, d)</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 </w:t>
            </w:r>
          </w:p>
        </w:tc>
      </w:tr>
      <w:tr w:rsidR="00DE183E" w:rsidRPr="00372EDA" w:rsidTr="00DE183E">
        <w:trPr>
          <w:trHeight w:val="411"/>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sz w:val="22"/>
              </w:rPr>
            </w:pPr>
            <w:r w:rsidRPr="00372EDA">
              <w:rPr>
                <w:b/>
                <w:bCs/>
              </w:rPr>
              <w:t>16</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rPr>
            </w:pPr>
            <w:r w:rsidRPr="00372EDA">
              <w:t>1.5.1.1</w:t>
            </w:r>
          </w:p>
        </w:tc>
        <w:tc>
          <w:tcPr>
            <w:tcW w:w="7143" w:type="dxa"/>
            <w:gridSpan w:val="2"/>
            <w:tcBorders>
              <w:top w:val="nil"/>
              <w:left w:val="nil"/>
              <w:bottom w:val="single" w:sz="4" w:space="0" w:color="auto"/>
              <w:right w:val="single" w:sz="4" w:space="0" w:color="auto"/>
            </w:tcBorders>
            <w:shd w:val="clear" w:color="auto" w:fill="auto"/>
            <w:vAlign w:val="center"/>
            <w:hideMark/>
          </w:tcPr>
          <w:p w:rsidR="00DE183E" w:rsidRPr="00372EDA" w:rsidRDefault="00DE183E" w:rsidP="00DE183E">
            <w:pPr>
              <w:spacing w:before="60" w:after="60" w:line="240" w:lineRule="auto"/>
              <w:ind w:left="57" w:right="57"/>
              <w:jc w:val="center"/>
              <w:rPr>
                <w:b/>
                <w:lang w:eastAsia="ro-RO"/>
              </w:rPr>
            </w:pPr>
            <w:r w:rsidRPr="00372EDA">
              <w:rPr>
                <w:b/>
                <w:lang w:eastAsia="ro-RO"/>
              </w:rPr>
              <w:t>Paragraphe 7 c) du document</w:t>
            </w:r>
          </w:p>
        </w:tc>
      </w:tr>
      <w:tr w:rsidR="00DE183E" w:rsidRPr="00372EDA" w:rsidTr="00DE183E">
        <w:trPr>
          <w:trHeight w:val="324"/>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17</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2.1, nota 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risquent de n’être pas » par « peuvent ne pas être ».</w:t>
            </w:r>
          </w:p>
        </w:tc>
      </w:tr>
      <w:tr w:rsidR="00DE183E" w:rsidRPr="00372EDA" w:rsidTr="00DE183E">
        <w:trPr>
          <w:trHeight w:val="691"/>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18</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2.1.3.2.3, nota 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risque d’être valable seulement » par « pourrait ne pas recevoir l’acceptation internationale et n’être valable que ».</w:t>
            </w:r>
          </w:p>
        </w:tc>
      </w:tr>
      <w:tr w:rsidR="00DE183E" w:rsidRPr="00372EDA" w:rsidTr="00DE183E">
        <w:trPr>
          <w:trHeight w:val="354"/>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19</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2.1.3.3.1, nota</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Replace "</w:t>
            </w:r>
            <w:proofErr w:type="spellStart"/>
            <w:r w:rsidRPr="00372EDA">
              <w:rPr>
                <w:szCs w:val="22"/>
              </w:rPr>
              <w:t>risk</w:t>
            </w:r>
            <w:proofErr w:type="spellEnd"/>
            <w:r w:rsidRPr="00372EDA">
              <w:rPr>
                <w:szCs w:val="22"/>
              </w:rPr>
              <w:t>" by "</w:t>
            </w:r>
            <w:proofErr w:type="spellStart"/>
            <w:r w:rsidRPr="00372EDA">
              <w:rPr>
                <w:szCs w:val="22"/>
              </w:rPr>
              <w:t>possibility</w:t>
            </w:r>
            <w:proofErr w:type="spellEnd"/>
            <w:r w:rsidRPr="00372EDA">
              <w:rPr>
                <w:szCs w:val="22"/>
              </w:rPr>
              <w: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le danger » par « la possibilité » et «</w:t>
            </w:r>
            <w:r w:rsidR="007F0C5A">
              <w:rPr>
                <w:szCs w:val="22"/>
              </w:rPr>
              <w:t> </w:t>
            </w:r>
            <w:r w:rsidRPr="00372EDA">
              <w:rPr>
                <w:szCs w:val="22"/>
              </w:rPr>
              <w:t>ne risque pas</w:t>
            </w:r>
            <w:r w:rsidR="007F0C5A">
              <w:rPr>
                <w:szCs w:val="22"/>
              </w:rPr>
              <w:t> </w:t>
            </w:r>
            <w:r w:rsidRPr="00372EDA">
              <w:rPr>
                <w:szCs w:val="22"/>
              </w:rPr>
              <w:t>» par « n’y a aucune possibilité</w:t>
            </w:r>
            <w:r w:rsidR="007F0C5A">
              <w:rPr>
                <w:szCs w:val="22"/>
              </w:rPr>
              <w:t> </w:t>
            </w:r>
            <w:r w:rsidRPr="00372EDA">
              <w:rPr>
                <w:szCs w:val="22"/>
              </w:rPr>
              <w:t>».</w:t>
            </w:r>
          </w:p>
        </w:tc>
      </w:tr>
      <w:tr w:rsidR="00DE183E" w:rsidRPr="00372EDA" w:rsidTr="00DE183E">
        <w:trPr>
          <w:trHeight w:val="1406"/>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20</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2.6.2.1.2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la dose de matière, appliquée pendant vingt-quatre heures par contact continu sur la peau nue du lapin albinos, qui risque le plus » par « la dose de matière qui, appliquée pendant vingt-quatre heures par contact continu sur la peau nue du lapin albinos, est la plus probable ».</w:t>
            </w:r>
          </w:p>
        </w:tc>
      </w:tr>
      <w:tr w:rsidR="00DE183E" w:rsidRPr="00372EDA" w:rsidTr="00DE183E">
        <w:trPr>
          <w:trHeight w:val="4583"/>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lastRenderedPageBreak/>
              <w:t>21</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2.6.2.1.3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Modifier les trois premières phrases du paragraphe 2.6.2.1.3 pour lire comme suit</w:t>
            </w:r>
            <w:r w:rsidR="007F0C5A">
              <w:rPr>
                <w:szCs w:val="22"/>
              </w:rPr>
              <w:t> :</w:t>
            </w:r>
            <w:r w:rsidRPr="00372EDA">
              <w:rPr>
                <w:szCs w:val="22"/>
              </w:rPr>
              <w:t xml:space="preserve"> « Par CL50 pour la toxicité aiguë à l’inhalation, est la concentration de vapeur, de brouillard ou de poussière qui, administrée par inhalation continue, pendant une heure, à un groupe de jeunes rats albinos adultes mâles et femelles, est la plus probable de provoquer la mort de la moitié des animaux du groupe, dans un délai de 14</w:t>
            </w:r>
            <w:r w:rsidR="007F0C5A">
              <w:rPr>
                <w:szCs w:val="22"/>
              </w:rPr>
              <w:t> </w:t>
            </w:r>
            <w:r w:rsidRPr="00372EDA">
              <w:rPr>
                <w:szCs w:val="22"/>
              </w:rPr>
              <w:t>jours. Une matière solide doit être soumise à une épreuve si 10</w:t>
            </w:r>
            <w:r w:rsidR="007F0C5A">
              <w:rPr>
                <w:szCs w:val="22"/>
              </w:rPr>
              <w:t> </w:t>
            </w:r>
            <w:r w:rsidRPr="00372EDA">
              <w:rPr>
                <w:szCs w:val="22"/>
              </w:rPr>
              <w:t>% (masse) au moins de sa masse totale est probable d’être constitués de poussières susceptibles d’être inhalées, par exemple si le diamètre aérodynamique de cette fraction-particules est au plus de 10 microns. Une matière liquide doit être soumise à une épreuve si un brouillard est probable de se produire lors d’une fuite dans l’enceinte étanche utilisée pour le transport. ».</w:t>
            </w:r>
          </w:p>
        </w:tc>
      </w:tr>
      <w:tr w:rsidR="00DE183E" w:rsidRPr="00372EDA" w:rsidTr="00DE183E">
        <w:trPr>
          <w:trHeight w:val="311"/>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22</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2.6.3.2.3.3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"health risk" by "hazard to health".</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risque</w:t>
            </w:r>
            <w:r w:rsidR="007F0C5A">
              <w:rPr>
                <w:szCs w:val="22"/>
              </w:rPr>
              <w:t> </w:t>
            </w:r>
            <w:r w:rsidRPr="00372EDA">
              <w:rPr>
                <w:szCs w:val="22"/>
              </w:rPr>
              <w:t>» par «</w:t>
            </w:r>
            <w:r w:rsidR="007F0C5A">
              <w:rPr>
                <w:szCs w:val="22"/>
              </w:rPr>
              <w:t> </w:t>
            </w:r>
            <w:r w:rsidRPr="00372EDA">
              <w:rPr>
                <w:szCs w:val="22"/>
              </w:rPr>
              <w:t>danger</w:t>
            </w:r>
            <w:r w:rsidR="007F0C5A">
              <w:rPr>
                <w:szCs w:val="22"/>
              </w:rPr>
              <w:t> </w:t>
            </w:r>
            <w:r w:rsidRPr="00372EDA">
              <w:rPr>
                <w:szCs w:val="22"/>
              </w:rPr>
              <w:t>».</w:t>
            </w:r>
          </w:p>
        </w:tc>
      </w:tr>
      <w:tr w:rsidR="00DE183E" w:rsidRPr="00372EDA" w:rsidTr="00DE183E">
        <w:trPr>
          <w:trHeight w:val="261"/>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23</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2.6.3.2.3.4</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"risk of infection" by "infection hazard".</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risque</w:t>
            </w:r>
            <w:r w:rsidR="007F0C5A">
              <w:rPr>
                <w:szCs w:val="22"/>
              </w:rPr>
              <w:t> </w:t>
            </w:r>
            <w:r w:rsidRPr="00372EDA">
              <w:rPr>
                <w:szCs w:val="22"/>
              </w:rPr>
              <w:t>» par «</w:t>
            </w:r>
            <w:r w:rsidR="007F0C5A">
              <w:rPr>
                <w:szCs w:val="22"/>
              </w:rPr>
              <w:t> </w:t>
            </w:r>
            <w:r w:rsidRPr="00372EDA">
              <w:rPr>
                <w:szCs w:val="22"/>
              </w:rPr>
              <w:t>danger</w:t>
            </w:r>
            <w:r w:rsidR="007F0C5A">
              <w:rPr>
                <w:szCs w:val="22"/>
              </w:rPr>
              <w:t> </w:t>
            </w:r>
            <w:r w:rsidRPr="00372EDA">
              <w:rPr>
                <w:szCs w:val="22"/>
              </w:rPr>
              <w:t>».</w:t>
            </w:r>
          </w:p>
        </w:tc>
      </w:tr>
      <w:tr w:rsidR="00DE183E" w:rsidRPr="00372EDA" w:rsidTr="00DE183E">
        <w:trPr>
          <w:trHeight w:val="359"/>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24</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2.6.3.2.3.8</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un risque minimal</w:t>
            </w:r>
            <w:r w:rsidR="007F0C5A">
              <w:rPr>
                <w:szCs w:val="22"/>
              </w:rPr>
              <w:t> </w:t>
            </w:r>
            <w:r w:rsidRPr="00372EDA">
              <w:rPr>
                <w:szCs w:val="22"/>
              </w:rPr>
              <w:t>» par « une probabilité minimale ».</w:t>
            </w:r>
          </w:p>
        </w:tc>
      </w:tr>
      <w:tr w:rsidR="00DE183E" w:rsidRPr="00372EDA" w:rsidTr="00DE183E">
        <w:trPr>
          <w:trHeight w:val="18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sz w:val="22"/>
                <w:szCs w:val="22"/>
              </w:rPr>
            </w:pPr>
            <w:r w:rsidRPr="00372EDA">
              <w:rPr>
                <w:b/>
                <w:bCs/>
              </w:rPr>
              <w:t>25</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sz w:val="22"/>
                <w:szCs w:val="22"/>
              </w:rPr>
            </w:pPr>
            <w:r w:rsidRPr="00372EDA">
              <w:t>2.8.2.2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val="en-US" w:eastAsia="ro-RO"/>
              </w:rPr>
            </w:pPr>
            <w:r w:rsidRPr="00372EDA">
              <w:rPr>
                <w:b/>
                <w:lang w:val="en-US" w:eastAsia="ro-RO"/>
              </w:rPr>
              <w:t>Replace "risk" by "toxicity".</w:t>
            </w:r>
          </w:p>
          <w:p w:rsidR="00DE183E" w:rsidRPr="00372EDA" w:rsidRDefault="00DE183E" w:rsidP="00DE183E">
            <w:pPr>
              <w:spacing w:before="60" w:after="60" w:line="240" w:lineRule="auto"/>
              <w:ind w:left="57" w:right="57"/>
              <w:rPr>
                <w:sz w:val="22"/>
                <w:szCs w:val="22"/>
                <w:lang w:val="en-US" w:eastAsia="ro-RO"/>
              </w:rPr>
            </w:pPr>
            <w:r w:rsidRPr="00372EDA">
              <w:rPr>
                <w:lang w:val="en-US" w:eastAsia="ro-RO"/>
              </w:rPr>
              <w:t>(</w:t>
            </w:r>
            <w:r w:rsidRPr="00DE183E">
              <w:rPr>
                <w:lang w:val="en-US" w:eastAsia="ro-RO"/>
              </w:rPr>
              <w:t>see also paragraph 7 (d) of the document</w:t>
            </w:r>
            <w:r w:rsidRPr="00372EDA">
              <w:rPr>
                <w:lang w:val="en-US" w:eastAsia="ro-RO"/>
              </w:rPr>
              <w: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Remplacer « le risque d’ » par « la toxicité à l’ ».</w:t>
            </w:r>
          </w:p>
          <w:p w:rsidR="00DE183E" w:rsidRPr="00372EDA" w:rsidRDefault="00DE183E" w:rsidP="00DE183E">
            <w:pPr>
              <w:spacing w:before="60" w:after="60" w:line="240" w:lineRule="auto"/>
              <w:ind w:left="57" w:right="57"/>
              <w:rPr>
                <w:lang w:eastAsia="ro-RO"/>
              </w:rPr>
            </w:pPr>
            <w:r w:rsidRPr="00372EDA">
              <w:rPr>
                <w:lang w:eastAsia="ro-RO"/>
              </w:rPr>
              <w:t xml:space="preserve">(voir aussi </w:t>
            </w:r>
            <w:r w:rsidR="00043817">
              <w:rPr>
                <w:lang w:eastAsia="ro-RO"/>
              </w:rPr>
              <w:t>le paragraphe 7</w:t>
            </w:r>
            <w:r w:rsidRPr="00372EDA">
              <w:rPr>
                <w:lang w:eastAsia="ro-RO"/>
              </w:rPr>
              <w:t> d) du document)</w:t>
            </w:r>
          </w:p>
        </w:tc>
      </w:tr>
      <w:tr w:rsidR="00DE183E" w:rsidRPr="00372EDA" w:rsidTr="00DE183E">
        <w:trPr>
          <w:trHeight w:val="623"/>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26</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3.3, SP 291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"the risk of bursting" by "the bursting".</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exclure le risque d’éclatement ou de fissuration</w:t>
            </w:r>
            <w:r w:rsidR="007F0C5A">
              <w:rPr>
                <w:szCs w:val="22"/>
              </w:rPr>
              <w:t> </w:t>
            </w:r>
            <w:r w:rsidRPr="00372EDA">
              <w:rPr>
                <w:szCs w:val="22"/>
              </w:rPr>
              <w:t>» par «</w:t>
            </w:r>
            <w:r w:rsidR="007F0C5A">
              <w:rPr>
                <w:szCs w:val="22"/>
              </w:rPr>
              <w:t> </w:t>
            </w:r>
            <w:r w:rsidRPr="00372EDA">
              <w:rPr>
                <w:szCs w:val="22"/>
              </w:rPr>
              <w:t>exclure l’éclatement ou la fissuration</w:t>
            </w:r>
            <w:r w:rsidR="007F0C5A">
              <w:rPr>
                <w:szCs w:val="22"/>
              </w:rPr>
              <w:t> </w:t>
            </w:r>
            <w:r w:rsidRPr="00372EDA">
              <w:rPr>
                <w:szCs w:val="22"/>
              </w:rPr>
              <w:t>».</w:t>
            </w:r>
          </w:p>
        </w:tc>
      </w:tr>
      <w:tr w:rsidR="00DE183E" w:rsidRPr="00372EDA" w:rsidTr="00DE183E">
        <w:trPr>
          <w:trHeight w:val="276"/>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27</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3.3, SP 296</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Replace "</w:t>
            </w:r>
            <w:proofErr w:type="spellStart"/>
            <w:r w:rsidRPr="00372EDA">
              <w:rPr>
                <w:szCs w:val="22"/>
              </w:rPr>
              <w:t>risk</w:t>
            </w:r>
            <w:proofErr w:type="spellEnd"/>
            <w:r w:rsidRPr="00372EDA">
              <w:rPr>
                <w:szCs w:val="22"/>
              </w:rPr>
              <w:t>" by "</w:t>
            </w:r>
            <w:proofErr w:type="spellStart"/>
            <w:r w:rsidRPr="00372EDA">
              <w:rPr>
                <w:szCs w:val="22"/>
              </w:rPr>
              <w:t>hazard</w:t>
            </w:r>
            <w:proofErr w:type="spellEnd"/>
            <w:r w:rsidRPr="00372EDA">
              <w:rPr>
                <w:szCs w:val="22"/>
              </w:rPr>
              <w: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r>
      <w:tr w:rsidR="00DE183E" w:rsidRPr="00372EDA" w:rsidTr="00DE183E">
        <w:trPr>
          <w:trHeight w:val="147"/>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28</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3.3, SP 391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risques</w:t>
            </w:r>
            <w:r w:rsidR="007F0C5A">
              <w:rPr>
                <w:szCs w:val="22"/>
              </w:rPr>
              <w:t> </w:t>
            </w:r>
            <w:r w:rsidRPr="00372EDA">
              <w:rPr>
                <w:szCs w:val="22"/>
              </w:rPr>
              <w:t>» par «</w:t>
            </w:r>
            <w:r w:rsidR="007F0C5A">
              <w:rPr>
                <w:szCs w:val="22"/>
              </w:rPr>
              <w:t> </w:t>
            </w:r>
            <w:r w:rsidRPr="00372EDA">
              <w:rPr>
                <w:szCs w:val="22"/>
              </w:rPr>
              <w:t>dangers</w:t>
            </w:r>
            <w:r w:rsidR="007F0C5A">
              <w:rPr>
                <w:szCs w:val="22"/>
              </w:rPr>
              <w:t> </w:t>
            </w:r>
            <w:r w:rsidRPr="00372EDA">
              <w:rPr>
                <w:szCs w:val="22"/>
              </w:rPr>
              <w:t>».</w:t>
            </w:r>
          </w:p>
        </w:tc>
      </w:tr>
      <w:tr w:rsidR="00DE183E" w:rsidRPr="00372EDA" w:rsidTr="00DE183E">
        <w:trPr>
          <w:trHeight w:val="64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29</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3.5.3.2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les résultats risquent de s’en trouver faussés</w:t>
            </w:r>
            <w:r w:rsidR="007F0C5A">
              <w:rPr>
                <w:szCs w:val="22"/>
              </w:rPr>
              <w:t> </w:t>
            </w:r>
            <w:r w:rsidRPr="00372EDA">
              <w:rPr>
                <w:szCs w:val="22"/>
              </w:rPr>
              <w:t>» par «</w:t>
            </w:r>
            <w:r w:rsidR="007F0C5A">
              <w:rPr>
                <w:szCs w:val="22"/>
              </w:rPr>
              <w:t> </w:t>
            </w:r>
            <w:r w:rsidRPr="00372EDA">
              <w:rPr>
                <w:szCs w:val="22"/>
              </w:rPr>
              <w:t>cela peut invalider les résultats des épreuves</w:t>
            </w:r>
            <w:r w:rsidR="007F0C5A">
              <w:rPr>
                <w:szCs w:val="22"/>
              </w:rPr>
              <w:t> </w:t>
            </w:r>
            <w:r w:rsidRPr="00372EDA">
              <w:rPr>
                <w:szCs w:val="22"/>
              </w:rPr>
              <w:t>».</w:t>
            </w:r>
          </w:p>
        </w:tc>
      </w:tr>
      <w:tr w:rsidR="00DE183E" w:rsidRPr="00372EDA" w:rsidTr="00DE183E">
        <w:trPr>
          <w:trHeight w:val="998"/>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30</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 xml:space="preserve">Appendice B </w:t>
            </w:r>
            <w:r w:rsidR="007F0C5A">
              <w:rPr>
                <w:lang w:eastAsia="ro-RO"/>
              </w:rPr>
              <w:t>−</w:t>
            </w:r>
            <w:r w:rsidRPr="00372EDA">
              <w:rPr>
                <w:lang w:eastAsia="ro-RO"/>
              </w:rPr>
              <w:t xml:space="preserve"> Glossaire de termes</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"eliminate the risk of causing" by "prevent".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de façon à éliminer le risque d’amorçage de l’engin</w:t>
            </w:r>
            <w:r w:rsidR="007F0C5A">
              <w:rPr>
                <w:szCs w:val="22"/>
              </w:rPr>
              <w:t> </w:t>
            </w:r>
            <w:r w:rsidRPr="00372EDA">
              <w:rPr>
                <w:szCs w:val="22"/>
              </w:rPr>
              <w:t>» par «</w:t>
            </w:r>
            <w:r w:rsidR="007F0C5A">
              <w:rPr>
                <w:szCs w:val="22"/>
              </w:rPr>
              <w:t> </w:t>
            </w:r>
            <w:r w:rsidRPr="00372EDA">
              <w:rPr>
                <w:szCs w:val="22"/>
              </w:rPr>
              <w:t>de façon à empêcher l’amorçage de l’engin</w:t>
            </w:r>
            <w:r w:rsidR="007F0C5A">
              <w:rPr>
                <w:szCs w:val="22"/>
              </w:rPr>
              <w:t> </w:t>
            </w:r>
            <w:r w:rsidRPr="00372EDA">
              <w:rPr>
                <w:szCs w:val="22"/>
              </w:rPr>
              <w:t>» et «</w:t>
            </w:r>
            <w:r w:rsidR="007F0C5A">
              <w:rPr>
                <w:szCs w:val="22"/>
              </w:rPr>
              <w:t> </w:t>
            </w:r>
            <w:r w:rsidRPr="00372EDA">
              <w:rPr>
                <w:szCs w:val="22"/>
              </w:rPr>
              <w:t>y ait très peu de risque</w:t>
            </w:r>
            <w:r w:rsidR="007F0C5A">
              <w:rPr>
                <w:szCs w:val="22"/>
              </w:rPr>
              <w:t> </w:t>
            </w:r>
            <w:r w:rsidRPr="00372EDA">
              <w:rPr>
                <w:szCs w:val="22"/>
              </w:rPr>
              <w:t>» par «</w:t>
            </w:r>
            <w:r w:rsidR="007F0C5A">
              <w:rPr>
                <w:szCs w:val="22"/>
              </w:rPr>
              <w:t> </w:t>
            </w:r>
            <w:r w:rsidRPr="00372EDA">
              <w:rPr>
                <w:szCs w:val="22"/>
              </w:rPr>
              <w:t>soit très peu probable</w:t>
            </w:r>
            <w:r w:rsidR="007F0C5A">
              <w:rPr>
                <w:szCs w:val="22"/>
              </w:rPr>
              <w:t> </w:t>
            </w:r>
            <w:r w:rsidRPr="00372EDA">
              <w:rPr>
                <w:szCs w:val="22"/>
              </w:rPr>
              <w:t>».</w:t>
            </w:r>
          </w:p>
        </w:tc>
      </w:tr>
      <w:tr w:rsidR="00DE183E" w:rsidRPr="00372EDA" w:rsidTr="00DE183E">
        <w:trPr>
          <w:trHeight w:val="493"/>
        </w:trPr>
        <w:tc>
          <w:tcPr>
            <w:tcW w:w="732"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DE183E" w:rsidRPr="00372EDA" w:rsidRDefault="00DE183E" w:rsidP="00DE183E">
            <w:pPr>
              <w:spacing w:before="60" w:after="60" w:line="240" w:lineRule="auto"/>
              <w:ind w:left="57" w:right="57"/>
              <w:jc w:val="center"/>
              <w:rPr>
                <w:b/>
                <w:bCs/>
                <w:lang w:eastAsia="ro-RO"/>
              </w:rPr>
            </w:pPr>
            <w:r w:rsidRPr="00372EDA">
              <w:rPr>
                <w:b/>
                <w:bCs/>
                <w:lang w:eastAsia="ro-RO"/>
              </w:rPr>
              <w:t> </w:t>
            </w:r>
          </w:p>
        </w:tc>
        <w:tc>
          <w:tcPr>
            <w:tcW w:w="1762" w:type="dxa"/>
            <w:tcBorders>
              <w:top w:val="nil"/>
              <w:left w:val="nil"/>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rPr>
                <w:b/>
                <w:bCs/>
                <w:lang w:eastAsia="ro-RO"/>
              </w:rPr>
            </w:pPr>
            <w:r w:rsidRPr="00372EDA">
              <w:rPr>
                <w:b/>
                <w:bCs/>
                <w:lang w:eastAsia="ro-RO"/>
              </w:rPr>
              <w:t>Annexe, Vol. II</w:t>
            </w:r>
          </w:p>
        </w:tc>
        <w:tc>
          <w:tcPr>
            <w:tcW w:w="3297" w:type="dxa"/>
            <w:tcBorders>
              <w:top w:val="nil"/>
              <w:left w:val="nil"/>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jc w:val="center"/>
              <w:rPr>
                <w:b/>
                <w:bCs/>
                <w:lang w:eastAsia="ro-RO"/>
              </w:rPr>
            </w:pPr>
            <w:r w:rsidRPr="00372EDA">
              <w:rPr>
                <w:b/>
                <w:bCs/>
                <w:lang w:eastAsia="ro-RO"/>
              </w:rPr>
              <w:t xml:space="preserve">UN Model </w:t>
            </w:r>
            <w:proofErr w:type="spellStart"/>
            <w:r w:rsidRPr="00372EDA">
              <w:rPr>
                <w:b/>
                <w:bCs/>
                <w:lang w:eastAsia="ro-RO"/>
              </w:rPr>
              <w:t>Regulations</w:t>
            </w:r>
            <w:proofErr w:type="spellEnd"/>
          </w:p>
        </w:tc>
        <w:tc>
          <w:tcPr>
            <w:tcW w:w="3846" w:type="dxa"/>
            <w:tcBorders>
              <w:top w:val="nil"/>
              <w:left w:val="nil"/>
              <w:bottom w:val="single" w:sz="4" w:space="0" w:color="auto"/>
              <w:right w:val="single" w:sz="4" w:space="0" w:color="auto"/>
            </w:tcBorders>
            <w:shd w:val="clear" w:color="auto" w:fill="C6D9F1" w:themeFill="text2" w:themeFillTint="33"/>
            <w:vAlign w:val="center"/>
            <w:hideMark/>
          </w:tcPr>
          <w:p w:rsidR="00DE183E" w:rsidRPr="00372EDA" w:rsidRDefault="00DE183E" w:rsidP="00DE183E">
            <w:pPr>
              <w:spacing w:before="60" w:after="60" w:line="240" w:lineRule="auto"/>
              <w:ind w:left="57" w:right="57"/>
              <w:jc w:val="center"/>
              <w:rPr>
                <w:b/>
                <w:bCs/>
                <w:lang w:eastAsia="ro-RO"/>
              </w:rPr>
            </w:pPr>
            <w:r w:rsidRPr="00372EDA">
              <w:rPr>
                <w:b/>
                <w:bCs/>
                <w:lang w:eastAsia="ro-RO"/>
              </w:rPr>
              <w:t>Règlement type ONU</w:t>
            </w:r>
          </w:p>
        </w:tc>
      </w:tr>
      <w:tr w:rsidR="00DE183E" w:rsidRPr="00372EDA" w:rsidTr="00DE183E">
        <w:trPr>
          <w:trHeight w:val="1362"/>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31</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4.1.1.8</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In the first sentence, replace "will not cause danger" by "will not present danger".</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Dans la première phrase, remplacer «</w:t>
            </w:r>
            <w:r w:rsidR="007F0C5A">
              <w:rPr>
                <w:szCs w:val="22"/>
              </w:rPr>
              <w:t> </w:t>
            </w:r>
            <w:r w:rsidRPr="00372EDA">
              <w:rPr>
                <w:szCs w:val="22"/>
              </w:rPr>
              <w:t>risque d’apparaître</w:t>
            </w:r>
            <w:r w:rsidR="007F0C5A">
              <w:rPr>
                <w:szCs w:val="22"/>
              </w:rPr>
              <w:t> </w:t>
            </w:r>
            <w:r w:rsidRPr="00372EDA">
              <w:rPr>
                <w:szCs w:val="22"/>
              </w:rPr>
              <w:t>» par «</w:t>
            </w:r>
            <w:r w:rsidR="007F0C5A">
              <w:rPr>
                <w:szCs w:val="22"/>
              </w:rPr>
              <w:t> </w:t>
            </w:r>
            <w:r w:rsidRPr="00372EDA">
              <w:rPr>
                <w:szCs w:val="22"/>
              </w:rPr>
              <w:t>peut apparaître</w:t>
            </w:r>
            <w:r w:rsidR="007F0C5A">
              <w:rPr>
                <w:szCs w:val="22"/>
              </w:rPr>
              <w:t> </w:t>
            </w:r>
            <w:r w:rsidRPr="00372EDA">
              <w:rPr>
                <w:szCs w:val="22"/>
              </w:rPr>
              <w:t>» et « cause</w:t>
            </w:r>
            <w:r w:rsidR="007F0C5A">
              <w:rPr>
                <w:szCs w:val="22"/>
              </w:rPr>
              <w:t> </w:t>
            </w:r>
            <w:r w:rsidRPr="00372EDA">
              <w:rPr>
                <w:szCs w:val="22"/>
              </w:rPr>
              <w:t>» par «</w:t>
            </w:r>
            <w:r w:rsidR="007F0C5A">
              <w:rPr>
                <w:szCs w:val="22"/>
              </w:rPr>
              <w:t> </w:t>
            </w:r>
            <w:r w:rsidRPr="00372EDA">
              <w:rPr>
                <w:szCs w:val="22"/>
              </w:rPr>
              <w:t>présente</w:t>
            </w:r>
            <w:r w:rsidR="007F0C5A">
              <w:rPr>
                <w:szCs w:val="22"/>
              </w:rPr>
              <w:t> </w:t>
            </w:r>
            <w:r w:rsidRPr="00372EDA">
              <w:rPr>
                <w:szCs w:val="22"/>
              </w:rPr>
              <w:t>». Dans la deuxième phrase, remplacer «</w:t>
            </w:r>
            <w:r w:rsidR="007F0C5A">
              <w:rPr>
                <w:szCs w:val="22"/>
              </w:rPr>
              <w:t> </w:t>
            </w:r>
            <w:r w:rsidRPr="00372EDA">
              <w:rPr>
                <w:szCs w:val="22"/>
              </w:rPr>
              <w:t>Un évent doit être présent s’il y a un risque de surpression</w:t>
            </w:r>
            <w:r w:rsidR="007F0C5A">
              <w:rPr>
                <w:szCs w:val="22"/>
              </w:rPr>
              <w:t> </w:t>
            </w:r>
            <w:r w:rsidRPr="00372EDA">
              <w:rPr>
                <w:szCs w:val="22"/>
              </w:rPr>
              <w:t>» par «</w:t>
            </w:r>
            <w:r w:rsidR="007F0C5A">
              <w:rPr>
                <w:szCs w:val="22"/>
              </w:rPr>
              <w:t> </w:t>
            </w:r>
            <w:r w:rsidRPr="00372EDA">
              <w:rPr>
                <w:szCs w:val="22"/>
              </w:rPr>
              <w:t>Un évent doit être présent s’il peut se développer une surpression</w:t>
            </w:r>
            <w:r w:rsidR="007F0C5A">
              <w:rPr>
                <w:szCs w:val="22"/>
              </w:rPr>
              <w:t> </w:t>
            </w:r>
            <w:r w:rsidRPr="00372EDA">
              <w:rPr>
                <w:szCs w:val="22"/>
              </w:rPr>
              <w:t>».</w:t>
            </w:r>
          </w:p>
        </w:tc>
      </w:tr>
      <w:tr w:rsidR="00DE183E" w:rsidRPr="00372EDA" w:rsidTr="00DE183E">
        <w:trPr>
          <w:trHeight w:val="279"/>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lastRenderedPageBreak/>
              <w:t>32</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4.1.3.6.4, par.</w:t>
            </w:r>
            <w:r w:rsidR="002960BA">
              <w:rPr>
                <w:lang w:eastAsia="ro-RO"/>
              </w:rPr>
              <w:t> </w:t>
            </w:r>
            <w:r w:rsidRPr="00372EDA">
              <w:rPr>
                <w:lang w:eastAsia="ro-RO"/>
              </w:rPr>
              <w:t>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risquant de</w:t>
            </w:r>
            <w:r w:rsidR="007F0C5A">
              <w:rPr>
                <w:szCs w:val="22"/>
              </w:rPr>
              <w:t> </w:t>
            </w:r>
            <w:r w:rsidRPr="00372EDA">
              <w:rPr>
                <w:szCs w:val="22"/>
              </w:rPr>
              <w:t>» par «</w:t>
            </w:r>
            <w:r w:rsidR="007F0C5A">
              <w:rPr>
                <w:szCs w:val="22"/>
              </w:rPr>
              <w:t> </w:t>
            </w:r>
            <w:r w:rsidRPr="00372EDA">
              <w:rPr>
                <w:szCs w:val="22"/>
              </w:rPr>
              <w:t>qui pourrait</w:t>
            </w:r>
            <w:r w:rsidR="007F0C5A">
              <w:rPr>
                <w:szCs w:val="22"/>
              </w:rPr>
              <w:t> </w:t>
            </w:r>
            <w:r w:rsidRPr="00372EDA">
              <w:rPr>
                <w:szCs w:val="22"/>
              </w:rPr>
              <w:t>».</w:t>
            </w:r>
          </w:p>
        </w:tc>
      </w:tr>
      <w:tr w:rsidR="00DE183E" w:rsidRPr="00372EDA" w:rsidTr="00DE183E">
        <w:trPr>
          <w:trHeight w:val="287"/>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33</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PP93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risquerait de</w:t>
            </w:r>
            <w:r w:rsidR="007F0C5A">
              <w:rPr>
                <w:szCs w:val="22"/>
              </w:rPr>
              <w:t> </w:t>
            </w:r>
            <w:r w:rsidRPr="00372EDA">
              <w:rPr>
                <w:szCs w:val="22"/>
              </w:rPr>
              <w:t>» par «</w:t>
            </w:r>
            <w:r w:rsidR="007F0C5A">
              <w:rPr>
                <w:szCs w:val="22"/>
              </w:rPr>
              <w:t> </w:t>
            </w:r>
            <w:r w:rsidRPr="00372EDA">
              <w:rPr>
                <w:szCs w:val="22"/>
              </w:rPr>
              <w:t>pourrait</w:t>
            </w:r>
            <w:r w:rsidR="007F0C5A">
              <w:rPr>
                <w:szCs w:val="22"/>
              </w:rPr>
              <w:t> </w:t>
            </w:r>
            <w:r w:rsidRPr="00372EDA">
              <w:rPr>
                <w:szCs w:val="22"/>
              </w:rPr>
              <w:t>».</w:t>
            </w:r>
          </w:p>
        </w:tc>
      </w:tr>
      <w:tr w:rsidR="00DE183E" w:rsidRPr="00372EDA" w:rsidTr="00DE183E">
        <w:trPr>
          <w:trHeight w:val="29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34</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PP92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risquerait de</w:t>
            </w:r>
            <w:r w:rsidR="007F0C5A">
              <w:rPr>
                <w:szCs w:val="22"/>
              </w:rPr>
              <w:t> </w:t>
            </w:r>
            <w:r w:rsidRPr="00372EDA">
              <w:rPr>
                <w:szCs w:val="22"/>
              </w:rPr>
              <w:t>» par «</w:t>
            </w:r>
            <w:r w:rsidR="007F0C5A">
              <w:rPr>
                <w:szCs w:val="22"/>
              </w:rPr>
              <w:t> </w:t>
            </w:r>
            <w:r w:rsidRPr="00372EDA">
              <w:rPr>
                <w:szCs w:val="22"/>
              </w:rPr>
              <w:t>pourrait</w:t>
            </w:r>
            <w:r w:rsidR="007F0C5A">
              <w:rPr>
                <w:szCs w:val="22"/>
              </w:rPr>
              <w:t> </w:t>
            </w:r>
            <w:r w:rsidRPr="00372EDA">
              <w:rPr>
                <w:szCs w:val="22"/>
              </w:rPr>
              <w:t>».</w:t>
            </w:r>
          </w:p>
        </w:tc>
      </w:tr>
      <w:tr w:rsidR="00DE183E" w:rsidRPr="00372EDA" w:rsidTr="00DE183E">
        <w:trPr>
          <w:trHeight w:val="331"/>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35</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P005, par. 4</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les risques d’avarie</w:t>
            </w:r>
            <w:r w:rsidR="007F0C5A">
              <w:rPr>
                <w:szCs w:val="22"/>
              </w:rPr>
              <w:t> </w:t>
            </w:r>
            <w:r w:rsidRPr="00372EDA">
              <w:rPr>
                <w:szCs w:val="22"/>
              </w:rPr>
              <w:t>» par «</w:t>
            </w:r>
            <w:r w:rsidR="007F0C5A">
              <w:rPr>
                <w:szCs w:val="22"/>
              </w:rPr>
              <w:t> </w:t>
            </w:r>
            <w:r w:rsidRPr="00372EDA">
              <w:rPr>
                <w:szCs w:val="22"/>
              </w:rPr>
              <w:t>les avaries</w:t>
            </w:r>
            <w:r w:rsidR="007F0C5A">
              <w:rPr>
                <w:szCs w:val="22"/>
              </w:rPr>
              <w:t> </w:t>
            </w:r>
            <w:r w:rsidRPr="00372EDA">
              <w:rPr>
                <w:szCs w:val="22"/>
              </w:rPr>
              <w:t>» et supprimer «</w:t>
            </w:r>
            <w:r w:rsidR="007F0C5A">
              <w:rPr>
                <w:szCs w:val="22"/>
              </w:rPr>
              <w:t> </w:t>
            </w:r>
            <w:r w:rsidRPr="00372EDA">
              <w:rPr>
                <w:szCs w:val="22"/>
              </w:rPr>
              <w:t>de risque</w:t>
            </w:r>
            <w:r w:rsidR="007F0C5A">
              <w:rPr>
                <w:szCs w:val="22"/>
              </w:rPr>
              <w:t> </w:t>
            </w:r>
            <w:r w:rsidRPr="00372EDA">
              <w:rPr>
                <w:szCs w:val="22"/>
              </w:rPr>
              <w:t>».</w:t>
            </w:r>
          </w:p>
        </w:tc>
      </w:tr>
      <w:tr w:rsidR="00DE183E" w:rsidRPr="00372EDA" w:rsidTr="00DE183E">
        <w:trPr>
          <w:trHeight w:val="18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keepNext/>
              <w:keepLines/>
              <w:spacing w:before="60" w:after="60" w:line="240" w:lineRule="auto"/>
              <w:ind w:left="57" w:right="57"/>
              <w:jc w:val="center"/>
              <w:rPr>
                <w:b/>
                <w:bCs/>
                <w:sz w:val="22"/>
              </w:rPr>
            </w:pPr>
            <w:r w:rsidRPr="00372EDA">
              <w:rPr>
                <w:b/>
                <w:bCs/>
              </w:rPr>
              <w:t>36</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keepNext/>
              <w:keepLines/>
              <w:spacing w:before="60" w:after="60" w:line="240" w:lineRule="auto"/>
              <w:ind w:left="57" w:right="57"/>
              <w:rPr>
                <w:b/>
                <w:lang w:eastAsia="ro-RO"/>
              </w:rPr>
            </w:pPr>
            <w:r w:rsidRPr="00372EDA">
              <w:rPr>
                <w:b/>
                <w:lang w:eastAsia="ro-RO"/>
              </w:rPr>
              <w:t>PP52</w:t>
            </w:r>
          </w:p>
        </w:tc>
        <w:tc>
          <w:tcPr>
            <w:tcW w:w="7143" w:type="dxa"/>
            <w:gridSpan w:val="2"/>
            <w:vMerge w:val="restart"/>
            <w:tcBorders>
              <w:top w:val="nil"/>
              <w:left w:val="nil"/>
              <w:right w:val="single" w:sz="4" w:space="0" w:color="auto"/>
            </w:tcBorders>
            <w:shd w:val="clear" w:color="auto" w:fill="auto"/>
            <w:vAlign w:val="center"/>
            <w:hideMark/>
          </w:tcPr>
          <w:p w:rsidR="00DE183E" w:rsidRPr="00372EDA" w:rsidRDefault="00DE183E" w:rsidP="00DE183E">
            <w:pPr>
              <w:keepNext/>
              <w:keepLines/>
              <w:spacing w:before="60" w:after="60" w:line="240" w:lineRule="auto"/>
              <w:ind w:left="57" w:right="57"/>
              <w:jc w:val="center"/>
              <w:rPr>
                <w:b/>
                <w:lang w:eastAsia="ro-RO"/>
              </w:rPr>
            </w:pPr>
            <w:r w:rsidRPr="00372EDA">
              <w:rPr>
                <w:b/>
                <w:lang w:eastAsia="ro-RO"/>
              </w:rPr>
              <w:t>Paragraphe 7 e) du document</w:t>
            </w:r>
          </w:p>
        </w:tc>
      </w:tr>
      <w:tr w:rsidR="00DE183E" w:rsidRPr="00372EDA" w:rsidTr="00DE183E">
        <w:trPr>
          <w:trHeight w:val="18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keepNext/>
              <w:keepLines/>
              <w:spacing w:before="60" w:after="60" w:line="240" w:lineRule="auto"/>
              <w:ind w:left="57" w:right="57"/>
              <w:jc w:val="center"/>
              <w:rPr>
                <w:b/>
                <w:bCs/>
                <w:sz w:val="22"/>
              </w:rPr>
            </w:pPr>
            <w:r w:rsidRPr="00372EDA">
              <w:rPr>
                <w:b/>
                <w:bCs/>
              </w:rPr>
              <w:t>37</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keepNext/>
              <w:keepLines/>
              <w:spacing w:before="60" w:after="60" w:line="240" w:lineRule="auto"/>
              <w:ind w:left="57" w:right="57"/>
              <w:rPr>
                <w:b/>
                <w:lang w:eastAsia="ro-RO"/>
              </w:rPr>
            </w:pPr>
            <w:r w:rsidRPr="00372EDA">
              <w:rPr>
                <w:b/>
                <w:lang w:eastAsia="ro-RO"/>
              </w:rPr>
              <w:t>PP76</w:t>
            </w:r>
          </w:p>
        </w:tc>
        <w:tc>
          <w:tcPr>
            <w:tcW w:w="7143" w:type="dxa"/>
            <w:gridSpan w:val="2"/>
            <w:vMerge/>
            <w:tcBorders>
              <w:left w:val="nil"/>
              <w:bottom w:val="single" w:sz="4" w:space="0" w:color="auto"/>
              <w:right w:val="single" w:sz="4" w:space="0" w:color="auto"/>
            </w:tcBorders>
            <w:shd w:val="clear" w:color="auto" w:fill="auto"/>
            <w:hideMark/>
          </w:tcPr>
          <w:p w:rsidR="00DE183E" w:rsidRPr="00372EDA" w:rsidRDefault="00DE183E" w:rsidP="00DE183E">
            <w:pPr>
              <w:keepNext/>
              <w:keepLines/>
              <w:spacing w:before="60" w:after="60" w:line="240" w:lineRule="auto"/>
              <w:ind w:left="57" w:right="57"/>
              <w:rPr>
                <w:b/>
                <w:lang w:eastAsia="ro-RO"/>
              </w:rPr>
            </w:pPr>
          </w:p>
        </w:tc>
      </w:tr>
      <w:tr w:rsidR="00DE183E" w:rsidRPr="00372EDA" w:rsidTr="00DE183E">
        <w:trPr>
          <w:trHeight w:val="41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38</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P200, z, par. 5</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Remplacer «</w:t>
            </w:r>
            <w:r w:rsidR="007F0C5A">
              <w:rPr>
                <w:lang w:eastAsia="ro-RO"/>
              </w:rPr>
              <w:t> </w:t>
            </w:r>
            <w:r w:rsidRPr="00372EDA">
              <w:rPr>
                <w:lang w:eastAsia="ro-RO"/>
              </w:rPr>
              <w:t>tout risque de</w:t>
            </w:r>
            <w:r w:rsidR="007F0C5A">
              <w:rPr>
                <w:lang w:eastAsia="ro-RO"/>
              </w:rPr>
              <w:t> </w:t>
            </w:r>
            <w:r w:rsidRPr="00372EDA">
              <w:rPr>
                <w:lang w:eastAsia="ro-RO"/>
              </w:rPr>
              <w:t>» par «</w:t>
            </w:r>
            <w:r w:rsidR="007F0C5A">
              <w:rPr>
                <w:lang w:eastAsia="ro-RO"/>
              </w:rPr>
              <w:t> </w:t>
            </w:r>
            <w:r w:rsidRPr="00372EDA">
              <w:rPr>
                <w:lang w:eastAsia="ro-RO"/>
              </w:rPr>
              <w:t>toutes les ».</w:t>
            </w:r>
          </w:p>
        </w:tc>
      </w:tr>
      <w:tr w:rsidR="00DE183E" w:rsidRPr="00372EDA" w:rsidTr="00DE183E">
        <w:trPr>
          <w:trHeight w:val="582"/>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39</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P601, par.</w:t>
            </w:r>
            <w:r w:rsidR="002960BA">
              <w:rPr>
                <w:b/>
                <w:lang w:eastAsia="ro-RO"/>
              </w:rPr>
              <w:t> </w:t>
            </w:r>
            <w:r w:rsidRPr="00372EDA">
              <w:rPr>
                <w:b/>
                <w:lang w:eastAsia="ro-RO"/>
              </w:rPr>
              <w:t>4, a)</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Remplacer «</w:t>
            </w:r>
            <w:r w:rsidR="007F0C5A">
              <w:rPr>
                <w:b/>
                <w:lang w:eastAsia="ro-RO"/>
              </w:rPr>
              <w:t> </w:t>
            </w:r>
            <w:r w:rsidRPr="00372EDA">
              <w:rPr>
                <w:b/>
                <w:lang w:eastAsia="ro-RO"/>
              </w:rPr>
              <w:t>sans risque d’avarie ou de fuite</w:t>
            </w:r>
            <w:r w:rsidR="007F0C5A">
              <w:rPr>
                <w:b/>
                <w:lang w:eastAsia="ro-RO"/>
              </w:rPr>
              <w:t> </w:t>
            </w:r>
            <w:r w:rsidRPr="00372EDA">
              <w:rPr>
                <w:b/>
                <w:lang w:eastAsia="ro-RO"/>
              </w:rPr>
              <w:t>» par «</w:t>
            </w:r>
            <w:r w:rsidR="007F0C5A">
              <w:rPr>
                <w:b/>
                <w:lang w:eastAsia="ro-RO"/>
              </w:rPr>
              <w:t> </w:t>
            </w:r>
            <w:r w:rsidRPr="00372EDA">
              <w:rPr>
                <w:b/>
                <w:lang w:eastAsia="ro-RO"/>
              </w:rPr>
              <w:t>sans avarie ou fuite</w:t>
            </w:r>
            <w:r w:rsidR="007F0C5A">
              <w:rPr>
                <w:b/>
                <w:lang w:eastAsia="ro-RO"/>
              </w:rPr>
              <w:t> </w:t>
            </w:r>
            <w:r w:rsidRPr="00372EDA">
              <w:rPr>
                <w:b/>
                <w:lang w:eastAsia="ro-RO"/>
              </w:rPr>
              <w:t>».</w:t>
            </w:r>
          </w:p>
        </w:tc>
      </w:tr>
      <w:tr w:rsidR="00DE183E" w:rsidRPr="00372EDA" w:rsidTr="00DE183E">
        <w:trPr>
          <w:trHeight w:val="576"/>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40</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P602, par.</w:t>
            </w:r>
            <w:r w:rsidR="002960BA">
              <w:rPr>
                <w:b/>
                <w:lang w:eastAsia="ro-RO"/>
              </w:rPr>
              <w:t> </w:t>
            </w:r>
            <w:r w:rsidRPr="00372EDA">
              <w:rPr>
                <w:b/>
                <w:lang w:eastAsia="ro-RO"/>
              </w:rPr>
              <w:t>4, a)</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Remplacer «</w:t>
            </w:r>
            <w:r w:rsidR="007F0C5A">
              <w:rPr>
                <w:b/>
                <w:lang w:eastAsia="ro-RO"/>
              </w:rPr>
              <w:t> </w:t>
            </w:r>
            <w:r w:rsidRPr="00372EDA">
              <w:rPr>
                <w:b/>
                <w:lang w:eastAsia="ro-RO"/>
              </w:rPr>
              <w:t>sans risque d’avarie ou de fuite</w:t>
            </w:r>
            <w:r w:rsidR="007F0C5A">
              <w:rPr>
                <w:b/>
                <w:lang w:eastAsia="ro-RO"/>
              </w:rPr>
              <w:t> </w:t>
            </w:r>
            <w:r w:rsidRPr="00372EDA">
              <w:rPr>
                <w:b/>
                <w:lang w:eastAsia="ro-RO"/>
              </w:rPr>
              <w:t>» par «</w:t>
            </w:r>
            <w:r w:rsidR="007F0C5A">
              <w:rPr>
                <w:b/>
                <w:lang w:eastAsia="ro-RO"/>
              </w:rPr>
              <w:t> </w:t>
            </w:r>
            <w:r w:rsidRPr="00372EDA">
              <w:rPr>
                <w:b/>
                <w:lang w:eastAsia="ro-RO"/>
              </w:rPr>
              <w:t>sans avarie ou fuite</w:t>
            </w:r>
            <w:r w:rsidR="007F0C5A">
              <w:rPr>
                <w:b/>
                <w:lang w:eastAsia="ro-RO"/>
              </w:rPr>
              <w:t> </w:t>
            </w:r>
            <w:r w:rsidRPr="00372EDA">
              <w:rPr>
                <w:b/>
                <w:lang w:eastAsia="ro-RO"/>
              </w:rPr>
              <w:t>».</w:t>
            </w:r>
          </w:p>
        </w:tc>
      </w:tr>
      <w:tr w:rsidR="00DE183E" w:rsidRPr="00372EDA" w:rsidTr="00DE183E">
        <w:trPr>
          <w:trHeight w:val="848"/>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41</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P907, par. 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les risques d’avarie</w:t>
            </w:r>
            <w:r w:rsidR="007F0C5A">
              <w:rPr>
                <w:szCs w:val="22"/>
              </w:rPr>
              <w:t> </w:t>
            </w:r>
            <w:r w:rsidRPr="00372EDA">
              <w:rPr>
                <w:szCs w:val="22"/>
              </w:rPr>
              <w:t>» par «</w:t>
            </w:r>
            <w:r w:rsidR="007F0C5A">
              <w:rPr>
                <w:szCs w:val="22"/>
              </w:rPr>
              <w:t> </w:t>
            </w:r>
            <w:r w:rsidRPr="00372EDA">
              <w:rPr>
                <w:szCs w:val="22"/>
              </w:rPr>
              <w:t>les avaries</w:t>
            </w:r>
            <w:r w:rsidR="007F0C5A">
              <w:rPr>
                <w:szCs w:val="22"/>
              </w:rPr>
              <w:t> </w:t>
            </w:r>
            <w:r w:rsidRPr="00372EDA">
              <w:rPr>
                <w:szCs w:val="22"/>
              </w:rPr>
              <w:t>», remplacer «</w:t>
            </w:r>
            <w:r w:rsidR="007F0C5A">
              <w:rPr>
                <w:szCs w:val="22"/>
              </w:rPr>
              <w:t> </w:t>
            </w:r>
            <w:r w:rsidRPr="00372EDA">
              <w:rPr>
                <w:szCs w:val="22"/>
              </w:rPr>
              <w:t>faibles</w:t>
            </w:r>
            <w:r w:rsidR="007F0C5A">
              <w:rPr>
                <w:szCs w:val="22"/>
              </w:rPr>
              <w:t> </w:t>
            </w:r>
            <w:r w:rsidRPr="00372EDA">
              <w:rPr>
                <w:szCs w:val="22"/>
              </w:rPr>
              <w:t>» par «</w:t>
            </w:r>
            <w:r w:rsidR="007F0C5A">
              <w:rPr>
                <w:szCs w:val="22"/>
              </w:rPr>
              <w:t> </w:t>
            </w:r>
            <w:r w:rsidRPr="00372EDA">
              <w:rPr>
                <w:szCs w:val="22"/>
              </w:rPr>
              <w:t>peu probables</w:t>
            </w:r>
            <w:r w:rsidR="007F0C5A">
              <w:rPr>
                <w:szCs w:val="22"/>
              </w:rPr>
              <w:t> </w:t>
            </w:r>
            <w:r w:rsidRPr="00372EDA">
              <w:rPr>
                <w:szCs w:val="22"/>
              </w:rPr>
              <w:t>» et remplacer «</w:t>
            </w:r>
            <w:r w:rsidR="007F0C5A">
              <w:rPr>
                <w:szCs w:val="22"/>
              </w:rPr>
              <w:t> </w:t>
            </w:r>
            <w:r w:rsidRPr="00372EDA">
              <w:rPr>
                <w:szCs w:val="22"/>
              </w:rPr>
              <w:t>risque de fuite</w:t>
            </w:r>
            <w:r w:rsidR="007F0C5A">
              <w:rPr>
                <w:szCs w:val="22"/>
              </w:rPr>
              <w:t> </w:t>
            </w:r>
            <w:r w:rsidRPr="00372EDA">
              <w:rPr>
                <w:szCs w:val="22"/>
              </w:rPr>
              <w:t>» par «</w:t>
            </w:r>
            <w:r w:rsidR="007F0C5A">
              <w:rPr>
                <w:szCs w:val="22"/>
              </w:rPr>
              <w:t> </w:t>
            </w:r>
            <w:r w:rsidRPr="00372EDA">
              <w:rPr>
                <w:szCs w:val="22"/>
              </w:rPr>
              <w:t>possibilité de fuite</w:t>
            </w:r>
            <w:r w:rsidR="007F0C5A">
              <w:rPr>
                <w:szCs w:val="22"/>
              </w:rPr>
              <w:t> </w:t>
            </w:r>
            <w:r w:rsidRPr="00372EDA">
              <w:rPr>
                <w:szCs w:val="22"/>
              </w:rPr>
              <w:t>».</w:t>
            </w:r>
          </w:p>
        </w:tc>
      </w:tr>
      <w:tr w:rsidR="00DE183E" w:rsidRPr="00372EDA" w:rsidTr="00DE183E">
        <w:trPr>
          <w:trHeight w:val="633"/>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42</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B7</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en raison des risques d’explosion » par «</w:t>
            </w:r>
            <w:r w:rsidR="007F0C5A">
              <w:rPr>
                <w:szCs w:val="22"/>
              </w:rPr>
              <w:t> </w:t>
            </w:r>
            <w:r w:rsidRPr="00372EDA">
              <w:rPr>
                <w:szCs w:val="22"/>
              </w:rPr>
              <w:t>car ces matières sont susceptibles d’exploser</w:t>
            </w:r>
            <w:r w:rsidR="007F0C5A">
              <w:rPr>
                <w:szCs w:val="22"/>
              </w:rPr>
              <w:t> </w:t>
            </w:r>
            <w:r w:rsidRPr="00372EDA">
              <w:rPr>
                <w:szCs w:val="22"/>
              </w:rPr>
              <w:t>».</w:t>
            </w:r>
          </w:p>
        </w:tc>
      </w:tr>
      <w:tr w:rsidR="00DE183E" w:rsidRPr="00372EDA" w:rsidTr="00DE183E">
        <w:trPr>
          <w:trHeight w:val="323"/>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43</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B19</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risquerait de</w:t>
            </w:r>
            <w:r w:rsidR="007F0C5A">
              <w:rPr>
                <w:szCs w:val="22"/>
              </w:rPr>
              <w:t> </w:t>
            </w:r>
            <w:r w:rsidRPr="00372EDA">
              <w:rPr>
                <w:szCs w:val="22"/>
              </w:rPr>
              <w:t>» par «</w:t>
            </w:r>
            <w:r w:rsidR="007F0C5A">
              <w:rPr>
                <w:szCs w:val="22"/>
              </w:rPr>
              <w:t> </w:t>
            </w:r>
            <w:r w:rsidRPr="00372EDA">
              <w:rPr>
                <w:szCs w:val="22"/>
              </w:rPr>
              <w:t>pourrait</w:t>
            </w:r>
            <w:r w:rsidR="007F0C5A">
              <w:rPr>
                <w:szCs w:val="22"/>
              </w:rPr>
              <w:t> </w:t>
            </w:r>
            <w:r w:rsidRPr="00372EDA">
              <w:rPr>
                <w:szCs w:val="22"/>
              </w:rPr>
              <w:t>».</w:t>
            </w:r>
          </w:p>
        </w:tc>
      </w:tr>
      <w:tr w:rsidR="00DE183E" w:rsidRPr="00372EDA" w:rsidTr="00DE183E">
        <w:trPr>
          <w:trHeight w:val="331"/>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44</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B18</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risquerait de</w:t>
            </w:r>
            <w:r w:rsidR="007F0C5A">
              <w:rPr>
                <w:szCs w:val="22"/>
              </w:rPr>
              <w:t> </w:t>
            </w:r>
            <w:r w:rsidRPr="00372EDA">
              <w:rPr>
                <w:szCs w:val="22"/>
              </w:rPr>
              <w:t>» par «</w:t>
            </w:r>
            <w:r w:rsidR="007F0C5A">
              <w:rPr>
                <w:szCs w:val="22"/>
              </w:rPr>
              <w:t> </w:t>
            </w:r>
            <w:r w:rsidRPr="00372EDA">
              <w:rPr>
                <w:szCs w:val="22"/>
              </w:rPr>
              <w:t>pourrait</w:t>
            </w:r>
            <w:r w:rsidR="007F0C5A">
              <w:rPr>
                <w:szCs w:val="22"/>
              </w:rPr>
              <w:t> </w:t>
            </w:r>
            <w:r w:rsidRPr="00372EDA">
              <w:rPr>
                <w:szCs w:val="22"/>
              </w:rPr>
              <w:t>».</w:t>
            </w:r>
          </w:p>
        </w:tc>
      </w:tr>
      <w:tr w:rsidR="00DE183E" w:rsidRPr="00372EDA" w:rsidTr="00DE183E">
        <w:trPr>
          <w:trHeight w:val="608"/>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45</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4.1.5.2, a)</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Replace "</w:t>
            </w:r>
            <w:proofErr w:type="spellStart"/>
            <w:r w:rsidRPr="00372EDA">
              <w:rPr>
                <w:szCs w:val="22"/>
              </w:rPr>
              <w:t>risk</w:t>
            </w:r>
            <w:proofErr w:type="spellEnd"/>
            <w:r w:rsidRPr="00372EDA">
              <w:rPr>
                <w:szCs w:val="22"/>
              </w:rPr>
              <w:t>" by "</w:t>
            </w:r>
            <w:proofErr w:type="spellStart"/>
            <w:r w:rsidRPr="00372EDA">
              <w:rPr>
                <w:szCs w:val="22"/>
              </w:rPr>
              <w:t>likelihood</w:t>
            </w:r>
            <w:proofErr w:type="spellEnd"/>
            <w:r w:rsidRPr="00372EDA">
              <w:rPr>
                <w:szCs w:val="22"/>
              </w:rPr>
              <w: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n’entraînent pas d’aggravation du risque</w:t>
            </w:r>
            <w:r w:rsidR="007F0C5A">
              <w:rPr>
                <w:szCs w:val="22"/>
              </w:rPr>
              <w:t> </w:t>
            </w:r>
            <w:r w:rsidRPr="00372EDA">
              <w:rPr>
                <w:szCs w:val="22"/>
              </w:rPr>
              <w:t>» par «</w:t>
            </w:r>
            <w:r w:rsidR="007F0C5A">
              <w:rPr>
                <w:szCs w:val="22"/>
              </w:rPr>
              <w:t> </w:t>
            </w:r>
            <w:r w:rsidRPr="00372EDA">
              <w:rPr>
                <w:szCs w:val="22"/>
              </w:rPr>
              <w:t>n’augmentent pas la probabilité ».</w:t>
            </w:r>
          </w:p>
        </w:tc>
      </w:tr>
      <w:tr w:rsidR="00DE183E" w:rsidRPr="00372EDA" w:rsidTr="00DE183E">
        <w:trPr>
          <w:trHeight w:val="529"/>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sz w:val="22"/>
              </w:rPr>
            </w:pPr>
            <w:r w:rsidRPr="00372EDA">
              <w:rPr>
                <w:b/>
                <w:bCs/>
              </w:rPr>
              <w:t>46</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4.1.5.2, c)</w:t>
            </w:r>
          </w:p>
        </w:tc>
        <w:tc>
          <w:tcPr>
            <w:tcW w:w="7143" w:type="dxa"/>
            <w:gridSpan w:val="2"/>
            <w:tcBorders>
              <w:top w:val="nil"/>
              <w:left w:val="nil"/>
              <w:bottom w:val="single" w:sz="4" w:space="0" w:color="auto"/>
              <w:right w:val="single" w:sz="4" w:space="0" w:color="auto"/>
            </w:tcBorders>
            <w:shd w:val="clear" w:color="auto" w:fill="auto"/>
            <w:vAlign w:val="center"/>
            <w:hideMark/>
          </w:tcPr>
          <w:p w:rsidR="00DE183E" w:rsidRPr="00372EDA" w:rsidRDefault="00DE183E" w:rsidP="00DE183E">
            <w:pPr>
              <w:spacing w:before="60" w:after="60" w:line="240" w:lineRule="auto"/>
              <w:ind w:left="57" w:right="57"/>
              <w:jc w:val="center"/>
              <w:rPr>
                <w:b/>
                <w:lang w:eastAsia="ro-RO"/>
              </w:rPr>
            </w:pPr>
            <w:r w:rsidRPr="00372EDA">
              <w:rPr>
                <w:b/>
                <w:lang w:eastAsia="ro-RO"/>
              </w:rPr>
              <w:t>Paragraphe 7 g) du document</w:t>
            </w:r>
          </w:p>
        </w:tc>
      </w:tr>
      <w:tr w:rsidR="00DE183E" w:rsidRPr="00372EDA" w:rsidTr="00DE183E">
        <w:trPr>
          <w:trHeight w:val="552"/>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47</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4.1.5.9</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"that could create fire hazard" by "with a potential to cause fire".</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créer un risque d’incendie</w:t>
            </w:r>
            <w:r w:rsidR="007F0C5A">
              <w:rPr>
                <w:szCs w:val="22"/>
              </w:rPr>
              <w:t> </w:t>
            </w:r>
            <w:r w:rsidRPr="00372EDA">
              <w:rPr>
                <w:szCs w:val="22"/>
              </w:rPr>
              <w:t>» par « provoquer un incendie</w:t>
            </w:r>
            <w:r w:rsidR="007F0C5A">
              <w:rPr>
                <w:szCs w:val="22"/>
              </w:rPr>
              <w:t> </w:t>
            </w:r>
            <w:r w:rsidRPr="00372EDA">
              <w:rPr>
                <w:szCs w:val="22"/>
              </w:rPr>
              <w:t>».</w:t>
            </w:r>
          </w:p>
        </w:tc>
      </w:tr>
      <w:tr w:rsidR="00DE183E" w:rsidRPr="00372EDA" w:rsidTr="00DE183E">
        <w:trPr>
          <w:trHeight w:val="436"/>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48</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4.1.6.1.8</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risquant de</w:t>
            </w:r>
            <w:r w:rsidR="007F0C5A">
              <w:rPr>
                <w:szCs w:val="22"/>
              </w:rPr>
              <w:t> </w:t>
            </w:r>
            <w:r w:rsidRPr="00372EDA">
              <w:rPr>
                <w:szCs w:val="22"/>
              </w:rPr>
              <w:t>» par « qui pourrait ».</w:t>
            </w:r>
          </w:p>
        </w:tc>
      </w:tr>
      <w:tr w:rsidR="00DE183E" w:rsidRPr="00372EDA" w:rsidTr="00DE183E">
        <w:trPr>
          <w:trHeight w:val="1579"/>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49</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4.1.7.0.1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la deuxième phrase par «</w:t>
            </w:r>
            <w:r w:rsidR="007F0C5A">
              <w:rPr>
                <w:szCs w:val="22"/>
              </w:rPr>
              <w:t> </w:t>
            </w:r>
            <w:r w:rsidRPr="00372EDA">
              <w:rPr>
                <w:szCs w:val="22"/>
              </w:rPr>
              <w:t>Lorsqu’une forte augmentation de la pression est susceptible de se développer suite à l’émission d’un gaz, un évent peut être installé, à condition que le gaz émis ne présente pas de danger; dans le cas contraire, le taux de remplissage devra être limité.</w:t>
            </w:r>
            <w:r w:rsidR="007F0C5A">
              <w:rPr>
                <w:szCs w:val="22"/>
              </w:rPr>
              <w:t> </w:t>
            </w:r>
            <w:r w:rsidRPr="00372EDA">
              <w:rPr>
                <w:szCs w:val="22"/>
              </w:rPr>
              <w:t>».</w:t>
            </w:r>
          </w:p>
        </w:tc>
      </w:tr>
      <w:tr w:rsidR="00DE183E" w:rsidRPr="00372EDA" w:rsidTr="00DE183E">
        <w:trPr>
          <w:trHeight w:val="97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50</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4.2.1.6</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si elles risquent de réagir dangereusement entre elles et de provoquer</w:t>
            </w:r>
            <w:r w:rsidR="007F0C5A">
              <w:rPr>
                <w:szCs w:val="22"/>
              </w:rPr>
              <w:t> :</w:t>
            </w:r>
            <w:r w:rsidRPr="00372EDA">
              <w:rPr>
                <w:szCs w:val="22"/>
              </w:rPr>
              <w:t> » par «</w:t>
            </w:r>
            <w:r w:rsidR="007F0C5A">
              <w:rPr>
                <w:szCs w:val="22"/>
              </w:rPr>
              <w:t> </w:t>
            </w:r>
            <w:r w:rsidRPr="00372EDA">
              <w:rPr>
                <w:szCs w:val="22"/>
              </w:rPr>
              <w:t>si elles pourraient réagir dangereusement entre elles et provoquer</w:t>
            </w:r>
            <w:r w:rsidR="007F0C5A">
              <w:rPr>
                <w:szCs w:val="22"/>
              </w:rPr>
              <w:t> :</w:t>
            </w:r>
            <w:r w:rsidRPr="00372EDA">
              <w:rPr>
                <w:szCs w:val="22"/>
              </w:rPr>
              <w:t xml:space="preserve"> ». </w:t>
            </w:r>
          </w:p>
        </w:tc>
      </w:tr>
      <w:tr w:rsidR="00DE183E" w:rsidRPr="00372EDA" w:rsidTr="00DE183E">
        <w:trPr>
          <w:trHeight w:val="552"/>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51</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TP 32, a)</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tout risque de confinement</w:t>
            </w:r>
            <w:r w:rsidR="007F0C5A">
              <w:rPr>
                <w:szCs w:val="22"/>
              </w:rPr>
              <w:t> </w:t>
            </w:r>
            <w:r w:rsidRPr="00372EDA">
              <w:rPr>
                <w:szCs w:val="22"/>
              </w:rPr>
              <w:t>» par «</w:t>
            </w:r>
            <w:r w:rsidR="007F0C5A">
              <w:rPr>
                <w:szCs w:val="22"/>
              </w:rPr>
              <w:t> </w:t>
            </w:r>
            <w:r w:rsidRPr="00372EDA">
              <w:rPr>
                <w:szCs w:val="22"/>
              </w:rPr>
              <w:t>tout confinement inutile</w:t>
            </w:r>
            <w:r w:rsidR="007F0C5A">
              <w:rPr>
                <w:szCs w:val="22"/>
              </w:rPr>
              <w:t> </w:t>
            </w:r>
            <w:r w:rsidRPr="00372EDA">
              <w:rPr>
                <w:szCs w:val="22"/>
              </w:rPr>
              <w:t>».</w:t>
            </w:r>
          </w:p>
        </w:tc>
      </w:tr>
      <w:tr w:rsidR="00DE183E" w:rsidRPr="00372EDA" w:rsidTr="00DE183E">
        <w:trPr>
          <w:trHeight w:val="1427"/>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lastRenderedPageBreak/>
              <w:t>52</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4.3.1.13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matières en vrac avec lesquelles il existe un risque d’explosion de poussières ou de dégagement de vapeurs inflammables » par «</w:t>
            </w:r>
            <w:r w:rsidR="007F0C5A">
              <w:rPr>
                <w:szCs w:val="22"/>
              </w:rPr>
              <w:t> </w:t>
            </w:r>
            <w:r w:rsidRPr="00372EDA">
              <w:rPr>
                <w:szCs w:val="22"/>
              </w:rPr>
              <w:t>matières en vrac susceptibles de provoquer une explosion de poussières ou un dégagement de vapeurs inflammables</w:t>
            </w:r>
            <w:r w:rsidR="007F0C5A">
              <w:rPr>
                <w:szCs w:val="22"/>
              </w:rPr>
              <w:t> </w:t>
            </w:r>
            <w:r w:rsidRPr="00372EDA">
              <w:rPr>
                <w:szCs w:val="22"/>
              </w:rPr>
              <w:t>».</w:t>
            </w:r>
          </w:p>
        </w:tc>
      </w:tr>
      <w:tr w:rsidR="00DE183E" w:rsidRPr="00372EDA" w:rsidTr="00DE183E">
        <w:trPr>
          <w:trHeight w:val="963"/>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53</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4.3.1.16.2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la première phrase par « Lorsqu’une accumulation dangereuse de gaz est susceptible de se développer à l’intérieur d’un conteneur pour vrac souple, il doit être équipé d’un évent.</w:t>
            </w:r>
            <w:r w:rsidR="007F0C5A">
              <w:rPr>
                <w:szCs w:val="22"/>
              </w:rPr>
              <w:t> </w:t>
            </w:r>
            <w:r w:rsidRPr="00372EDA">
              <w:rPr>
                <w:szCs w:val="22"/>
              </w:rPr>
              <w:t>».</w:t>
            </w:r>
          </w:p>
        </w:tc>
      </w:tr>
      <w:tr w:rsidR="00DE183E" w:rsidRPr="00372EDA" w:rsidTr="00DE183E">
        <w:trPr>
          <w:trHeight w:val="276"/>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54</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5.2.2.1.13.1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risques</w:t>
            </w:r>
            <w:r w:rsidR="007F0C5A">
              <w:rPr>
                <w:szCs w:val="22"/>
              </w:rPr>
              <w:t> </w:t>
            </w:r>
            <w:r w:rsidRPr="00372EDA">
              <w:rPr>
                <w:szCs w:val="22"/>
              </w:rPr>
              <w:t>» par «</w:t>
            </w:r>
            <w:r w:rsidR="007F0C5A">
              <w:rPr>
                <w:szCs w:val="22"/>
              </w:rPr>
              <w:t> </w:t>
            </w:r>
            <w:r w:rsidRPr="00372EDA">
              <w:rPr>
                <w:szCs w:val="22"/>
              </w:rPr>
              <w:t>dangers</w:t>
            </w:r>
            <w:r w:rsidR="007F0C5A">
              <w:rPr>
                <w:szCs w:val="22"/>
              </w:rPr>
              <w:t> </w:t>
            </w:r>
            <w:r w:rsidRPr="00372EDA">
              <w:rPr>
                <w:szCs w:val="22"/>
              </w:rPr>
              <w:t>».</w:t>
            </w:r>
          </w:p>
        </w:tc>
      </w:tr>
      <w:tr w:rsidR="00DE183E" w:rsidRPr="00372EDA" w:rsidTr="00DE183E">
        <w:trPr>
          <w:trHeight w:val="747"/>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55</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5.4.2.1, h)</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"When substances presenting a risk of asphyxiation are used" by "When asphyxiant substances are used".</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7F0C5A">
              <w:rPr>
                <w:szCs w:val="22"/>
              </w:rPr>
              <w:t> </w:t>
            </w:r>
            <w:r w:rsidRPr="00372EDA">
              <w:rPr>
                <w:szCs w:val="22"/>
              </w:rPr>
              <w:t>lorsque des matières présentant un risque d’asphyxie sont utilisées</w:t>
            </w:r>
            <w:r w:rsidR="007F0C5A">
              <w:rPr>
                <w:szCs w:val="22"/>
              </w:rPr>
              <w:t> </w:t>
            </w:r>
            <w:r w:rsidRPr="00372EDA">
              <w:rPr>
                <w:szCs w:val="22"/>
              </w:rPr>
              <w:t>» par « lorsque des matières asphyxiantes sont utilisées ».</w:t>
            </w:r>
          </w:p>
        </w:tc>
      </w:tr>
      <w:tr w:rsidR="00DE183E" w:rsidRPr="00372EDA" w:rsidTr="00DE183E">
        <w:trPr>
          <w:trHeight w:val="674"/>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56</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5.5.3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"containing substances presenting a risk of asphyxiation" by "containing asphyxiant substances".</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présentant un risque d’asphyxie » par «</w:t>
            </w:r>
            <w:r w:rsidR="007F0C5A">
              <w:rPr>
                <w:szCs w:val="22"/>
              </w:rPr>
              <w:t> </w:t>
            </w:r>
            <w:r w:rsidRPr="00372EDA">
              <w:rPr>
                <w:szCs w:val="22"/>
              </w:rPr>
              <w:t>asphyxiantes</w:t>
            </w:r>
            <w:r w:rsidR="007F0C5A">
              <w:rPr>
                <w:szCs w:val="22"/>
              </w:rPr>
              <w:t> </w:t>
            </w:r>
            <w:r w:rsidRPr="00372EDA">
              <w:rPr>
                <w:szCs w:val="22"/>
              </w:rPr>
              <w:t>».</w:t>
            </w:r>
          </w:p>
        </w:tc>
      </w:tr>
      <w:tr w:rsidR="00DE183E" w:rsidRPr="00372EDA" w:rsidTr="00DE183E">
        <w:trPr>
          <w:trHeight w:val="1187"/>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57</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6.1.4.9.2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la deuxième phrase par «</w:t>
            </w:r>
            <w:r w:rsidR="007F0C5A">
              <w:rPr>
                <w:szCs w:val="22"/>
              </w:rPr>
              <w:t> </w:t>
            </w:r>
            <w:r w:rsidRPr="00372EDA">
              <w:rPr>
                <w:szCs w:val="22"/>
              </w:rPr>
              <w:t>Les assemblages susceptibles de subir des contraintes importantes doivent être réalisés à l’aide de clous matés, de pointes à tige annelée ou de moyens de fixation équivalents.</w:t>
            </w:r>
            <w:r w:rsidR="007F0C5A">
              <w:rPr>
                <w:szCs w:val="22"/>
              </w:rPr>
              <w:t> </w:t>
            </w:r>
            <w:r w:rsidRPr="00372EDA">
              <w:rPr>
                <w:szCs w:val="22"/>
              </w:rPr>
              <w:t>».</w:t>
            </w:r>
          </w:p>
        </w:tc>
      </w:tr>
      <w:tr w:rsidR="00DE183E" w:rsidRPr="00372EDA" w:rsidTr="00DE183E">
        <w:trPr>
          <w:trHeight w:val="185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58</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6.1.4.18.2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In the second sentence, replace "Where there is a danger of the substance contained reacting with moisture" by "Where the substance can react with moisture".</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Dans la deuxième phrase</w:t>
            </w:r>
            <w:r w:rsidR="007F0C5A">
              <w:rPr>
                <w:szCs w:val="22"/>
              </w:rPr>
              <w:t> :</w:t>
            </w:r>
            <w:r w:rsidRPr="00372EDA">
              <w:rPr>
                <w:szCs w:val="22"/>
              </w:rPr>
              <w:t xml:space="preserve"> </w:t>
            </w:r>
            <w:r w:rsidR="002960BA">
              <w:rPr>
                <w:szCs w:val="22"/>
              </w:rPr>
              <w:br/>
            </w:r>
            <w:r w:rsidRPr="00372EDA">
              <w:rPr>
                <w:szCs w:val="22"/>
              </w:rPr>
              <w:t>Remplacer «</w:t>
            </w:r>
            <w:r w:rsidR="007F0C5A">
              <w:rPr>
                <w:szCs w:val="22"/>
              </w:rPr>
              <w:t> </w:t>
            </w:r>
            <w:r w:rsidRPr="00372EDA">
              <w:rPr>
                <w:szCs w:val="22"/>
              </w:rPr>
              <w:t>S’il y a risque de réaction du contenu avec l’humidité</w:t>
            </w:r>
            <w:r w:rsidR="007F0C5A">
              <w:rPr>
                <w:szCs w:val="22"/>
              </w:rPr>
              <w:t> </w:t>
            </w:r>
            <w:r w:rsidRPr="00372EDA">
              <w:rPr>
                <w:szCs w:val="22"/>
              </w:rPr>
              <w:t>» par «</w:t>
            </w:r>
            <w:r w:rsidR="007F0C5A">
              <w:rPr>
                <w:szCs w:val="22"/>
              </w:rPr>
              <w:t> </w:t>
            </w:r>
            <w:r w:rsidRPr="00372EDA">
              <w:rPr>
                <w:szCs w:val="22"/>
              </w:rPr>
              <w:t>Si le contenu peut réagir avec l’humidité</w:t>
            </w:r>
            <w:r w:rsidR="007F0C5A">
              <w:rPr>
                <w:szCs w:val="22"/>
              </w:rPr>
              <w:t> </w:t>
            </w:r>
            <w:r w:rsidRPr="00372EDA">
              <w:rPr>
                <w:szCs w:val="22"/>
              </w:rPr>
              <w:t>».</w:t>
            </w:r>
            <w:r w:rsidR="007F0C5A">
              <w:rPr>
                <w:szCs w:val="22"/>
              </w:rPr>
              <w:t xml:space="preserve"> </w:t>
            </w:r>
            <w:r w:rsidR="002960BA">
              <w:rPr>
                <w:szCs w:val="22"/>
              </w:rPr>
              <w:br/>
            </w:r>
            <w:r w:rsidRPr="00372EDA">
              <w:rPr>
                <w:szCs w:val="22"/>
              </w:rPr>
              <w:t>Ajouter «</w:t>
            </w:r>
            <w:r w:rsidR="007F0C5A">
              <w:rPr>
                <w:szCs w:val="22"/>
              </w:rPr>
              <w:t> </w:t>
            </w:r>
            <w:r w:rsidRPr="00372EDA">
              <w:rPr>
                <w:szCs w:val="22"/>
              </w:rPr>
              <w:t>doit aussi être placé au contact du contenu</w:t>
            </w:r>
            <w:r w:rsidR="007F0C5A">
              <w:rPr>
                <w:szCs w:val="22"/>
              </w:rPr>
              <w:t> </w:t>
            </w:r>
            <w:r w:rsidRPr="00372EDA">
              <w:rPr>
                <w:szCs w:val="22"/>
              </w:rPr>
              <w:t>» après «</w:t>
            </w:r>
            <w:r w:rsidR="007F0C5A">
              <w:rPr>
                <w:szCs w:val="22"/>
              </w:rPr>
              <w:t> </w:t>
            </w:r>
            <w:r w:rsidRPr="00372EDA">
              <w:rPr>
                <w:szCs w:val="22"/>
              </w:rPr>
              <w:t>l’eau</w:t>
            </w:r>
            <w:r w:rsidR="007F0C5A">
              <w:rPr>
                <w:szCs w:val="22"/>
              </w:rPr>
              <w:t> </w:t>
            </w:r>
            <w:r w:rsidRPr="00372EDA">
              <w:rPr>
                <w:szCs w:val="22"/>
              </w:rPr>
              <w:t>».</w:t>
            </w:r>
            <w:r w:rsidR="007F0C5A">
              <w:rPr>
                <w:szCs w:val="22"/>
              </w:rPr>
              <w:t xml:space="preserve"> </w:t>
            </w:r>
            <w:r w:rsidR="002960BA">
              <w:rPr>
                <w:szCs w:val="22"/>
              </w:rPr>
              <w:br/>
            </w:r>
            <w:r w:rsidRPr="00372EDA">
              <w:rPr>
                <w:szCs w:val="22"/>
              </w:rPr>
              <w:t>À la fin de la phrase, supprimer «</w:t>
            </w:r>
            <w:r w:rsidR="007F0C5A">
              <w:rPr>
                <w:szCs w:val="22"/>
              </w:rPr>
              <w:t> </w:t>
            </w:r>
            <w:r w:rsidRPr="00372EDA">
              <w:rPr>
                <w:szCs w:val="22"/>
              </w:rPr>
              <w:t>doivent aussi être placés au contact du contenu</w:t>
            </w:r>
            <w:r w:rsidR="007F0C5A">
              <w:rPr>
                <w:szCs w:val="22"/>
              </w:rPr>
              <w:t> </w:t>
            </w:r>
            <w:r w:rsidRPr="00372EDA">
              <w:rPr>
                <w:szCs w:val="22"/>
              </w:rPr>
              <w:t>».</w:t>
            </w:r>
          </w:p>
        </w:tc>
      </w:tr>
      <w:tr w:rsidR="00DE183E" w:rsidRPr="00372EDA" w:rsidTr="00DE183E">
        <w:trPr>
          <w:trHeight w:val="116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59</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6.1.5.3.1, par.</w:t>
            </w:r>
            <w:r w:rsidR="002960BA">
              <w:rPr>
                <w:lang w:eastAsia="ro-RO"/>
              </w:rPr>
              <w:t> </w:t>
            </w:r>
            <w:r w:rsidRPr="00372EDA">
              <w:rPr>
                <w:lang w:eastAsia="ro-RO"/>
              </w:rPr>
              <w:t>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la phrase par «</w:t>
            </w:r>
            <w:r w:rsidR="007F0C5A">
              <w:rPr>
                <w:szCs w:val="22"/>
              </w:rPr>
              <w:t> </w:t>
            </w:r>
            <w:r w:rsidRPr="00372EDA">
              <w:rPr>
                <w:szCs w:val="22"/>
              </w:rPr>
              <w:t>Si plusieurs orientations sont possibles pour un essai donné, on doit choisir l’orientation pour laquelle la probabilité de rupture de l’emballage est la plus grande.</w:t>
            </w:r>
            <w:r w:rsidR="007F0C5A">
              <w:rPr>
                <w:szCs w:val="22"/>
              </w:rPr>
              <w:t> </w:t>
            </w:r>
            <w:r w:rsidRPr="00372EDA">
              <w:rPr>
                <w:szCs w:val="22"/>
              </w:rPr>
              <w:t>».</w:t>
            </w:r>
          </w:p>
        </w:tc>
      </w:tr>
      <w:tr w:rsidR="00DE183E" w:rsidRPr="00372EDA" w:rsidTr="00DE183E">
        <w:trPr>
          <w:trHeight w:val="286"/>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60</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6.2.1.1.6</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0D6940">
              <w:rPr>
                <w:szCs w:val="22"/>
              </w:rPr>
              <w:t> </w:t>
            </w:r>
            <w:r w:rsidRPr="00372EDA">
              <w:rPr>
                <w:szCs w:val="22"/>
              </w:rPr>
              <w:t>risquant</w:t>
            </w:r>
            <w:r w:rsidR="000D6940">
              <w:rPr>
                <w:szCs w:val="22"/>
              </w:rPr>
              <w:t> </w:t>
            </w:r>
            <w:r w:rsidRPr="00372EDA">
              <w:rPr>
                <w:szCs w:val="22"/>
              </w:rPr>
              <w:t>» par «</w:t>
            </w:r>
            <w:r w:rsidR="000D6940">
              <w:rPr>
                <w:szCs w:val="22"/>
              </w:rPr>
              <w:t> </w:t>
            </w:r>
            <w:r w:rsidRPr="00372EDA">
              <w:rPr>
                <w:szCs w:val="22"/>
              </w:rPr>
              <w:t>susceptible</w:t>
            </w:r>
            <w:r w:rsidR="000D6940">
              <w:rPr>
                <w:szCs w:val="22"/>
              </w:rPr>
              <w:t> </w:t>
            </w:r>
            <w:r w:rsidRPr="00372EDA">
              <w:rPr>
                <w:szCs w:val="22"/>
              </w:rPr>
              <w:t>».</w:t>
            </w:r>
          </w:p>
        </w:tc>
      </w:tr>
      <w:tr w:rsidR="00DE183E" w:rsidRPr="00372EDA" w:rsidTr="00DE183E">
        <w:trPr>
          <w:trHeight w:val="1018"/>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61</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6.2.1.1.8.3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"where there is a risk of contact with oxygen or with oxygen enriched liquid" by "where any contact with oxygen or with oxygen enriched liquid is possible".</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0D6940">
              <w:rPr>
                <w:szCs w:val="22"/>
              </w:rPr>
              <w:t> </w:t>
            </w:r>
            <w:r w:rsidRPr="00372EDA">
              <w:rPr>
                <w:szCs w:val="22"/>
              </w:rPr>
              <w:t>il existe un risque de</w:t>
            </w:r>
            <w:r w:rsidR="000D6940">
              <w:rPr>
                <w:szCs w:val="22"/>
              </w:rPr>
              <w:t> </w:t>
            </w:r>
            <w:r w:rsidRPr="00372EDA">
              <w:rPr>
                <w:szCs w:val="22"/>
              </w:rPr>
              <w:t>» par «</w:t>
            </w:r>
            <w:r w:rsidR="000D6940">
              <w:rPr>
                <w:szCs w:val="22"/>
              </w:rPr>
              <w:t> </w:t>
            </w:r>
            <w:r w:rsidRPr="00372EDA">
              <w:rPr>
                <w:szCs w:val="22"/>
              </w:rPr>
              <w:t>un</w:t>
            </w:r>
            <w:r w:rsidR="000D6940">
              <w:rPr>
                <w:szCs w:val="22"/>
              </w:rPr>
              <w:t> </w:t>
            </w:r>
            <w:r w:rsidRPr="00372EDA">
              <w:rPr>
                <w:szCs w:val="22"/>
              </w:rPr>
              <w:t>» et ajouter à la fin de la phrase «</w:t>
            </w:r>
            <w:r w:rsidR="000D6940">
              <w:rPr>
                <w:szCs w:val="22"/>
              </w:rPr>
              <w:t> </w:t>
            </w:r>
            <w:r w:rsidRPr="00372EDA">
              <w:rPr>
                <w:szCs w:val="22"/>
              </w:rPr>
              <w:t>est possible ».</w:t>
            </w:r>
          </w:p>
        </w:tc>
      </w:tr>
      <w:tr w:rsidR="00DE183E" w:rsidRPr="00372EDA" w:rsidTr="00DE183E">
        <w:trPr>
          <w:trHeight w:val="426"/>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62</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6.2.1.2.1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0D6940">
              <w:rPr>
                <w:szCs w:val="22"/>
              </w:rPr>
              <w:t> </w:t>
            </w:r>
            <w:r w:rsidRPr="00372EDA">
              <w:rPr>
                <w:szCs w:val="22"/>
              </w:rPr>
              <w:t>ne risque pas de provoquer un effet</w:t>
            </w:r>
            <w:r w:rsidR="000D6940">
              <w:rPr>
                <w:szCs w:val="22"/>
              </w:rPr>
              <w:t> </w:t>
            </w:r>
            <w:r w:rsidRPr="00372EDA">
              <w:rPr>
                <w:szCs w:val="22"/>
              </w:rPr>
              <w:t>» par «</w:t>
            </w:r>
            <w:r w:rsidR="000D6940">
              <w:rPr>
                <w:szCs w:val="22"/>
              </w:rPr>
              <w:t> </w:t>
            </w:r>
            <w:r w:rsidRPr="00372EDA">
              <w:rPr>
                <w:szCs w:val="22"/>
              </w:rPr>
              <w:t>ne provoque pas d’effet</w:t>
            </w:r>
            <w:r w:rsidR="000D6940">
              <w:rPr>
                <w:szCs w:val="22"/>
              </w:rPr>
              <w:t> </w:t>
            </w:r>
            <w:r w:rsidRPr="00372EDA">
              <w:rPr>
                <w:szCs w:val="22"/>
              </w:rPr>
              <w:t>».</w:t>
            </w:r>
          </w:p>
        </w:tc>
      </w:tr>
      <w:tr w:rsidR="00DE183E" w:rsidRPr="00372EDA" w:rsidTr="00DE183E">
        <w:trPr>
          <w:trHeight w:val="279"/>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63</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6.2.1.3.2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0D6940">
              <w:rPr>
                <w:szCs w:val="22"/>
              </w:rPr>
              <w:t> </w:t>
            </w:r>
            <w:r w:rsidRPr="00372EDA">
              <w:rPr>
                <w:szCs w:val="22"/>
              </w:rPr>
              <w:t>risquant de</w:t>
            </w:r>
            <w:r w:rsidR="000D6940">
              <w:rPr>
                <w:szCs w:val="22"/>
              </w:rPr>
              <w:t> </w:t>
            </w:r>
            <w:r w:rsidRPr="00372EDA">
              <w:rPr>
                <w:szCs w:val="22"/>
              </w:rPr>
              <w:t>» par «</w:t>
            </w:r>
            <w:r w:rsidR="000D6940">
              <w:rPr>
                <w:szCs w:val="22"/>
              </w:rPr>
              <w:t> </w:t>
            </w:r>
            <w:r w:rsidRPr="00372EDA">
              <w:rPr>
                <w:szCs w:val="22"/>
              </w:rPr>
              <w:t>qui pourrait</w:t>
            </w:r>
            <w:r w:rsidR="000D6940">
              <w:rPr>
                <w:szCs w:val="22"/>
              </w:rPr>
              <w:t> </w:t>
            </w:r>
            <w:r w:rsidRPr="00372EDA">
              <w:rPr>
                <w:szCs w:val="22"/>
              </w:rPr>
              <w:t>».</w:t>
            </w:r>
          </w:p>
        </w:tc>
      </w:tr>
      <w:tr w:rsidR="00DE183E" w:rsidRPr="00372EDA" w:rsidTr="00DE183E">
        <w:trPr>
          <w:trHeight w:val="42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64</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6.2.1.3.6.2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vAlign w:val="center"/>
            <w:hideMark/>
          </w:tcPr>
          <w:p w:rsidR="00DE183E" w:rsidRPr="00372EDA" w:rsidRDefault="00DE183E" w:rsidP="00DE183E">
            <w:pPr>
              <w:spacing w:before="60" w:after="60" w:line="240" w:lineRule="auto"/>
              <w:ind w:left="57" w:right="57"/>
              <w:rPr>
                <w:szCs w:val="22"/>
              </w:rPr>
            </w:pPr>
            <w:r w:rsidRPr="00372EDA">
              <w:rPr>
                <w:szCs w:val="22"/>
              </w:rPr>
              <w:t>Remplacer «</w:t>
            </w:r>
            <w:r w:rsidR="000D6940">
              <w:rPr>
                <w:szCs w:val="22"/>
              </w:rPr>
              <w:t> </w:t>
            </w:r>
            <w:r w:rsidRPr="00372EDA">
              <w:rPr>
                <w:szCs w:val="22"/>
              </w:rPr>
              <w:t>risque d’être bloqué</w:t>
            </w:r>
            <w:r w:rsidR="000D6940">
              <w:rPr>
                <w:szCs w:val="22"/>
              </w:rPr>
              <w:t> </w:t>
            </w:r>
            <w:r w:rsidRPr="00372EDA">
              <w:rPr>
                <w:szCs w:val="22"/>
              </w:rPr>
              <w:t>» par «</w:t>
            </w:r>
            <w:r w:rsidR="000D6940">
              <w:rPr>
                <w:szCs w:val="22"/>
              </w:rPr>
              <w:t> </w:t>
            </w:r>
            <w:r w:rsidRPr="00372EDA">
              <w:rPr>
                <w:szCs w:val="22"/>
              </w:rPr>
              <w:t>peut être piégé</w:t>
            </w:r>
            <w:r w:rsidR="000D6940">
              <w:rPr>
                <w:szCs w:val="22"/>
              </w:rPr>
              <w:t> </w:t>
            </w:r>
            <w:r w:rsidRPr="00372EDA">
              <w:rPr>
                <w:szCs w:val="22"/>
              </w:rPr>
              <w:t>».</w:t>
            </w:r>
          </w:p>
        </w:tc>
      </w:tr>
      <w:tr w:rsidR="00DE183E" w:rsidRPr="00372EDA" w:rsidTr="00DE183E">
        <w:trPr>
          <w:trHeight w:val="1002"/>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lastRenderedPageBreak/>
              <w:t>65</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6.2.2.7.4, p)</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"gases with a risk of hydrogen embrittlement" by "gases for which hydrogen embrittlement may occur".</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0D6940">
              <w:rPr>
                <w:szCs w:val="22"/>
              </w:rPr>
              <w:t> </w:t>
            </w:r>
            <w:r w:rsidRPr="00372EDA">
              <w:rPr>
                <w:szCs w:val="22"/>
              </w:rPr>
              <w:t>transport des gaz avec risque de fragilisation par l’hydrogène</w:t>
            </w:r>
            <w:r w:rsidR="000D6940">
              <w:rPr>
                <w:szCs w:val="22"/>
              </w:rPr>
              <w:t> </w:t>
            </w:r>
            <w:r w:rsidRPr="00372EDA">
              <w:rPr>
                <w:szCs w:val="22"/>
              </w:rPr>
              <w:t>» par «</w:t>
            </w:r>
            <w:r w:rsidR="000D6940">
              <w:rPr>
                <w:szCs w:val="22"/>
              </w:rPr>
              <w:t> </w:t>
            </w:r>
            <w:r w:rsidRPr="00372EDA">
              <w:rPr>
                <w:szCs w:val="22"/>
              </w:rPr>
              <w:t>transport des gaz pour lesquels une fragilisation par l’hydrogène pourrait se produire</w:t>
            </w:r>
            <w:r w:rsidR="000D6940">
              <w:rPr>
                <w:szCs w:val="22"/>
              </w:rPr>
              <w:t> </w:t>
            </w:r>
            <w:r w:rsidRPr="00372EDA">
              <w:rPr>
                <w:szCs w:val="22"/>
              </w:rPr>
              <w:t>».</w:t>
            </w:r>
          </w:p>
        </w:tc>
      </w:tr>
      <w:tr w:rsidR="00DE183E" w:rsidRPr="00372EDA" w:rsidTr="00DE183E">
        <w:trPr>
          <w:trHeight w:val="33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66</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6.3.5.2.2 après le tableau</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qui risquent de » par « qui pourraient ».</w:t>
            </w:r>
          </w:p>
        </w:tc>
      </w:tr>
      <w:tr w:rsidR="00DE183E" w:rsidRPr="00372EDA" w:rsidTr="00DE183E">
        <w:trPr>
          <w:trHeight w:val="612"/>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67</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6.5.3.1.5</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Replace "</w:t>
            </w:r>
            <w:proofErr w:type="spellStart"/>
            <w:r w:rsidRPr="00372EDA">
              <w:rPr>
                <w:szCs w:val="22"/>
              </w:rPr>
              <w:t>risk</w:t>
            </w:r>
            <w:proofErr w:type="spellEnd"/>
            <w:r w:rsidRPr="00372EDA">
              <w:rPr>
                <w:szCs w:val="22"/>
              </w:rPr>
              <w:t>" by "</w:t>
            </w:r>
            <w:proofErr w:type="spellStart"/>
            <w:r w:rsidRPr="00372EDA">
              <w:rPr>
                <w:szCs w:val="22"/>
              </w:rPr>
              <w:t>likelihood</w:t>
            </w:r>
            <w:proofErr w:type="spellEnd"/>
            <w:r w:rsidRPr="00372EDA">
              <w:rPr>
                <w:szCs w:val="22"/>
              </w:rPr>
              <w: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0D6940">
              <w:rPr>
                <w:szCs w:val="22"/>
              </w:rPr>
              <w:t> </w:t>
            </w:r>
            <w:r w:rsidRPr="00372EDA">
              <w:rPr>
                <w:szCs w:val="22"/>
              </w:rPr>
              <w:t>Tout l’équipement</w:t>
            </w:r>
            <w:r w:rsidR="000D6940">
              <w:rPr>
                <w:szCs w:val="22"/>
              </w:rPr>
              <w:t> </w:t>
            </w:r>
            <w:r w:rsidRPr="00372EDA">
              <w:rPr>
                <w:szCs w:val="22"/>
              </w:rPr>
              <w:t>» par «</w:t>
            </w:r>
            <w:r w:rsidR="000D6940">
              <w:rPr>
                <w:szCs w:val="22"/>
              </w:rPr>
              <w:t> </w:t>
            </w:r>
            <w:r w:rsidRPr="00372EDA">
              <w:rPr>
                <w:szCs w:val="22"/>
              </w:rPr>
              <w:t>Tout équipement</w:t>
            </w:r>
            <w:r w:rsidR="000D6940">
              <w:rPr>
                <w:szCs w:val="22"/>
              </w:rPr>
              <w:t> </w:t>
            </w:r>
            <w:r w:rsidRPr="00372EDA">
              <w:rPr>
                <w:szCs w:val="22"/>
              </w:rPr>
              <w:t>» et «</w:t>
            </w:r>
            <w:r w:rsidR="000D6940">
              <w:rPr>
                <w:szCs w:val="22"/>
              </w:rPr>
              <w:t> </w:t>
            </w:r>
            <w:r w:rsidRPr="00372EDA">
              <w:rPr>
                <w:szCs w:val="22"/>
              </w:rPr>
              <w:t>les risques de fuite</w:t>
            </w:r>
            <w:r w:rsidR="000D6940">
              <w:rPr>
                <w:szCs w:val="22"/>
              </w:rPr>
              <w:t> </w:t>
            </w:r>
            <w:r w:rsidRPr="00372EDA">
              <w:rPr>
                <w:szCs w:val="22"/>
              </w:rPr>
              <w:t>» par « la probabilité de fuite</w:t>
            </w:r>
            <w:r w:rsidR="000D6940">
              <w:rPr>
                <w:szCs w:val="22"/>
              </w:rPr>
              <w:t> </w:t>
            </w:r>
            <w:r w:rsidRPr="00372EDA">
              <w:rPr>
                <w:szCs w:val="22"/>
              </w:rPr>
              <w:t>».</w:t>
            </w:r>
          </w:p>
        </w:tc>
      </w:tr>
      <w:tr w:rsidR="00DE183E" w:rsidRPr="00372EDA" w:rsidTr="00DE183E">
        <w:trPr>
          <w:trHeight w:val="199"/>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68</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6.6.4.4.6</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0D6940">
              <w:rPr>
                <w:szCs w:val="22"/>
              </w:rPr>
              <w:t> </w:t>
            </w:r>
            <w:r w:rsidRPr="00372EDA">
              <w:rPr>
                <w:szCs w:val="22"/>
              </w:rPr>
              <w:t>risquant</w:t>
            </w:r>
            <w:r w:rsidR="000D6940">
              <w:rPr>
                <w:szCs w:val="22"/>
              </w:rPr>
              <w:t> </w:t>
            </w:r>
            <w:r w:rsidRPr="00372EDA">
              <w:rPr>
                <w:szCs w:val="22"/>
              </w:rPr>
              <w:t>» par «</w:t>
            </w:r>
            <w:r w:rsidR="000D6940">
              <w:rPr>
                <w:szCs w:val="22"/>
              </w:rPr>
              <w:t> </w:t>
            </w:r>
            <w:r w:rsidRPr="00372EDA">
              <w:rPr>
                <w:szCs w:val="22"/>
              </w:rPr>
              <w:t>susceptible</w:t>
            </w:r>
            <w:r w:rsidR="000D6940">
              <w:rPr>
                <w:szCs w:val="22"/>
              </w:rPr>
              <w:t> </w:t>
            </w:r>
            <w:r w:rsidRPr="00372EDA">
              <w:rPr>
                <w:szCs w:val="22"/>
              </w:rPr>
              <w:t>».</w:t>
            </w:r>
          </w:p>
        </w:tc>
      </w:tr>
      <w:tr w:rsidR="00DE183E" w:rsidRPr="00372EDA" w:rsidTr="00DE183E">
        <w:trPr>
          <w:trHeight w:val="38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69</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6.6.4.5.7</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risquant</w:t>
            </w:r>
            <w:r w:rsidR="002960BA">
              <w:rPr>
                <w:szCs w:val="22"/>
              </w:rPr>
              <w:t> </w:t>
            </w:r>
            <w:r w:rsidRPr="00372EDA">
              <w:rPr>
                <w:szCs w:val="22"/>
              </w:rPr>
              <w:t>» par «</w:t>
            </w:r>
            <w:r w:rsidR="002960BA">
              <w:rPr>
                <w:szCs w:val="22"/>
              </w:rPr>
              <w:t> </w:t>
            </w:r>
            <w:r w:rsidRPr="00372EDA">
              <w:rPr>
                <w:szCs w:val="22"/>
              </w:rPr>
              <w:t>susceptible</w:t>
            </w:r>
            <w:r w:rsidR="002960BA">
              <w:rPr>
                <w:szCs w:val="22"/>
              </w:rPr>
              <w:t> </w:t>
            </w:r>
            <w:r w:rsidRPr="00372EDA">
              <w:rPr>
                <w:szCs w:val="22"/>
              </w:rPr>
              <w:t>».</w:t>
            </w:r>
          </w:p>
        </w:tc>
      </w:tr>
      <w:tr w:rsidR="00DE183E" w:rsidRPr="00372EDA" w:rsidTr="00DE183E">
        <w:trPr>
          <w:trHeight w:val="193"/>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70</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6.6.4.5.8</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risquant</w:t>
            </w:r>
            <w:r w:rsidR="002960BA">
              <w:rPr>
                <w:szCs w:val="22"/>
              </w:rPr>
              <w:t> </w:t>
            </w:r>
            <w:r w:rsidRPr="00372EDA">
              <w:rPr>
                <w:szCs w:val="22"/>
              </w:rPr>
              <w:t>» par «</w:t>
            </w:r>
            <w:r w:rsidR="002960BA">
              <w:rPr>
                <w:szCs w:val="22"/>
              </w:rPr>
              <w:t> </w:t>
            </w:r>
            <w:r w:rsidRPr="00372EDA">
              <w:rPr>
                <w:szCs w:val="22"/>
              </w:rPr>
              <w:t>susceptible</w:t>
            </w:r>
            <w:r w:rsidR="002960BA">
              <w:rPr>
                <w:szCs w:val="22"/>
              </w:rPr>
              <w:t> </w:t>
            </w:r>
            <w:r w:rsidRPr="00372EDA">
              <w:rPr>
                <w:szCs w:val="22"/>
              </w:rPr>
              <w:t>».</w:t>
            </w:r>
          </w:p>
        </w:tc>
      </w:tr>
      <w:tr w:rsidR="00DE183E" w:rsidRPr="00372EDA" w:rsidTr="00DE183E">
        <w:trPr>
          <w:trHeight w:val="381"/>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71</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6.6.5.2.1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risque de fausser</w:t>
            </w:r>
            <w:r w:rsidR="002960BA">
              <w:rPr>
                <w:szCs w:val="22"/>
              </w:rPr>
              <w:t> </w:t>
            </w:r>
            <w:r w:rsidRPr="00372EDA">
              <w:rPr>
                <w:szCs w:val="22"/>
              </w:rPr>
              <w:t>» par «</w:t>
            </w:r>
            <w:r w:rsidR="002960BA">
              <w:rPr>
                <w:szCs w:val="22"/>
              </w:rPr>
              <w:t> </w:t>
            </w:r>
            <w:r w:rsidRPr="00372EDA">
              <w:rPr>
                <w:szCs w:val="22"/>
              </w:rPr>
              <w:t>peut invalider</w:t>
            </w:r>
            <w:r w:rsidR="002960BA">
              <w:rPr>
                <w:szCs w:val="22"/>
              </w:rPr>
              <w:t> </w:t>
            </w:r>
            <w:r w:rsidRPr="00372EDA">
              <w:rPr>
                <w:szCs w:val="22"/>
              </w:rPr>
              <w:t>».</w:t>
            </w:r>
          </w:p>
        </w:tc>
      </w:tr>
      <w:tr w:rsidR="00DE183E" w:rsidRPr="00372EDA" w:rsidTr="00DE183E">
        <w:trPr>
          <w:trHeight w:val="1168"/>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72</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6.7.2.2.1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"risk of brittle fracture, to stress corrosion cracking and to resistance to impact." by "resistance to brittle fracture, to stress corrosion cracking and to impact.".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 xml:space="preserve">aux risques de rupture fragile sous tension, de la fissuration par corrosion et de la résistance aux </w:t>
            </w:r>
            <w:r w:rsidR="00043817">
              <w:rPr>
                <w:szCs w:val="22"/>
              </w:rPr>
              <w:t>chocs</w:t>
            </w:r>
            <w:r w:rsidR="002960BA">
              <w:rPr>
                <w:szCs w:val="22"/>
              </w:rPr>
              <w:t> </w:t>
            </w:r>
            <w:r w:rsidRPr="00372EDA">
              <w:rPr>
                <w:szCs w:val="22"/>
              </w:rPr>
              <w:t>» par «</w:t>
            </w:r>
            <w:r w:rsidR="002960BA">
              <w:rPr>
                <w:szCs w:val="22"/>
              </w:rPr>
              <w:t> </w:t>
            </w:r>
            <w:r w:rsidRPr="00372EDA">
              <w:rPr>
                <w:szCs w:val="22"/>
              </w:rPr>
              <w:t xml:space="preserve">à la résistance à la rupture fragile, à la fissuration par corrosion sous tension et aux </w:t>
            </w:r>
            <w:r w:rsidR="00043817">
              <w:rPr>
                <w:szCs w:val="22"/>
              </w:rPr>
              <w:t>chocs</w:t>
            </w:r>
            <w:r w:rsidR="002960BA">
              <w:rPr>
                <w:szCs w:val="22"/>
              </w:rPr>
              <w:t> </w:t>
            </w:r>
            <w:r w:rsidRPr="00372EDA">
              <w:rPr>
                <w:szCs w:val="22"/>
              </w:rPr>
              <w:t>».</w:t>
            </w:r>
          </w:p>
        </w:tc>
      </w:tr>
      <w:tr w:rsidR="00DE183E" w:rsidRPr="00372EDA" w:rsidTr="00DE183E">
        <w:trPr>
          <w:trHeight w:val="63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73</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6.7.2.2.16</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Replace "</w:t>
            </w:r>
            <w:proofErr w:type="spellStart"/>
            <w:r w:rsidRPr="00372EDA">
              <w:rPr>
                <w:szCs w:val="22"/>
              </w:rPr>
              <w:t>risks</w:t>
            </w:r>
            <w:proofErr w:type="spellEnd"/>
            <w:r w:rsidRPr="00372EDA">
              <w:rPr>
                <w:szCs w:val="22"/>
              </w:rPr>
              <w:t>" by "</w:t>
            </w:r>
            <w:proofErr w:type="spellStart"/>
            <w:r w:rsidRPr="00372EDA">
              <w:rPr>
                <w:szCs w:val="22"/>
              </w:rPr>
              <w:t>hazards</w:t>
            </w:r>
            <w:proofErr w:type="spellEnd"/>
            <w:r w:rsidRPr="00372EDA">
              <w:rPr>
                <w:szCs w:val="22"/>
              </w:rPr>
              <w: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marchandises dangereuses</w:t>
            </w:r>
            <w:r w:rsidR="002960BA">
              <w:rPr>
                <w:szCs w:val="22"/>
              </w:rPr>
              <w:t> </w:t>
            </w:r>
            <w:r w:rsidRPr="00372EDA">
              <w:rPr>
                <w:szCs w:val="22"/>
              </w:rPr>
              <w:t>» par «</w:t>
            </w:r>
            <w:r w:rsidR="002960BA">
              <w:rPr>
                <w:szCs w:val="22"/>
              </w:rPr>
              <w:t> </w:t>
            </w:r>
            <w:r w:rsidRPr="00372EDA">
              <w:rPr>
                <w:szCs w:val="22"/>
              </w:rPr>
              <w:t>Marchandises Dangereuses</w:t>
            </w:r>
            <w:r w:rsidR="002960BA">
              <w:rPr>
                <w:szCs w:val="22"/>
              </w:rPr>
              <w:t> </w:t>
            </w:r>
            <w:r w:rsidRPr="00372EDA">
              <w:rPr>
                <w:szCs w:val="22"/>
              </w:rPr>
              <w:t>»</w:t>
            </w:r>
            <w:r w:rsidR="002960BA">
              <w:rPr>
                <w:szCs w:val="22"/>
              </w:rPr>
              <w:t xml:space="preserve"> </w:t>
            </w:r>
            <w:r w:rsidRPr="00372EDA">
              <w:rPr>
                <w:szCs w:val="22"/>
              </w:rPr>
              <w:t>et «</w:t>
            </w:r>
            <w:r w:rsidR="002960BA">
              <w:rPr>
                <w:szCs w:val="22"/>
              </w:rPr>
              <w:t> </w:t>
            </w:r>
            <w:r w:rsidRPr="00372EDA">
              <w:rPr>
                <w:szCs w:val="22"/>
              </w:rPr>
              <w:t>risques</w:t>
            </w:r>
            <w:r w:rsidR="002960BA">
              <w:rPr>
                <w:szCs w:val="22"/>
              </w:rPr>
              <w:t> </w:t>
            </w:r>
            <w:r w:rsidRPr="00372EDA">
              <w:rPr>
                <w:szCs w:val="22"/>
              </w:rPr>
              <w:t>» par «</w:t>
            </w:r>
            <w:r w:rsidR="002960BA">
              <w:rPr>
                <w:szCs w:val="22"/>
              </w:rPr>
              <w:t> </w:t>
            </w:r>
            <w:r w:rsidRPr="00372EDA">
              <w:rPr>
                <w:szCs w:val="22"/>
              </w:rPr>
              <w:t>dangers</w:t>
            </w:r>
            <w:r w:rsidR="002960BA">
              <w:rPr>
                <w:szCs w:val="22"/>
              </w:rPr>
              <w:t> </w:t>
            </w:r>
            <w:r w:rsidRPr="00372EDA">
              <w:rPr>
                <w:szCs w:val="22"/>
              </w:rPr>
              <w:t>».</w:t>
            </w:r>
          </w:p>
        </w:tc>
      </w:tr>
      <w:tr w:rsidR="00DE183E" w:rsidRPr="00372EDA" w:rsidTr="00DE183E">
        <w:trPr>
          <w:trHeight w:val="2398"/>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74</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6.7.2.5.1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In the first sentence, replace "the risk of being wrenched off" by "being wrenched off".</w:t>
            </w:r>
            <w:r w:rsidRPr="00372EDA">
              <w:rPr>
                <w:szCs w:val="22"/>
                <w:lang w:val="en-US"/>
              </w:rPr>
              <w:br/>
              <w:t>In the second sentence, delete "risk of".</w:t>
            </w:r>
            <w:r w:rsidRPr="00372EDA">
              <w:rPr>
                <w:szCs w:val="22"/>
                <w:lang w:val="en-US"/>
              </w:rPr>
              <w:br/>
              <w:t>In the third sentence, delete "the danger of".</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la première phrase par « L’équipement de service doit être disposé de manière à être protégé contre l’arrachement ou une avarie en cours de manutention ou de transport.</w:t>
            </w:r>
            <w:r w:rsidR="002960BA">
              <w:rPr>
                <w:szCs w:val="22"/>
              </w:rPr>
              <w:t> </w:t>
            </w:r>
            <w:r w:rsidRPr="00372EDA">
              <w:rPr>
                <w:szCs w:val="22"/>
              </w:rPr>
              <w:t>».</w:t>
            </w:r>
            <w:r w:rsidR="002960BA">
              <w:rPr>
                <w:szCs w:val="22"/>
              </w:rPr>
              <w:t xml:space="preserve"> </w:t>
            </w:r>
            <w:r w:rsidR="002960BA">
              <w:rPr>
                <w:szCs w:val="22"/>
              </w:rPr>
              <w:br/>
            </w:r>
            <w:r w:rsidRPr="00372EDA">
              <w:rPr>
                <w:szCs w:val="22"/>
              </w:rPr>
              <w:t>Dans la deuxième phrase, remplacer « permettre tel déplacement sans risque d’avarie</w:t>
            </w:r>
            <w:r w:rsidR="002960BA">
              <w:rPr>
                <w:szCs w:val="22"/>
              </w:rPr>
              <w:t> </w:t>
            </w:r>
            <w:r w:rsidRPr="00372EDA">
              <w:rPr>
                <w:szCs w:val="22"/>
              </w:rPr>
              <w:t>» par «</w:t>
            </w:r>
            <w:r w:rsidR="002960BA">
              <w:rPr>
                <w:szCs w:val="22"/>
              </w:rPr>
              <w:t> </w:t>
            </w:r>
            <w:r w:rsidRPr="00372EDA">
              <w:rPr>
                <w:szCs w:val="22"/>
              </w:rPr>
              <w:t>permettre un tel déplacement sans avarie</w:t>
            </w:r>
            <w:r w:rsidR="002960BA">
              <w:rPr>
                <w:szCs w:val="22"/>
              </w:rPr>
              <w:t> </w:t>
            </w:r>
            <w:r w:rsidRPr="00372EDA">
              <w:rPr>
                <w:szCs w:val="22"/>
              </w:rPr>
              <w:t>».</w:t>
            </w:r>
            <w:r w:rsidR="002960BA">
              <w:rPr>
                <w:szCs w:val="22"/>
              </w:rPr>
              <w:t xml:space="preserve"> </w:t>
            </w:r>
            <w:r w:rsidR="002960BA">
              <w:rPr>
                <w:szCs w:val="22"/>
              </w:rPr>
              <w:br/>
            </w:r>
            <w:r w:rsidRPr="00372EDA">
              <w:rPr>
                <w:szCs w:val="22"/>
              </w:rPr>
              <w:t>Dans la troisième phrase, remplacer «</w:t>
            </w:r>
            <w:r w:rsidR="002960BA">
              <w:rPr>
                <w:szCs w:val="22"/>
              </w:rPr>
              <w:t> </w:t>
            </w:r>
            <w:r w:rsidRPr="00372EDA">
              <w:rPr>
                <w:szCs w:val="22"/>
              </w:rPr>
              <w:t>contre les risques d’arrachement » par «</w:t>
            </w:r>
            <w:r w:rsidR="002960BA">
              <w:rPr>
                <w:szCs w:val="22"/>
              </w:rPr>
              <w:t> </w:t>
            </w:r>
            <w:r w:rsidRPr="00372EDA">
              <w:rPr>
                <w:szCs w:val="22"/>
              </w:rPr>
              <w:t>contre l’arrachement</w:t>
            </w:r>
            <w:r w:rsidR="002960BA">
              <w:rPr>
                <w:szCs w:val="22"/>
              </w:rPr>
              <w:t> </w:t>
            </w:r>
            <w:r w:rsidRPr="00372EDA">
              <w:rPr>
                <w:szCs w:val="22"/>
              </w:rPr>
              <w:t>».</w:t>
            </w:r>
          </w:p>
        </w:tc>
      </w:tr>
      <w:tr w:rsidR="00DE183E" w:rsidRPr="00372EDA" w:rsidTr="00DE183E">
        <w:trPr>
          <w:trHeight w:val="427"/>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75</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6.7.2.5.8</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"the risk of damage" by "damage".</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tout risque d’endommagement</w:t>
            </w:r>
            <w:r w:rsidR="002960BA">
              <w:rPr>
                <w:szCs w:val="22"/>
              </w:rPr>
              <w:t> </w:t>
            </w:r>
            <w:r w:rsidRPr="00372EDA">
              <w:rPr>
                <w:szCs w:val="22"/>
              </w:rPr>
              <w:t>» par «</w:t>
            </w:r>
            <w:r w:rsidR="002960BA">
              <w:rPr>
                <w:szCs w:val="22"/>
              </w:rPr>
              <w:t> </w:t>
            </w:r>
            <w:r w:rsidRPr="00372EDA">
              <w:rPr>
                <w:szCs w:val="22"/>
              </w:rPr>
              <w:t>l’endommagement</w:t>
            </w:r>
            <w:r w:rsidR="002960BA">
              <w:rPr>
                <w:szCs w:val="22"/>
              </w:rPr>
              <w:t> </w:t>
            </w:r>
            <w:r w:rsidRPr="00372EDA">
              <w:rPr>
                <w:szCs w:val="22"/>
              </w:rPr>
              <w:t>».</w:t>
            </w:r>
          </w:p>
        </w:tc>
      </w:tr>
      <w:tr w:rsidR="00DE183E" w:rsidRPr="00372EDA" w:rsidTr="00DE183E">
        <w:trPr>
          <w:trHeight w:val="339"/>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76</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6.7.2.5.12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"hazards" by "dangerous effects".</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risques</w:t>
            </w:r>
            <w:r w:rsidR="002960BA">
              <w:rPr>
                <w:szCs w:val="22"/>
              </w:rPr>
              <w:t> </w:t>
            </w:r>
            <w:r w:rsidRPr="00372EDA">
              <w:rPr>
                <w:szCs w:val="22"/>
              </w:rPr>
              <w:t>» par «</w:t>
            </w:r>
            <w:r w:rsidR="002960BA">
              <w:rPr>
                <w:szCs w:val="22"/>
              </w:rPr>
              <w:t> </w:t>
            </w:r>
            <w:r w:rsidRPr="00372EDA">
              <w:rPr>
                <w:szCs w:val="22"/>
              </w:rPr>
              <w:t>effets dangereux ».</w:t>
            </w:r>
          </w:p>
        </w:tc>
      </w:tr>
      <w:tr w:rsidR="00DE183E" w:rsidRPr="00372EDA" w:rsidTr="00DE183E">
        <w:trPr>
          <w:trHeight w:val="1148"/>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77</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6.7.3.2.1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"risk of brittle fracture, to stress corrosion cracking and to resistance to impact." by "resistance to brittle fracture, to stress corrosion cracking and to impact.".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aux risques de rupture fragile sous tension, de la fissuration par corrosion et de la résistance aux chocs</w:t>
            </w:r>
            <w:r w:rsidR="002960BA">
              <w:rPr>
                <w:szCs w:val="22"/>
              </w:rPr>
              <w:t> </w:t>
            </w:r>
            <w:r w:rsidRPr="00372EDA">
              <w:rPr>
                <w:szCs w:val="22"/>
              </w:rPr>
              <w:t>» par « à la résistance à la rupture fragile, à la fissuration par corrosion sous tension et aux chocs</w:t>
            </w:r>
            <w:r w:rsidR="002960BA">
              <w:rPr>
                <w:szCs w:val="22"/>
              </w:rPr>
              <w:t> </w:t>
            </w:r>
            <w:r w:rsidRPr="00372EDA">
              <w:rPr>
                <w:szCs w:val="22"/>
              </w:rPr>
              <w:t>».</w:t>
            </w:r>
          </w:p>
        </w:tc>
      </w:tr>
      <w:tr w:rsidR="00DE183E" w:rsidRPr="00372EDA" w:rsidTr="00DE183E">
        <w:trPr>
          <w:trHeight w:val="1964"/>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lastRenderedPageBreak/>
              <w:t>78</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6.7.3.5.1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In the first sentence, replace "the risk of being wrenched off" by "being wrenched off".</w:t>
            </w:r>
            <w:r w:rsidRPr="00372EDA">
              <w:rPr>
                <w:szCs w:val="22"/>
                <w:lang w:val="en-US"/>
              </w:rPr>
              <w:br/>
              <w:t>In the second sentence, replace "without risk of damage" by "without damage".</w:t>
            </w:r>
            <w:r w:rsidRPr="00372EDA">
              <w:rPr>
                <w:szCs w:val="22"/>
                <w:lang w:val="en-US"/>
              </w:rPr>
              <w:br/>
              <w:t>In the third sentence, replace "against the danger of being wrenched off" by "against being wrenched off".</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Dans la première phrase, remplacer « les risques d’arrachement ou d’avarie » par « l’arrachement ou une avarie ».</w:t>
            </w:r>
            <w:r w:rsidRPr="00372EDA">
              <w:rPr>
                <w:szCs w:val="22"/>
              </w:rPr>
              <w:br/>
              <w:t>Dans la deuxième phrase, remplacer « permettre tel déplacement sans risque d’avarie</w:t>
            </w:r>
            <w:r w:rsidR="002960BA">
              <w:rPr>
                <w:szCs w:val="22"/>
              </w:rPr>
              <w:t> </w:t>
            </w:r>
            <w:r w:rsidRPr="00372EDA">
              <w:rPr>
                <w:szCs w:val="22"/>
              </w:rPr>
              <w:t>» par «</w:t>
            </w:r>
            <w:r w:rsidR="002960BA">
              <w:rPr>
                <w:szCs w:val="22"/>
              </w:rPr>
              <w:t> </w:t>
            </w:r>
            <w:r w:rsidRPr="00372EDA">
              <w:rPr>
                <w:szCs w:val="22"/>
              </w:rPr>
              <w:t>permettre un tel déplacement sans avarie</w:t>
            </w:r>
            <w:r w:rsidR="002960BA">
              <w:rPr>
                <w:szCs w:val="22"/>
              </w:rPr>
              <w:t> </w:t>
            </w:r>
            <w:r w:rsidRPr="00372EDA">
              <w:rPr>
                <w:szCs w:val="22"/>
              </w:rPr>
              <w:t>».</w:t>
            </w:r>
            <w:r w:rsidRPr="00372EDA">
              <w:rPr>
                <w:szCs w:val="22"/>
              </w:rPr>
              <w:br/>
              <w:t>Dans la troisième phrase, remplacer «</w:t>
            </w:r>
            <w:r w:rsidR="002960BA">
              <w:rPr>
                <w:szCs w:val="22"/>
              </w:rPr>
              <w:t> </w:t>
            </w:r>
            <w:r w:rsidRPr="00372EDA">
              <w:rPr>
                <w:szCs w:val="22"/>
              </w:rPr>
              <w:t>contre les risques d’arrachements » par «</w:t>
            </w:r>
            <w:r w:rsidR="002960BA">
              <w:rPr>
                <w:szCs w:val="22"/>
              </w:rPr>
              <w:t> </w:t>
            </w:r>
            <w:r w:rsidRPr="00372EDA">
              <w:rPr>
                <w:szCs w:val="22"/>
              </w:rPr>
              <w:t>contre l’arrachement ».</w:t>
            </w:r>
          </w:p>
        </w:tc>
      </w:tr>
      <w:tr w:rsidR="00DE183E" w:rsidRPr="00372EDA" w:rsidTr="00DE183E">
        <w:trPr>
          <w:trHeight w:val="407"/>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79</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6.7.3.5.10</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"avoid the risk of damage" by "avoid damage".</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tout risque d’endommagement</w:t>
            </w:r>
            <w:r w:rsidR="002960BA">
              <w:rPr>
                <w:szCs w:val="22"/>
              </w:rPr>
              <w:t> </w:t>
            </w:r>
            <w:r w:rsidRPr="00372EDA">
              <w:rPr>
                <w:szCs w:val="22"/>
              </w:rPr>
              <w:t>» par «</w:t>
            </w:r>
            <w:r w:rsidR="002960BA">
              <w:rPr>
                <w:szCs w:val="22"/>
              </w:rPr>
              <w:t> </w:t>
            </w:r>
            <w:r w:rsidRPr="00372EDA">
              <w:rPr>
                <w:szCs w:val="22"/>
              </w:rPr>
              <w:t>leur endommagement</w:t>
            </w:r>
            <w:r w:rsidR="002960BA">
              <w:rPr>
                <w:szCs w:val="22"/>
              </w:rPr>
              <w:t> </w:t>
            </w:r>
            <w:r w:rsidRPr="00372EDA">
              <w:rPr>
                <w:szCs w:val="22"/>
              </w:rPr>
              <w:t>».</w:t>
            </w:r>
          </w:p>
        </w:tc>
      </w:tr>
      <w:tr w:rsidR="00DE183E" w:rsidRPr="00372EDA" w:rsidTr="00DE183E">
        <w:trPr>
          <w:trHeight w:val="183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80</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6.7.4.2.1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"risk of brittle fracture, to hydrogen embrittlement, to stress corrosion cracking and to resistance to impact." by "resistance to brittle fracture, to hydrogen embrittlement, to stress corrosion cracking and to impact.".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doit être pris en compte eu égard aux risques de rupture fragile sous tension, de la fragilisation par l’hydrogène, de la fissuration par corrosion et de la résistance aux chocs</w:t>
            </w:r>
            <w:r w:rsidR="002960BA">
              <w:rPr>
                <w:szCs w:val="22"/>
              </w:rPr>
              <w:t> </w:t>
            </w:r>
            <w:r w:rsidRPr="00372EDA">
              <w:rPr>
                <w:szCs w:val="22"/>
              </w:rPr>
              <w:t>» par «</w:t>
            </w:r>
            <w:r w:rsidR="002960BA">
              <w:rPr>
                <w:szCs w:val="22"/>
              </w:rPr>
              <w:t> </w:t>
            </w:r>
            <w:r w:rsidRPr="00372EDA">
              <w:rPr>
                <w:szCs w:val="22"/>
              </w:rPr>
              <w:t>doit être prise en compte eu égard à la résistance à la rupture fragile, à la fragilisation par l’hydrogène, à la fissuration par corrosion sous tension et aux chocs</w:t>
            </w:r>
            <w:r w:rsidR="002960BA">
              <w:rPr>
                <w:szCs w:val="22"/>
              </w:rPr>
              <w:t> </w:t>
            </w:r>
            <w:r w:rsidRPr="00372EDA">
              <w:rPr>
                <w:szCs w:val="22"/>
              </w:rPr>
              <w:t>».</w:t>
            </w:r>
          </w:p>
        </w:tc>
      </w:tr>
      <w:tr w:rsidR="00DE183E" w:rsidRPr="00372EDA" w:rsidTr="00DE183E">
        <w:trPr>
          <w:trHeight w:val="1124"/>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81</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6.7.4.2.6</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"there is a risk of" by "any" and add at the end of the sentence "is possible".</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quand il y a un risque de contact avec de l’oxygène ou avec un fluide enrichi en oxygène</w:t>
            </w:r>
            <w:r w:rsidR="002960BA">
              <w:rPr>
                <w:szCs w:val="22"/>
              </w:rPr>
              <w:t> </w:t>
            </w:r>
            <w:r w:rsidRPr="00372EDA">
              <w:rPr>
                <w:szCs w:val="22"/>
              </w:rPr>
              <w:t>» par « où un contact avec de l’oxygène ou avec un fluide enrichi en oxygène est possible</w:t>
            </w:r>
            <w:r w:rsidR="002960BA">
              <w:rPr>
                <w:szCs w:val="22"/>
              </w:rPr>
              <w:t> </w:t>
            </w:r>
            <w:r w:rsidRPr="00372EDA">
              <w:rPr>
                <w:szCs w:val="22"/>
              </w:rPr>
              <w:t>».</w:t>
            </w:r>
          </w:p>
        </w:tc>
      </w:tr>
      <w:tr w:rsidR="00DE183E" w:rsidRPr="00372EDA" w:rsidTr="00DE183E">
        <w:trPr>
          <w:trHeight w:val="2400"/>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82</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6.7.4.5.1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In the first sentence, replace "the risk of being wrenched off" by "being wrenched off".</w:t>
            </w:r>
            <w:r w:rsidRPr="00372EDA">
              <w:rPr>
                <w:szCs w:val="22"/>
                <w:lang w:val="en-US"/>
              </w:rPr>
              <w:br/>
              <w:t>In the second sentence, delete "risk of".</w:t>
            </w:r>
            <w:r w:rsidRPr="00372EDA">
              <w:rPr>
                <w:szCs w:val="22"/>
                <w:lang w:val="en-US"/>
              </w:rPr>
              <w:br/>
              <w:t>In the third sentence, delete "the danger of".</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la première phrase par « L’équipement de service doit être disposé de manière à être protégé contre l’arrachement ou une avarie en cours de manutention ou de transport.</w:t>
            </w:r>
            <w:r w:rsidR="002960BA">
              <w:rPr>
                <w:szCs w:val="22"/>
              </w:rPr>
              <w:t> </w:t>
            </w:r>
            <w:r w:rsidRPr="00372EDA">
              <w:rPr>
                <w:szCs w:val="22"/>
              </w:rPr>
              <w:t>».</w:t>
            </w:r>
            <w:r w:rsidRPr="00372EDA">
              <w:rPr>
                <w:szCs w:val="22"/>
              </w:rPr>
              <w:br/>
              <w:t>Dans la deuxième phrase, remplacer «</w:t>
            </w:r>
            <w:r w:rsidR="002960BA">
              <w:rPr>
                <w:szCs w:val="22"/>
              </w:rPr>
              <w:t> </w:t>
            </w:r>
            <w:r w:rsidRPr="00372EDA">
              <w:rPr>
                <w:szCs w:val="22"/>
              </w:rPr>
              <w:t>doivent permettre tel déplacement sans risque d’avarie</w:t>
            </w:r>
            <w:r w:rsidR="002960BA">
              <w:rPr>
                <w:szCs w:val="22"/>
              </w:rPr>
              <w:t> </w:t>
            </w:r>
            <w:r w:rsidRPr="00372EDA">
              <w:rPr>
                <w:szCs w:val="22"/>
              </w:rPr>
              <w:t>» par «</w:t>
            </w:r>
            <w:r w:rsidR="002960BA">
              <w:rPr>
                <w:szCs w:val="22"/>
              </w:rPr>
              <w:t> </w:t>
            </w:r>
            <w:r w:rsidRPr="00372EDA">
              <w:rPr>
                <w:szCs w:val="22"/>
              </w:rPr>
              <w:t>doit permettre un tel déplacement sans avarie</w:t>
            </w:r>
            <w:r w:rsidR="002960BA">
              <w:rPr>
                <w:szCs w:val="22"/>
              </w:rPr>
              <w:t> </w:t>
            </w:r>
            <w:r w:rsidRPr="00372EDA">
              <w:rPr>
                <w:szCs w:val="22"/>
              </w:rPr>
              <w:t>».</w:t>
            </w:r>
            <w:r w:rsidRPr="00372EDA">
              <w:rPr>
                <w:szCs w:val="22"/>
              </w:rPr>
              <w:br/>
              <w:t>Dans la troisième phrase, remplacer «</w:t>
            </w:r>
            <w:r w:rsidR="002960BA">
              <w:rPr>
                <w:szCs w:val="22"/>
              </w:rPr>
              <w:t> </w:t>
            </w:r>
            <w:r w:rsidRPr="00372EDA">
              <w:rPr>
                <w:szCs w:val="22"/>
              </w:rPr>
              <w:t>contre les risques d’arrachement » par «</w:t>
            </w:r>
            <w:r w:rsidR="002960BA">
              <w:rPr>
                <w:szCs w:val="22"/>
              </w:rPr>
              <w:t> </w:t>
            </w:r>
            <w:r w:rsidRPr="00372EDA">
              <w:rPr>
                <w:szCs w:val="22"/>
              </w:rPr>
              <w:t>contre l’arrachement ».</w:t>
            </w:r>
          </w:p>
        </w:tc>
      </w:tr>
      <w:tr w:rsidR="00DE183E" w:rsidRPr="00372EDA" w:rsidTr="00DE183E">
        <w:trPr>
          <w:trHeight w:val="614"/>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83</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6.7.4.5.10</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"the risk of damage" by "damage".</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tout risque d’endommagement</w:t>
            </w:r>
            <w:r w:rsidR="002960BA">
              <w:rPr>
                <w:szCs w:val="22"/>
              </w:rPr>
              <w:t> </w:t>
            </w:r>
            <w:r w:rsidRPr="00372EDA">
              <w:rPr>
                <w:szCs w:val="22"/>
              </w:rPr>
              <w:t>» par «</w:t>
            </w:r>
            <w:r w:rsidR="002960BA">
              <w:rPr>
                <w:szCs w:val="22"/>
              </w:rPr>
              <w:t> </w:t>
            </w:r>
            <w:r w:rsidRPr="00372EDA">
              <w:rPr>
                <w:szCs w:val="22"/>
              </w:rPr>
              <w:t>leur endommagement</w:t>
            </w:r>
            <w:r w:rsidR="002960BA">
              <w:rPr>
                <w:szCs w:val="22"/>
              </w:rPr>
              <w:t> </w:t>
            </w:r>
            <w:r w:rsidRPr="00372EDA">
              <w:rPr>
                <w:szCs w:val="22"/>
              </w:rPr>
              <w:t>».</w:t>
            </w:r>
          </w:p>
        </w:tc>
      </w:tr>
      <w:tr w:rsidR="00DE183E" w:rsidRPr="00372EDA" w:rsidTr="00DE183E">
        <w:trPr>
          <w:trHeight w:val="2398"/>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84</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6.7.5.3.1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In the third sentence, replace "from being wrenched off" by "against being wrenched off".</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Dans la première phrase, remplacer «</w:t>
            </w:r>
            <w:r w:rsidR="002960BA">
              <w:rPr>
                <w:szCs w:val="22"/>
              </w:rPr>
              <w:t> </w:t>
            </w:r>
            <w:r w:rsidRPr="00372EDA">
              <w:rPr>
                <w:szCs w:val="22"/>
              </w:rPr>
              <w:t>risquant de » par « qui pourrait</w:t>
            </w:r>
            <w:r w:rsidR="002960BA">
              <w:rPr>
                <w:szCs w:val="22"/>
              </w:rPr>
              <w:t> </w:t>
            </w:r>
            <w:r w:rsidRPr="00372EDA">
              <w:rPr>
                <w:szCs w:val="22"/>
              </w:rPr>
              <w:t>».</w:t>
            </w:r>
            <w:r w:rsidRPr="00372EDA">
              <w:rPr>
                <w:szCs w:val="22"/>
              </w:rPr>
              <w:br/>
              <w:t>Dans la deuxième phrase, remplacer «</w:t>
            </w:r>
            <w:r w:rsidR="002960BA">
              <w:rPr>
                <w:szCs w:val="22"/>
              </w:rPr>
              <w:t> </w:t>
            </w:r>
            <w:r w:rsidRPr="00372EDA">
              <w:rPr>
                <w:szCs w:val="22"/>
              </w:rPr>
              <w:t>sans risque d’avarie</w:t>
            </w:r>
            <w:r w:rsidR="002960BA">
              <w:rPr>
                <w:szCs w:val="22"/>
              </w:rPr>
              <w:t> </w:t>
            </w:r>
            <w:r w:rsidRPr="00372EDA">
              <w:rPr>
                <w:szCs w:val="22"/>
              </w:rPr>
              <w:t>» par «</w:t>
            </w:r>
            <w:r w:rsidR="002960BA">
              <w:rPr>
                <w:szCs w:val="22"/>
              </w:rPr>
              <w:t> </w:t>
            </w:r>
            <w:r w:rsidRPr="00372EDA">
              <w:rPr>
                <w:szCs w:val="22"/>
              </w:rPr>
              <w:t>sans avarie</w:t>
            </w:r>
            <w:r w:rsidR="002960BA">
              <w:rPr>
                <w:szCs w:val="22"/>
              </w:rPr>
              <w:t> </w:t>
            </w:r>
            <w:r w:rsidRPr="00372EDA">
              <w:rPr>
                <w:szCs w:val="22"/>
              </w:rPr>
              <w:t>».</w:t>
            </w:r>
            <w:r w:rsidRPr="00372EDA">
              <w:rPr>
                <w:szCs w:val="22"/>
              </w:rPr>
              <w:br/>
              <w:t>Dans la troisième phrase, remplacer «</w:t>
            </w:r>
            <w:r w:rsidR="002960BA">
              <w:rPr>
                <w:szCs w:val="22"/>
              </w:rPr>
              <w:t> </w:t>
            </w:r>
            <w:r w:rsidRPr="00372EDA">
              <w:rPr>
                <w:szCs w:val="22"/>
              </w:rPr>
              <w:t>contre les risques d’arrachement » par «</w:t>
            </w:r>
            <w:r w:rsidR="002960BA">
              <w:rPr>
                <w:szCs w:val="22"/>
              </w:rPr>
              <w:t> </w:t>
            </w:r>
            <w:r w:rsidRPr="00372EDA">
              <w:rPr>
                <w:szCs w:val="22"/>
              </w:rPr>
              <w:t>contre l’arrachement ».</w:t>
            </w:r>
            <w:r w:rsidRPr="00372EDA">
              <w:rPr>
                <w:szCs w:val="22"/>
              </w:rPr>
              <w:br/>
              <w:t>Dans la quatrième phrase, remplacer « protéger l’ensemble contre les risques de cisaillement » par «</w:t>
            </w:r>
            <w:r w:rsidR="002960BA">
              <w:rPr>
                <w:szCs w:val="22"/>
              </w:rPr>
              <w:t> </w:t>
            </w:r>
            <w:r w:rsidRPr="00372EDA">
              <w:rPr>
                <w:szCs w:val="22"/>
              </w:rPr>
              <w:t>protéger l’ensemble du cisaillement</w:t>
            </w:r>
            <w:r w:rsidR="002960BA">
              <w:rPr>
                <w:szCs w:val="22"/>
              </w:rPr>
              <w:t> </w:t>
            </w:r>
            <w:r w:rsidRPr="00372EDA">
              <w:rPr>
                <w:szCs w:val="22"/>
              </w:rPr>
              <w:t>».</w:t>
            </w:r>
          </w:p>
        </w:tc>
      </w:tr>
      <w:tr w:rsidR="00DE183E" w:rsidRPr="00372EDA" w:rsidTr="00DE183E">
        <w:trPr>
          <w:trHeight w:val="407"/>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85</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6.7.5.3.3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«risque d’être emprisonné » par « peut être piégé</w:t>
            </w:r>
            <w:r w:rsidR="002960BA">
              <w:rPr>
                <w:szCs w:val="22"/>
              </w:rPr>
              <w:t> </w:t>
            </w:r>
            <w:r w:rsidRPr="00372EDA">
              <w:rPr>
                <w:szCs w:val="22"/>
              </w:rPr>
              <w:t>».</w:t>
            </w:r>
          </w:p>
        </w:tc>
      </w:tr>
      <w:tr w:rsidR="00DE183E" w:rsidRPr="00372EDA" w:rsidTr="002960BA">
        <w:trPr>
          <w:cantSplit/>
          <w:trHeight w:val="41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lastRenderedPageBreak/>
              <w:t>86</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6.7.5.3.4</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2960BA">
            <w:pPr>
              <w:keepNext/>
              <w:spacing w:before="60" w:after="60" w:line="240" w:lineRule="auto"/>
              <w:ind w:left="57" w:right="57"/>
              <w:rPr>
                <w:szCs w:val="22"/>
              </w:rPr>
            </w:pPr>
            <w:r w:rsidRPr="00372EDA">
              <w:rPr>
                <w:szCs w:val="22"/>
              </w:rPr>
              <w:t>Remplacer «</w:t>
            </w:r>
            <w:r w:rsidR="002960BA">
              <w:rPr>
                <w:szCs w:val="22"/>
              </w:rPr>
              <w:t> </w:t>
            </w:r>
            <w:r w:rsidRPr="00372EDA">
              <w:rPr>
                <w:szCs w:val="22"/>
              </w:rPr>
              <w:t>tout risque d’endommagement</w:t>
            </w:r>
            <w:r w:rsidR="002960BA">
              <w:rPr>
                <w:szCs w:val="22"/>
              </w:rPr>
              <w:t> </w:t>
            </w:r>
            <w:r w:rsidRPr="00372EDA">
              <w:rPr>
                <w:szCs w:val="22"/>
              </w:rPr>
              <w:t>» par «</w:t>
            </w:r>
            <w:r w:rsidR="002960BA">
              <w:rPr>
                <w:szCs w:val="22"/>
              </w:rPr>
              <w:t> </w:t>
            </w:r>
            <w:r w:rsidRPr="00372EDA">
              <w:rPr>
                <w:szCs w:val="22"/>
              </w:rPr>
              <w:t>leur endommagement</w:t>
            </w:r>
            <w:r w:rsidR="002960BA">
              <w:rPr>
                <w:szCs w:val="22"/>
              </w:rPr>
              <w:t> </w:t>
            </w:r>
            <w:r w:rsidRPr="00372EDA">
              <w:rPr>
                <w:szCs w:val="22"/>
              </w:rPr>
              <w:t>».</w:t>
            </w:r>
          </w:p>
        </w:tc>
      </w:tr>
      <w:tr w:rsidR="00DE183E" w:rsidRPr="00372EDA" w:rsidTr="00DE183E">
        <w:trPr>
          <w:trHeight w:val="686"/>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87</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6.8.3.2.1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"against the risk of being wrenched off" by "against being wrenched off".</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contre le risque d’arrachement ou d’avarie » par « contre l’arrachement ou une avarie ».</w:t>
            </w:r>
          </w:p>
        </w:tc>
      </w:tr>
      <w:tr w:rsidR="00DE183E" w:rsidRPr="00372EDA" w:rsidTr="00DE183E">
        <w:trPr>
          <w:trHeight w:val="432"/>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88</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6.8.3.2.2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 tout risque d’avarie</w:t>
            </w:r>
            <w:r w:rsidR="002960BA">
              <w:rPr>
                <w:szCs w:val="22"/>
              </w:rPr>
              <w:t> </w:t>
            </w:r>
            <w:r w:rsidRPr="00372EDA">
              <w:rPr>
                <w:szCs w:val="22"/>
              </w:rPr>
              <w:t>» par «</w:t>
            </w:r>
            <w:r w:rsidR="002960BA">
              <w:rPr>
                <w:szCs w:val="22"/>
              </w:rPr>
              <w:t> </w:t>
            </w:r>
            <w:r w:rsidRPr="00372EDA">
              <w:rPr>
                <w:szCs w:val="22"/>
              </w:rPr>
              <w:t>toute avarie</w:t>
            </w:r>
            <w:r w:rsidR="002960BA">
              <w:rPr>
                <w:szCs w:val="22"/>
              </w:rPr>
              <w:t> </w:t>
            </w:r>
            <w:r w:rsidRPr="00372EDA">
              <w:rPr>
                <w:szCs w:val="22"/>
              </w:rPr>
              <w:t>».</w:t>
            </w:r>
          </w:p>
        </w:tc>
      </w:tr>
      <w:tr w:rsidR="00DE183E" w:rsidRPr="00372EDA" w:rsidTr="00DE183E">
        <w:trPr>
          <w:trHeight w:val="276"/>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89</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rPr>
            </w:pPr>
            <w:r w:rsidRPr="00372EDA">
              <w:t>7.1.1.10</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val="en-US" w:eastAsia="ro-RO"/>
              </w:rPr>
            </w:pPr>
            <w:r w:rsidRPr="00372EDA">
              <w:rPr>
                <w:b/>
                <w:lang w:val="en-US" w:eastAsia="ro-RO"/>
              </w:rPr>
              <w:t>Replace "risks" by "hazards".</w:t>
            </w:r>
          </w:p>
          <w:p w:rsidR="00DE183E" w:rsidRPr="00372EDA" w:rsidRDefault="00DE183E" w:rsidP="00DE183E">
            <w:pPr>
              <w:spacing w:before="60" w:after="60" w:line="240" w:lineRule="auto"/>
              <w:ind w:left="57" w:right="57"/>
              <w:rPr>
                <w:lang w:val="en-US" w:eastAsia="ro-RO"/>
              </w:rPr>
            </w:pPr>
            <w:r w:rsidRPr="00372EDA">
              <w:rPr>
                <w:lang w:val="en-US" w:eastAsia="ro-RO"/>
              </w:rPr>
              <w:t>(</w:t>
            </w:r>
            <w:r w:rsidRPr="00DE183E">
              <w:rPr>
                <w:lang w:val="en-US" w:eastAsia="ro-RO"/>
              </w:rPr>
              <w:t>see also paragraph 7 (h) of the document</w:t>
            </w:r>
            <w:r w:rsidRPr="00372EDA">
              <w:rPr>
                <w:lang w:val="en-US" w:eastAsia="ro-RO"/>
              </w:rPr>
              <w:t>)</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Remplacer « risques » par « dangers ».</w:t>
            </w:r>
          </w:p>
          <w:p w:rsidR="00DE183E" w:rsidRPr="00372EDA" w:rsidRDefault="00DE183E" w:rsidP="00DE183E">
            <w:pPr>
              <w:spacing w:before="60" w:after="60" w:line="240" w:lineRule="auto"/>
              <w:ind w:left="57" w:right="57"/>
              <w:rPr>
                <w:lang w:eastAsia="ro-RO"/>
              </w:rPr>
            </w:pPr>
            <w:r w:rsidRPr="00372EDA">
              <w:rPr>
                <w:lang w:eastAsia="ro-RO"/>
              </w:rPr>
              <w:t xml:space="preserve">(voir aussi </w:t>
            </w:r>
            <w:r w:rsidR="00043817">
              <w:rPr>
                <w:lang w:eastAsia="ro-RO"/>
              </w:rPr>
              <w:t>le paragraphe 7</w:t>
            </w:r>
            <w:r w:rsidR="002960BA">
              <w:rPr>
                <w:lang w:eastAsia="ro-RO"/>
              </w:rPr>
              <w:t> </w:t>
            </w:r>
            <w:r w:rsidRPr="00372EDA">
              <w:rPr>
                <w:lang w:eastAsia="ro-RO"/>
              </w:rPr>
              <w:t>h) du document)</w:t>
            </w:r>
          </w:p>
        </w:tc>
      </w:tr>
      <w:tr w:rsidR="00DE183E" w:rsidRPr="00372EDA" w:rsidTr="00DE183E">
        <w:trPr>
          <w:trHeight w:val="552"/>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90</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7.1.2.1</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"may result in undue hazards" by "lead to unacceptable consequences".</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risques</w:t>
            </w:r>
            <w:r w:rsidR="002960BA">
              <w:rPr>
                <w:szCs w:val="22"/>
              </w:rPr>
              <w:t> </w:t>
            </w:r>
            <w:r w:rsidRPr="00372EDA">
              <w:rPr>
                <w:szCs w:val="22"/>
              </w:rPr>
              <w:t>» par «</w:t>
            </w:r>
            <w:r w:rsidR="002960BA">
              <w:rPr>
                <w:szCs w:val="22"/>
              </w:rPr>
              <w:t> </w:t>
            </w:r>
            <w:r w:rsidRPr="00372EDA">
              <w:rPr>
                <w:szCs w:val="22"/>
              </w:rPr>
              <w:t>conséquences</w:t>
            </w:r>
            <w:r w:rsidR="002960BA">
              <w:rPr>
                <w:szCs w:val="22"/>
              </w:rPr>
              <w:t> </w:t>
            </w:r>
            <w:r w:rsidRPr="00372EDA">
              <w:rPr>
                <w:szCs w:val="22"/>
              </w:rPr>
              <w:t>».</w:t>
            </w:r>
          </w:p>
        </w:tc>
      </w:tr>
      <w:tr w:rsidR="00DE183E" w:rsidRPr="00372EDA" w:rsidTr="00DE183E">
        <w:trPr>
          <w:trHeight w:val="539"/>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91</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7.1.2.3, a)</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"hazards" by "any consequences".</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rendre effectivement minime tout risque</w:t>
            </w:r>
            <w:r w:rsidR="002960BA">
              <w:rPr>
                <w:szCs w:val="22"/>
              </w:rPr>
              <w:t> </w:t>
            </w:r>
            <w:r w:rsidRPr="00372EDA">
              <w:rPr>
                <w:szCs w:val="22"/>
              </w:rPr>
              <w:t>» par «</w:t>
            </w:r>
            <w:r w:rsidR="002960BA">
              <w:rPr>
                <w:szCs w:val="22"/>
              </w:rPr>
              <w:t> </w:t>
            </w:r>
            <w:r w:rsidRPr="00372EDA">
              <w:rPr>
                <w:szCs w:val="22"/>
              </w:rPr>
              <w:t>réduire au minimum toute conséquence</w:t>
            </w:r>
            <w:r w:rsidR="002960BA">
              <w:rPr>
                <w:szCs w:val="22"/>
              </w:rPr>
              <w:t> </w:t>
            </w:r>
            <w:r w:rsidRPr="00372EDA">
              <w:rPr>
                <w:szCs w:val="22"/>
              </w:rPr>
              <w:t>».</w:t>
            </w:r>
          </w:p>
        </w:tc>
      </w:tr>
      <w:tr w:rsidR="00DE183E" w:rsidRPr="00372EDA" w:rsidTr="00DE183E">
        <w:trPr>
          <w:trHeight w:val="534"/>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92</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7.1.5.2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lang w:val="en-US"/>
              </w:rPr>
            </w:pPr>
            <w:r w:rsidRPr="00372EDA">
              <w:rPr>
                <w:szCs w:val="22"/>
                <w:lang w:val="en-US"/>
              </w:rPr>
              <w:t>Replace "create an explosion hazard" by "cause an explosion".</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tels qu’il en résulte un risque d’explosion</w:t>
            </w:r>
            <w:r w:rsidR="002960BA">
              <w:rPr>
                <w:szCs w:val="22"/>
              </w:rPr>
              <w:t> </w:t>
            </w:r>
            <w:r w:rsidRPr="00372EDA">
              <w:rPr>
                <w:szCs w:val="22"/>
              </w:rPr>
              <w:t>» par «</w:t>
            </w:r>
            <w:r w:rsidR="002960BA">
              <w:rPr>
                <w:szCs w:val="22"/>
              </w:rPr>
              <w:t> </w:t>
            </w:r>
            <w:r w:rsidRPr="00372EDA">
              <w:rPr>
                <w:szCs w:val="22"/>
              </w:rPr>
              <w:t>tels qu’ils causent une explosion</w:t>
            </w:r>
            <w:r w:rsidR="002960BA">
              <w:rPr>
                <w:szCs w:val="22"/>
              </w:rPr>
              <w:t> </w:t>
            </w:r>
            <w:r w:rsidRPr="00372EDA">
              <w:rPr>
                <w:szCs w:val="22"/>
              </w:rPr>
              <w:t>».</w:t>
            </w:r>
          </w:p>
        </w:tc>
      </w:tr>
      <w:tr w:rsidR="00DE183E" w:rsidRPr="00372EDA" w:rsidTr="00DE183E">
        <w:trPr>
          <w:trHeight w:val="552"/>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93</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rPr>
            </w:pPr>
            <w:r w:rsidRPr="00372EDA">
              <w:t>7.1.5.3.3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b/>
                <w:lang w:eastAsia="ro-RO"/>
              </w:rPr>
            </w:pPr>
            <w:r w:rsidRPr="00372EDA">
              <w:rPr>
                <w:b/>
                <w:lang w:eastAsia="ro-RO"/>
              </w:rPr>
              <w:t>Remplacer «</w:t>
            </w:r>
            <w:r w:rsidR="002960BA">
              <w:rPr>
                <w:b/>
                <w:lang w:eastAsia="ro-RO"/>
              </w:rPr>
              <w:t> </w:t>
            </w:r>
            <w:r w:rsidRPr="00372EDA">
              <w:rPr>
                <w:b/>
                <w:lang w:eastAsia="ro-RO"/>
              </w:rPr>
              <w:t>risque de</w:t>
            </w:r>
            <w:r w:rsidR="002960BA">
              <w:rPr>
                <w:b/>
                <w:lang w:eastAsia="ro-RO"/>
              </w:rPr>
              <w:t> </w:t>
            </w:r>
            <w:r w:rsidRPr="00372EDA">
              <w:rPr>
                <w:b/>
                <w:lang w:eastAsia="ro-RO"/>
              </w:rPr>
              <w:t>» par «</w:t>
            </w:r>
            <w:r w:rsidR="002960BA">
              <w:rPr>
                <w:b/>
                <w:lang w:eastAsia="ro-RO"/>
              </w:rPr>
              <w:t> </w:t>
            </w:r>
            <w:r w:rsidRPr="00372EDA">
              <w:rPr>
                <w:b/>
                <w:lang w:eastAsia="ro-RO"/>
              </w:rPr>
              <w:t>pourrait » et «</w:t>
            </w:r>
            <w:r w:rsidR="002960BA">
              <w:rPr>
                <w:b/>
                <w:lang w:eastAsia="ro-RO"/>
              </w:rPr>
              <w:t> </w:t>
            </w:r>
            <w:r w:rsidRPr="00372EDA">
              <w:rPr>
                <w:b/>
                <w:lang w:eastAsia="ro-RO"/>
              </w:rPr>
              <w:t>peut</w:t>
            </w:r>
            <w:r w:rsidR="002960BA">
              <w:rPr>
                <w:b/>
                <w:lang w:eastAsia="ro-RO"/>
              </w:rPr>
              <w:t> </w:t>
            </w:r>
            <w:r w:rsidRPr="00372EDA">
              <w:rPr>
                <w:b/>
                <w:lang w:eastAsia="ro-RO"/>
              </w:rPr>
              <w:t>» par «</w:t>
            </w:r>
            <w:r w:rsidR="002960BA">
              <w:rPr>
                <w:b/>
                <w:lang w:eastAsia="ro-RO"/>
              </w:rPr>
              <w:t> </w:t>
            </w:r>
            <w:r w:rsidRPr="00372EDA">
              <w:rPr>
                <w:b/>
                <w:lang w:eastAsia="ro-RO"/>
              </w:rPr>
              <w:t>pourrait</w:t>
            </w:r>
            <w:r w:rsidR="002960BA">
              <w:rPr>
                <w:b/>
                <w:lang w:eastAsia="ro-RO"/>
              </w:rPr>
              <w:t> </w:t>
            </w:r>
            <w:r w:rsidRPr="00372EDA">
              <w:rPr>
                <w:b/>
                <w:lang w:eastAsia="ro-RO"/>
              </w:rPr>
              <w:t>».</w:t>
            </w:r>
          </w:p>
          <w:p w:rsidR="00DE183E" w:rsidRPr="00372EDA" w:rsidRDefault="00DE183E" w:rsidP="00DE183E">
            <w:pPr>
              <w:spacing w:before="60" w:after="60" w:line="240" w:lineRule="auto"/>
              <w:ind w:left="57" w:right="57"/>
              <w:rPr>
                <w:lang w:eastAsia="ro-RO"/>
              </w:rPr>
            </w:pPr>
            <w:r w:rsidRPr="00372EDA">
              <w:rPr>
                <w:lang w:eastAsia="ro-RO"/>
              </w:rPr>
              <w:t xml:space="preserve">(voir aussi </w:t>
            </w:r>
            <w:r w:rsidR="00043817">
              <w:rPr>
                <w:lang w:eastAsia="ro-RO"/>
              </w:rPr>
              <w:t>le paragraphe 7</w:t>
            </w:r>
            <w:r w:rsidR="002960BA">
              <w:rPr>
                <w:lang w:eastAsia="ro-RO"/>
              </w:rPr>
              <w:t> i</w:t>
            </w:r>
            <w:r w:rsidRPr="00372EDA">
              <w:rPr>
                <w:lang w:eastAsia="ro-RO"/>
              </w:rPr>
              <w:t>) du document)</w:t>
            </w:r>
          </w:p>
        </w:tc>
      </w:tr>
      <w:tr w:rsidR="00DE183E" w:rsidRPr="00372EDA" w:rsidTr="00DE183E">
        <w:trPr>
          <w:trHeight w:val="64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94</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7.1.5.4.5, c)</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pour éviter le risque d’inflammation</w:t>
            </w:r>
            <w:r w:rsidR="002960BA">
              <w:rPr>
                <w:szCs w:val="22"/>
              </w:rPr>
              <w:t> </w:t>
            </w:r>
            <w:r w:rsidRPr="00372EDA">
              <w:rPr>
                <w:szCs w:val="22"/>
              </w:rPr>
              <w:t>» par «</w:t>
            </w:r>
            <w:r w:rsidR="002960BA">
              <w:rPr>
                <w:szCs w:val="22"/>
              </w:rPr>
              <w:t> </w:t>
            </w:r>
            <w:r w:rsidRPr="00372EDA">
              <w:rPr>
                <w:szCs w:val="22"/>
              </w:rPr>
              <w:t>pour éviter l’inflammation</w:t>
            </w:r>
            <w:r w:rsidR="002960BA">
              <w:rPr>
                <w:szCs w:val="22"/>
              </w:rPr>
              <w:t> </w:t>
            </w:r>
            <w:r w:rsidRPr="00372EDA">
              <w:rPr>
                <w:szCs w:val="22"/>
              </w:rPr>
              <w:t>».</w:t>
            </w:r>
          </w:p>
        </w:tc>
      </w:tr>
      <w:tr w:rsidR="00DE183E" w:rsidRPr="00372EDA" w:rsidTr="00DE183E">
        <w:trPr>
          <w:trHeight w:val="555"/>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95</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lang w:eastAsia="ro-RO"/>
              </w:rPr>
            </w:pPr>
            <w:r w:rsidRPr="00372EDA">
              <w:rPr>
                <w:lang w:eastAsia="ro-RO"/>
              </w:rPr>
              <w:t>7.1.5.4.5, e), iii)</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Remplacer «</w:t>
            </w:r>
            <w:r w:rsidR="002960BA">
              <w:rPr>
                <w:szCs w:val="22"/>
              </w:rPr>
              <w:t> </w:t>
            </w:r>
            <w:r w:rsidRPr="00372EDA">
              <w:rPr>
                <w:szCs w:val="22"/>
              </w:rPr>
              <w:t>pour éviter le risque d’inflammation</w:t>
            </w:r>
            <w:r w:rsidR="002960BA">
              <w:rPr>
                <w:szCs w:val="22"/>
              </w:rPr>
              <w:t> </w:t>
            </w:r>
            <w:r w:rsidRPr="00372EDA">
              <w:rPr>
                <w:szCs w:val="22"/>
              </w:rPr>
              <w:t>» par «</w:t>
            </w:r>
            <w:r w:rsidR="002960BA">
              <w:rPr>
                <w:szCs w:val="22"/>
              </w:rPr>
              <w:t> </w:t>
            </w:r>
            <w:r w:rsidRPr="00372EDA">
              <w:rPr>
                <w:szCs w:val="22"/>
              </w:rPr>
              <w:t>pour éviter l’inflammation</w:t>
            </w:r>
            <w:r w:rsidR="002960BA">
              <w:rPr>
                <w:szCs w:val="22"/>
              </w:rPr>
              <w:t> </w:t>
            </w:r>
            <w:r w:rsidRPr="00372EDA">
              <w:rPr>
                <w:szCs w:val="22"/>
              </w:rPr>
              <w:t>».</w:t>
            </w:r>
          </w:p>
        </w:tc>
      </w:tr>
      <w:tr w:rsidR="00DE183E" w:rsidRPr="00372EDA" w:rsidTr="00DE183E">
        <w:trPr>
          <w:trHeight w:val="444"/>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96</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7.2.4.2</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w:t>
            </w:r>
            <w:r w:rsidR="002960BA">
              <w:rPr>
                <w:szCs w:val="22"/>
              </w:rPr>
              <w:t> </w:t>
            </w:r>
            <w:r w:rsidRPr="00372EDA">
              <w:rPr>
                <w:szCs w:val="22"/>
              </w:rPr>
              <w:t>haut risque</w:t>
            </w:r>
            <w:r w:rsidR="002960BA">
              <w:rPr>
                <w:szCs w:val="22"/>
              </w:rPr>
              <w:t> </w:t>
            </w:r>
            <w:r w:rsidRPr="00372EDA">
              <w:rPr>
                <w:szCs w:val="22"/>
              </w:rPr>
              <w:t>» par « potentiel de conséquences graves</w:t>
            </w:r>
            <w:r w:rsidR="002960BA">
              <w:rPr>
                <w:szCs w:val="22"/>
              </w:rPr>
              <w:t> </w:t>
            </w:r>
            <w:r w:rsidRPr="00372EDA">
              <w:rPr>
                <w:szCs w:val="22"/>
              </w:rPr>
              <w:t>».</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 «</w:t>
            </w:r>
            <w:r w:rsidR="002960BA">
              <w:rPr>
                <w:szCs w:val="22"/>
              </w:rPr>
              <w:t> </w:t>
            </w:r>
            <w:r w:rsidRPr="00372EDA">
              <w:rPr>
                <w:szCs w:val="22"/>
              </w:rPr>
              <w:t>haut risque</w:t>
            </w:r>
            <w:r w:rsidR="002960BA">
              <w:rPr>
                <w:szCs w:val="22"/>
              </w:rPr>
              <w:t> </w:t>
            </w:r>
            <w:r w:rsidRPr="00372EDA">
              <w:rPr>
                <w:szCs w:val="22"/>
              </w:rPr>
              <w:t>» par « conséquences graves</w:t>
            </w:r>
            <w:r w:rsidR="002960BA">
              <w:rPr>
                <w:szCs w:val="22"/>
              </w:rPr>
              <w:t> </w:t>
            </w:r>
            <w:r w:rsidRPr="00372EDA">
              <w:rPr>
                <w:szCs w:val="22"/>
              </w:rPr>
              <w:t>».</w:t>
            </w:r>
          </w:p>
          <w:p w:rsidR="00DE183E" w:rsidRPr="00372EDA" w:rsidRDefault="00DE183E" w:rsidP="00DE183E">
            <w:pPr>
              <w:spacing w:before="60" w:after="60" w:line="240" w:lineRule="auto"/>
              <w:ind w:left="57" w:right="57"/>
              <w:rPr>
                <w:szCs w:val="22"/>
              </w:rPr>
            </w:pPr>
            <w:r w:rsidRPr="00372EDA">
              <w:rPr>
                <w:szCs w:val="22"/>
              </w:rPr>
              <w:t xml:space="preserve">(voir aussi </w:t>
            </w:r>
            <w:r w:rsidR="00043817">
              <w:rPr>
                <w:szCs w:val="22"/>
              </w:rPr>
              <w:t>le paragraphe 7</w:t>
            </w:r>
            <w:r w:rsidR="002960BA">
              <w:rPr>
                <w:szCs w:val="22"/>
              </w:rPr>
              <w:t> </w:t>
            </w:r>
            <w:r w:rsidRPr="00372EDA">
              <w:rPr>
                <w:szCs w:val="22"/>
              </w:rPr>
              <w:t>a) du document)</w:t>
            </w:r>
          </w:p>
        </w:tc>
      </w:tr>
      <w:tr w:rsidR="00DE183E" w:rsidRPr="00372EDA" w:rsidTr="00DE183E">
        <w:trPr>
          <w:trHeight w:val="321"/>
        </w:trPr>
        <w:tc>
          <w:tcPr>
            <w:tcW w:w="732" w:type="dxa"/>
            <w:tcBorders>
              <w:top w:val="nil"/>
              <w:left w:val="single" w:sz="4" w:space="0" w:color="auto"/>
              <w:bottom w:val="single" w:sz="4" w:space="0" w:color="auto"/>
              <w:right w:val="single" w:sz="4" w:space="0" w:color="auto"/>
            </w:tcBorders>
            <w:shd w:val="clear" w:color="auto" w:fill="auto"/>
            <w:noWrap/>
            <w:hideMark/>
          </w:tcPr>
          <w:p w:rsidR="00DE183E" w:rsidRPr="00372EDA" w:rsidRDefault="00DE183E" w:rsidP="00DE183E">
            <w:pPr>
              <w:spacing w:before="60" w:after="60" w:line="240" w:lineRule="auto"/>
              <w:ind w:left="57" w:right="57"/>
              <w:jc w:val="center"/>
              <w:rPr>
                <w:b/>
                <w:bCs/>
              </w:rPr>
            </w:pPr>
            <w:r w:rsidRPr="00372EDA">
              <w:rPr>
                <w:b/>
                <w:bCs/>
              </w:rPr>
              <w:t>97</w:t>
            </w:r>
          </w:p>
        </w:tc>
        <w:tc>
          <w:tcPr>
            <w:tcW w:w="1762"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pPr>
            <w:r w:rsidRPr="00372EDA">
              <w:t>7.2.4.3</w:t>
            </w:r>
          </w:p>
        </w:tc>
        <w:tc>
          <w:tcPr>
            <w:tcW w:w="3297"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r w:rsidRPr="00372EDA">
              <w:rPr>
                <w:szCs w:val="22"/>
              </w:rPr>
              <w:t> </w:t>
            </w:r>
          </w:p>
        </w:tc>
        <w:tc>
          <w:tcPr>
            <w:tcW w:w="3846" w:type="dxa"/>
            <w:tcBorders>
              <w:top w:val="nil"/>
              <w:left w:val="nil"/>
              <w:bottom w:val="single" w:sz="4" w:space="0" w:color="auto"/>
              <w:right w:val="single" w:sz="4" w:space="0" w:color="auto"/>
            </w:tcBorders>
            <w:shd w:val="clear" w:color="auto" w:fill="auto"/>
            <w:hideMark/>
          </w:tcPr>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1</w:t>
            </w:r>
            <w:r w:rsidR="007F0C5A">
              <w:rPr>
                <w:szCs w:val="22"/>
              </w:rPr>
              <w:t> :</w:t>
            </w:r>
            <w:r w:rsidRPr="00372EDA">
              <w:rPr>
                <w:szCs w:val="22"/>
              </w:rPr>
              <w:t xml:space="preserve"> Remplacer «</w:t>
            </w:r>
            <w:r w:rsidR="002960BA">
              <w:rPr>
                <w:szCs w:val="22"/>
              </w:rPr>
              <w:t> </w:t>
            </w:r>
            <w:r w:rsidRPr="00372EDA">
              <w:rPr>
                <w:szCs w:val="22"/>
              </w:rPr>
              <w:t>haut risque</w:t>
            </w:r>
            <w:r w:rsidR="002960BA">
              <w:rPr>
                <w:szCs w:val="22"/>
              </w:rPr>
              <w:t> </w:t>
            </w:r>
            <w:r w:rsidRPr="00372EDA">
              <w:rPr>
                <w:szCs w:val="22"/>
              </w:rPr>
              <w:t>» par «</w:t>
            </w:r>
            <w:r w:rsidR="002960BA">
              <w:rPr>
                <w:szCs w:val="22"/>
              </w:rPr>
              <w:t> </w:t>
            </w:r>
            <w:r w:rsidRPr="00372EDA">
              <w:rPr>
                <w:szCs w:val="22"/>
              </w:rPr>
              <w:t>potentiel de conséquences graves</w:t>
            </w:r>
            <w:r w:rsidR="002960BA">
              <w:rPr>
                <w:szCs w:val="22"/>
              </w:rPr>
              <w:t> </w:t>
            </w:r>
            <w:r w:rsidRPr="00372EDA">
              <w:rPr>
                <w:szCs w:val="22"/>
              </w:rPr>
              <w:t>».</w:t>
            </w:r>
          </w:p>
          <w:p w:rsidR="00DE183E" w:rsidRPr="00372EDA" w:rsidRDefault="00DE183E" w:rsidP="00DE183E">
            <w:pPr>
              <w:spacing w:before="60" w:after="60" w:line="240" w:lineRule="auto"/>
              <w:ind w:left="57" w:right="57"/>
              <w:rPr>
                <w:szCs w:val="22"/>
              </w:rPr>
            </w:pPr>
            <w:proofErr w:type="spellStart"/>
            <w:r w:rsidRPr="00372EDA">
              <w:rPr>
                <w:szCs w:val="22"/>
              </w:rPr>
              <w:t>Opt</w:t>
            </w:r>
            <w:proofErr w:type="spellEnd"/>
            <w:r w:rsidRPr="00372EDA">
              <w:rPr>
                <w:szCs w:val="22"/>
              </w:rPr>
              <w:t>. 2</w:t>
            </w:r>
            <w:r w:rsidR="007F0C5A">
              <w:rPr>
                <w:szCs w:val="22"/>
              </w:rPr>
              <w:t> :</w:t>
            </w:r>
            <w:r w:rsidRPr="00372EDA">
              <w:rPr>
                <w:szCs w:val="22"/>
              </w:rPr>
              <w:t xml:space="preserve"> Remplacer «</w:t>
            </w:r>
            <w:r w:rsidR="002960BA">
              <w:rPr>
                <w:szCs w:val="22"/>
              </w:rPr>
              <w:t> </w:t>
            </w:r>
            <w:r w:rsidRPr="00372EDA">
              <w:rPr>
                <w:szCs w:val="22"/>
              </w:rPr>
              <w:t>haut risque</w:t>
            </w:r>
            <w:r w:rsidR="002960BA">
              <w:rPr>
                <w:szCs w:val="22"/>
              </w:rPr>
              <w:t> </w:t>
            </w:r>
            <w:r w:rsidRPr="00372EDA">
              <w:rPr>
                <w:szCs w:val="22"/>
              </w:rPr>
              <w:t>» par « conséquences graves</w:t>
            </w:r>
            <w:r w:rsidR="002960BA">
              <w:rPr>
                <w:szCs w:val="22"/>
              </w:rPr>
              <w:t> </w:t>
            </w:r>
            <w:r w:rsidRPr="00372EDA">
              <w:rPr>
                <w:szCs w:val="22"/>
              </w:rPr>
              <w:t>».</w:t>
            </w:r>
          </w:p>
          <w:p w:rsidR="00DE183E" w:rsidRPr="00372EDA" w:rsidRDefault="00DE183E" w:rsidP="00DE183E">
            <w:pPr>
              <w:spacing w:before="60" w:after="60" w:line="240" w:lineRule="auto"/>
              <w:ind w:left="57" w:right="57"/>
              <w:rPr>
                <w:szCs w:val="22"/>
              </w:rPr>
            </w:pPr>
            <w:r w:rsidRPr="00372EDA">
              <w:rPr>
                <w:szCs w:val="22"/>
              </w:rPr>
              <w:t xml:space="preserve">(voir aussi </w:t>
            </w:r>
            <w:r w:rsidR="00043817">
              <w:rPr>
                <w:szCs w:val="22"/>
              </w:rPr>
              <w:t>le paragraphe 7</w:t>
            </w:r>
            <w:r w:rsidR="002960BA">
              <w:rPr>
                <w:szCs w:val="22"/>
              </w:rPr>
              <w:t> </w:t>
            </w:r>
            <w:r w:rsidRPr="00372EDA">
              <w:rPr>
                <w:szCs w:val="22"/>
              </w:rPr>
              <w:t>a) du document)</w:t>
            </w:r>
          </w:p>
        </w:tc>
      </w:tr>
    </w:tbl>
    <w:p w:rsidR="00DE183E" w:rsidRPr="00DE183E" w:rsidRDefault="00DE183E" w:rsidP="00DE183E">
      <w:pPr>
        <w:pStyle w:val="SingleTxtG"/>
        <w:spacing w:before="240" w:after="0"/>
        <w:jc w:val="center"/>
        <w:rPr>
          <w:u w:val="single"/>
          <w:lang w:eastAsia="es-ES"/>
        </w:rPr>
      </w:pPr>
      <w:r>
        <w:rPr>
          <w:u w:val="single"/>
          <w:lang w:eastAsia="es-ES"/>
        </w:rPr>
        <w:tab/>
      </w:r>
      <w:r>
        <w:rPr>
          <w:u w:val="single"/>
          <w:lang w:eastAsia="es-ES"/>
        </w:rPr>
        <w:tab/>
      </w:r>
      <w:r>
        <w:rPr>
          <w:u w:val="single"/>
          <w:lang w:eastAsia="es-ES"/>
        </w:rPr>
        <w:tab/>
      </w:r>
    </w:p>
    <w:sectPr w:rsidR="00DE183E" w:rsidRPr="00DE183E" w:rsidSect="00460B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E3C" w:rsidRDefault="00F12E3C" w:rsidP="00F95C08">
      <w:pPr>
        <w:spacing w:line="240" w:lineRule="auto"/>
      </w:pPr>
    </w:p>
  </w:endnote>
  <w:endnote w:type="continuationSeparator" w:id="0">
    <w:p w:rsidR="00F12E3C" w:rsidRPr="00AC3823" w:rsidRDefault="00F12E3C" w:rsidP="00AC3823">
      <w:pPr>
        <w:pStyle w:val="Footer"/>
      </w:pPr>
    </w:p>
  </w:endnote>
  <w:endnote w:type="continuationNotice" w:id="1">
    <w:p w:rsidR="00F12E3C" w:rsidRDefault="00F12E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3C" w:rsidRPr="00460B57" w:rsidRDefault="00F12E3C" w:rsidP="00460B57">
    <w:pPr>
      <w:pStyle w:val="Footer"/>
      <w:tabs>
        <w:tab w:val="right" w:pos="9638"/>
      </w:tabs>
    </w:pPr>
    <w:r w:rsidRPr="00460B57">
      <w:rPr>
        <w:b/>
        <w:sz w:val="18"/>
      </w:rPr>
      <w:fldChar w:fldCharType="begin"/>
    </w:r>
    <w:r w:rsidRPr="00460B57">
      <w:rPr>
        <w:b/>
        <w:sz w:val="18"/>
      </w:rPr>
      <w:instrText xml:space="preserve"> PAGE  \* MERGEFORMAT </w:instrText>
    </w:r>
    <w:r w:rsidRPr="00460B57">
      <w:rPr>
        <w:b/>
        <w:sz w:val="18"/>
      </w:rPr>
      <w:fldChar w:fldCharType="separate"/>
    </w:r>
    <w:r w:rsidRPr="00460B57">
      <w:rPr>
        <w:b/>
        <w:noProof/>
        <w:sz w:val="18"/>
      </w:rPr>
      <w:t>2</w:t>
    </w:r>
    <w:r w:rsidRPr="00460B57">
      <w:rPr>
        <w:b/>
        <w:sz w:val="18"/>
      </w:rPr>
      <w:fldChar w:fldCharType="end"/>
    </w:r>
    <w:r>
      <w:rPr>
        <w:b/>
        <w:sz w:val="18"/>
      </w:rPr>
      <w:tab/>
    </w:r>
    <w:r>
      <w:t>GE.20-07884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3C" w:rsidRPr="00460B57" w:rsidRDefault="00F12E3C" w:rsidP="00460B57">
    <w:pPr>
      <w:pStyle w:val="Footer"/>
      <w:tabs>
        <w:tab w:val="right" w:pos="9638"/>
      </w:tabs>
      <w:rPr>
        <w:b/>
        <w:sz w:val="18"/>
      </w:rPr>
    </w:pPr>
    <w:r>
      <w:t>GE.20-07884</w:t>
    </w:r>
    <w:r>
      <w:tab/>
    </w:r>
    <w:r w:rsidRPr="00460B57">
      <w:rPr>
        <w:b/>
        <w:sz w:val="18"/>
      </w:rPr>
      <w:fldChar w:fldCharType="begin"/>
    </w:r>
    <w:r w:rsidRPr="00460B57">
      <w:rPr>
        <w:b/>
        <w:sz w:val="18"/>
      </w:rPr>
      <w:instrText xml:space="preserve"> PAGE  \* MERGEFORMAT </w:instrText>
    </w:r>
    <w:r w:rsidRPr="00460B57">
      <w:rPr>
        <w:b/>
        <w:sz w:val="18"/>
      </w:rPr>
      <w:fldChar w:fldCharType="separate"/>
    </w:r>
    <w:r w:rsidRPr="00460B57">
      <w:rPr>
        <w:b/>
        <w:noProof/>
        <w:sz w:val="18"/>
      </w:rPr>
      <w:t>3</w:t>
    </w:r>
    <w:r w:rsidRPr="00460B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3C" w:rsidRPr="00460B57" w:rsidRDefault="00F12E3C" w:rsidP="00460B57">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20-07884  (F)    020720    0</w:t>
    </w:r>
    <w:r w:rsidR="00043817">
      <w:rPr>
        <w:sz w:val="20"/>
      </w:rPr>
      <w:t>3</w:t>
    </w:r>
    <w:r>
      <w:rPr>
        <w:sz w:val="20"/>
      </w:rPr>
      <w:t>0720</w:t>
    </w:r>
    <w:r>
      <w:rPr>
        <w:sz w:val="20"/>
      </w:rPr>
      <w:br/>
    </w:r>
    <w:r w:rsidRPr="00460B57">
      <w:rPr>
        <w:rFonts w:ascii="C39T30Lfz" w:hAnsi="C39T30Lfz"/>
        <w:sz w:val="56"/>
      </w:rPr>
      <w:t></w:t>
    </w:r>
    <w:r w:rsidRPr="00460B57">
      <w:rPr>
        <w:rFonts w:ascii="C39T30Lfz" w:hAnsi="C39T30Lfz"/>
        <w:sz w:val="56"/>
      </w:rPr>
      <w:t></w:t>
    </w:r>
    <w:r w:rsidRPr="00460B57">
      <w:rPr>
        <w:rFonts w:ascii="C39T30Lfz" w:hAnsi="C39T30Lfz"/>
        <w:sz w:val="56"/>
      </w:rPr>
      <w:t></w:t>
    </w:r>
    <w:r w:rsidRPr="00460B57">
      <w:rPr>
        <w:rFonts w:ascii="C39T30Lfz" w:hAnsi="C39T30Lfz"/>
        <w:sz w:val="56"/>
      </w:rPr>
      <w:t></w:t>
    </w:r>
    <w:r w:rsidRPr="00460B57">
      <w:rPr>
        <w:rFonts w:ascii="C39T30Lfz" w:hAnsi="C39T30Lfz"/>
        <w:sz w:val="56"/>
      </w:rPr>
      <w:t></w:t>
    </w:r>
    <w:r w:rsidRPr="00460B57">
      <w:rPr>
        <w:rFonts w:ascii="C39T30Lfz" w:hAnsi="C39T30Lfz"/>
        <w:sz w:val="56"/>
      </w:rPr>
      <w:t></w:t>
    </w:r>
    <w:r w:rsidRPr="00460B57">
      <w:rPr>
        <w:rFonts w:ascii="C39T30Lfz" w:hAnsi="C39T30Lfz"/>
        <w:sz w:val="56"/>
      </w:rPr>
      <w:t></w:t>
    </w:r>
    <w:r w:rsidRPr="00460B57">
      <w:rPr>
        <w:rFonts w:ascii="C39T30Lfz" w:hAnsi="C39T30Lfz"/>
        <w:sz w:val="56"/>
      </w:rPr>
      <w:t></w:t>
    </w:r>
    <w:r w:rsidRPr="00460B5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E3C" w:rsidRPr="00AC3823" w:rsidRDefault="00F12E3C" w:rsidP="00AC3823">
      <w:pPr>
        <w:pStyle w:val="Footer"/>
        <w:tabs>
          <w:tab w:val="right" w:pos="2155"/>
        </w:tabs>
        <w:spacing w:after="80" w:line="240" w:lineRule="atLeast"/>
        <w:ind w:left="680"/>
        <w:rPr>
          <w:u w:val="single"/>
        </w:rPr>
      </w:pPr>
      <w:r>
        <w:rPr>
          <w:u w:val="single"/>
        </w:rPr>
        <w:tab/>
      </w:r>
    </w:p>
  </w:footnote>
  <w:footnote w:type="continuationSeparator" w:id="0">
    <w:p w:rsidR="00F12E3C" w:rsidRPr="00AC3823" w:rsidRDefault="00F12E3C" w:rsidP="00AC3823">
      <w:pPr>
        <w:pStyle w:val="Footer"/>
        <w:tabs>
          <w:tab w:val="right" w:pos="2155"/>
        </w:tabs>
        <w:spacing w:after="80" w:line="240" w:lineRule="atLeast"/>
        <w:ind w:left="680"/>
        <w:rPr>
          <w:u w:val="single"/>
        </w:rPr>
      </w:pPr>
      <w:r>
        <w:rPr>
          <w:u w:val="single"/>
        </w:rPr>
        <w:tab/>
      </w:r>
    </w:p>
  </w:footnote>
  <w:footnote w:type="continuationNotice" w:id="1">
    <w:p w:rsidR="00F12E3C" w:rsidRPr="00AC3823" w:rsidRDefault="00F12E3C">
      <w:pPr>
        <w:spacing w:line="240" w:lineRule="auto"/>
        <w:rPr>
          <w:sz w:val="2"/>
          <w:szCs w:val="2"/>
        </w:rPr>
      </w:pPr>
    </w:p>
  </w:footnote>
  <w:footnote w:id="2">
    <w:p w:rsidR="00F12E3C" w:rsidRPr="009F62A5" w:rsidRDefault="00F12E3C" w:rsidP="00DE183E">
      <w:pPr>
        <w:pStyle w:val="FootnoteText"/>
        <w:rPr>
          <w:sz w:val="20"/>
          <w:lang w:val="fr-FR"/>
        </w:rPr>
      </w:pPr>
      <w:r w:rsidRPr="00DE183E">
        <w:rPr>
          <w:sz w:val="20"/>
          <w:lang w:val="fr-FR"/>
        </w:rPr>
        <w:tab/>
        <w:t>*</w:t>
      </w:r>
      <w:r w:rsidRPr="00DE183E">
        <w:rPr>
          <w:sz w:val="20"/>
          <w:lang w:val="fr-FR"/>
        </w:rPr>
        <w:tab/>
      </w:r>
      <w:r>
        <w:rPr>
          <w:lang w:val="fr-FR"/>
        </w:rPr>
        <w:t>Sous-programme 2 du budget-programme pour 2020 (A/74/6 (Sect. 20)) et informations complémentaires.</w:t>
      </w:r>
    </w:p>
  </w:footnote>
  <w:footnote w:id="3">
    <w:p w:rsidR="00F12E3C" w:rsidRPr="009F62A5" w:rsidRDefault="00F12E3C" w:rsidP="00DE183E">
      <w:pPr>
        <w:pStyle w:val="FootnoteText"/>
        <w:rPr>
          <w:sz w:val="20"/>
          <w:lang w:val="fr-FR"/>
        </w:rPr>
      </w:pPr>
      <w:r w:rsidRPr="00DE183E">
        <w:rPr>
          <w:sz w:val="20"/>
          <w:lang w:val="fr-FR"/>
        </w:rPr>
        <w:tab/>
        <w:t>**</w:t>
      </w:r>
      <w:r w:rsidRPr="00DE183E">
        <w:rPr>
          <w:sz w:val="20"/>
          <w:lang w:val="fr-FR"/>
        </w:rPr>
        <w:tab/>
      </w:r>
      <w:r>
        <w:rPr>
          <w:lang w:val="fr-FR"/>
        </w:rPr>
        <w:t>Diffusée par l’Organisation intergouvernementale pour les transports internationaux ferroviaires sous la cote OTIF/RID/RC/2020/44.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3C" w:rsidRPr="00460B57" w:rsidRDefault="00965F8A">
    <w:pPr>
      <w:pStyle w:val="Header"/>
    </w:pPr>
    <w:r>
      <w:fldChar w:fldCharType="begin"/>
    </w:r>
    <w:r>
      <w:instrText xml:space="preserve"> TITLE  \* MERGEFORMAT </w:instrText>
    </w:r>
    <w:r>
      <w:fldChar w:fldCharType="separate"/>
    </w:r>
    <w:r w:rsidR="00F12E3C">
      <w:t>ECE/TRANS/WP.15/AC.1/2020/44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3C" w:rsidRPr="00460B57" w:rsidRDefault="00965F8A" w:rsidP="00460B57">
    <w:pPr>
      <w:pStyle w:val="Header"/>
      <w:jc w:val="right"/>
    </w:pPr>
    <w:r>
      <w:fldChar w:fldCharType="begin"/>
    </w:r>
    <w:r>
      <w:instrText xml:space="preserve"> TITLE  \* MERGEFORMAT </w:instrText>
    </w:r>
    <w:r>
      <w:fldChar w:fldCharType="separate"/>
    </w:r>
    <w:r w:rsidR="00F12E3C">
      <w:t>ECE/TRANS/WP.15/AC.1/2020/44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7" w15:restartNumberingAfterBreak="0">
    <w:nsid w:val="24325D3D"/>
    <w:multiLevelType w:val="hybridMultilevel"/>
    <w:tmpl w:val="85FA3A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8"/>
  </w:num>
  <w:num w:numId="2">
    <w:abstractNumId w:val="2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3"/>
  </w:num>
  <w:num w:numId="16">
    <w:abstractNumId w:val="11"/>
  </w:num>
  <w:num w:numId="17">
    <w:abstractNumId w:val="18"/>
  </w:num>
  <w:num w:numId="18">
    <w:abstractNumId w:val="15"/>
  </w:num>
  <w:num w:numId="19">
    <w:abstractNumId w:val="10"/>
  </w:num>
  <w:num w:numId="20">
    <w:abstractNumId w:val="12"/>
  </w:num>
  <w:num w:numId="21">
    <w:abstractNumId w:val="19"/>
  </w:num>
  <w:num w:numId="22">
    <w:abstractNumId w:val="14"/>
  </w:num>
  <w:num w:numId="23">
    <w:abstractNumId w:val="27"/>
  </w:num>
  <w:num w:numId="24">
    <w:abstractNumId w:val="30"/>
  </w:num>
  <w:num w:numId="25">
    <w:abstractNumId w:val="26"/>
  </w:num>
  <w:num w:numId="26">
    <w:abstractNumId w:val="13"/>
  </w:num>
  <w:num w:numId="27">
    <w:abstractNumId w:val="21"/>
  </w:num>
  <w:num w:numId="28">
    <w:abstractNumId w:val="31"/>
  </w:num>
  <w:num w:numId="29">
    <w:abstractNumId w:val="20"/>
  </w:num>
  <w:num w:numId="30">
    <w:abstractNumId w:val="24"/>
  </w:num>
  <w:num w:numId="31">
    <w:abstractNumId w:val="29"/>
  </w:num>
  <w:num w:numId="32">
    <w:abstractNumId w:val="22"/>
  </w:num>
  <w:num w:numId="33">
    <w:abstractNumId w:val="16"/>
  </w:num>
  <w:num w:numId="34">
    <w:abstractNumId w:val="25"/>
  </w:num>
  <w:num w:numId="35">
    <w:abstractNumId w:val="17"/>
  </w:num>
  <w:num w:numId="36">
    <w:abstractNumId w:val="23"/>
  </w:num>
  <w:num w:numId="37">
    <w:abstractNumId w:val="2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8E"/>
    <w:rsid w:val="00017F94"/>
    <w:rsid w:val="00023842"/>
    <w:rsid w:val="000334F9"/>
    <w:rsid w:val="00043817"/>
    <w:rsid w:val="00045FEB"/>
    <w:rsid w:val="0007796D"/>
    <w:rsid w:val="000B7790"/>
    <w:rsid w:val="000D6940"/>
    <w:rsid w:val="00111F2F"/>
    <w:rsid w:val="0014365E"/>
    <w:rsid w:val="00143C66"/>
    <w:rsid w:val="00176178"/>
    <w:rsid w:val="001F525A"/>
    <w:rsid w:val="00223272"/>
    <w:rsid w:val="0024779E"/>
    <w:rsid w:val="00257168"/>
    <w:rsid w:val="002744B8"/>
    <w:rsid w:val="002832AC"/>
    <w:rsid w:val="002960BA"/>
    <w:rsid w:val="002D7C93"/>
    <w:rsid w:val="00305801"/>
    <w:rsid w:val="003916DE"/>
    <w:rsid w:val="00421996"/>
    <w:rsid w:val="00441C3B"/>
    <w:rsid w:val="00446FE5"/>
    <w:rsid w:val="00452396"/>
    <w:rsid w:val="00460B57"/>
    <w:rsid w:val="004837D8"/>
    <w:rsid w:val="004E2EED"/>
    <w:rsid w:val="004E468C"/>
    <w:rsid w:val="005505B7"/>
    <w:rsid w:val="00573BE5"/>
    <w:rsid w:val="00586ED3"/>
    <w:rsid w:val="00596AA9"/>
    <w:rsid w:val="006C7E75"/>
    <w:rsid w:val="006E6BCB"/>
    <w:rsid w:val="0071601D"/>
    <w:rsid w:val="007A62E6"/>
    <w:rsid w:val="007F0C5A"/>
    <w:rsid w:val="007F20FA"/>
    <w:rsid w:val="0080684C"/>
    <w:rsid w:val="0083128E"/>
    <w:rsid w:val="00871C75"/>
    <w:rsid w:val="008776DC"/>
    <w:rsid w:val="009446C0"/>
    <w:rsid w:val="00965F8A"/>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E183E"/>
    <w:rsid w:val="00DF6678"/>
    <w:rsid w:val="00E0299A"/>
    <w:rsid w:val="00E32884"/>
    <w:rsid w:val="00E85C74"/>
    <w:rsid w:val="00EA6547"/>
    <w:rsid w:val="00EF2E22"/>
    <w:rsid w:val="00F12E3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86A2BE-6709-4170-A70F-33337D6A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qFormat/>
    <w:locked/>
    <w:rsid w:val="00DE183E"/>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DE183E"/>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qFormat/>
    <w:rsid w:val="00DE183E"/>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4441</Words>
  <Characters>25317</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ECE/TRANS/WP.15/AC.1/2020/44</vt:lpstr>
      <vt:lpstr>ECE/TRANS/WP.15/AC.1/2020/44</vt:lpstr>
    </vt:vector>
  </TitlesOfParts>
  <Company>DCM</Company>
  <LinksUpToDate>false</LinksUpToDate>
  <CharactersWithSpaces>29699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ECE/TRANS/WP.15/AC.1/2020/44</dc:title>
  <dc:subject/>
  <dc:creator>Nicolas MORIN</dc:creator>
  <cp:keywords/>
  <cp:lastModifiedBy>Christine Barrio-Champeau</cp:lastModifiedBy>
  <cp:revision>2</cp:revision>
  <cp:lastPrinted>2014-05-14T10:59:00Z</cp:lastPrinted>
  <dcterms:created xsi:type="dcterms:W3CDTF">2020-07-06T07:32:00Z</dcterms:created>
  <dcterms:modified xsi:type="dcterms:W3CDTF">2020-07-06T07:32:00Z</dcterms:modified>
</cp:coreProperties>
</file>