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126423B" w14:textId="77777777" w:rsidTr="00C97039">
        <w:trPr>
          <w:trHeight w:hRule="exact" w:val="851"/>
        </w:trPr>
        <w:tc>
          <w:tcPr>
            <w:tcW w:w="1276" w:type="dxa"/>
            <w:tcBorders>
              <w:bottom w:val="single" w:sz="4" w:space="0" w:color="auto"/>
            </w:tcBorders>
          </w:tcPr>
          <w:p w14:paraId="627346D5" w14:textId="77777777" w:rsidR="00F35BAF" w:rsidRPr="00DB58B5" w:rsidRDefault="00F35BAF" w:rsidP="00B84E78"/>
        </w:tc>
        <w:tc>
          <w:tcPr>
            <w:tcW w:w="2268" w:type="dxa"/>
            <w:tcBorders>
              <w:bottom w:val="single" w:sz="4" w:space="0" w:color="auto"/>
            </w:tcBorders>
            <w:vAlign w:val="bottom"/>
          </w:tcPr>
          <w:p w14:paraId="7B714E6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DA2E12" w14:textId="77777777" w:rsidR="00F35BAF" w:rsidRPr="00DB58B5" w:rsidRDefault="00B84E78" w:rsidP="00B84E78">
            <w:pPr>
              <w:jc w:val="right"/>
            </w:pPr>
            <w:r w:rsidRPr="00B84E78">
              <w:rPr>
                <w:sz w:val="40"/>
              </w:rPr>
              <w:t>ECE</w:t>
            </w:r>
            <w:r>
              <w:t>/TRANS/WP.15/AC.1/2020/41</w:t>
            </w:r>
          </w:p>
        </w:tc>
      </w:tr>
      <w:tr w:rsidR="00F35BAF" w:rsidRPr="00DB58B5" w14:paraId="02CDD65E" w14:textId="77777777" w:rsidTr="00C97039">
        <w:trPr>
          <w:trHeight w:hRule="exact" w:val="2835"/>
        </w:trPr>
        <w:tc>
          <w:tcPr>
            <w:tcW w:w="1276" w:type="dxa"/>
            <w:tcBorders>
              <w:top w:val="single" w:sz="4" w:space="0" w:color="auto"/>
              <w:bottom w:val="single" w:sz="12" w:space="0" w:color="auto"/>
            </w:tcBorders>
          </w:tcPr>
          <w:p w14:paraId="33C7952B" w14:textId="77777777" w:rsidR="00F35BAF" w:rsidRPr="00DB58B5" w:rsidRDefault="00F35BAF" w:rsidP="00C97039">
            <w:pPr>
              <w:spacing w:before="120"/>
              <w:jc w:val="center"/>
            </w:pPr>
            <w:r>
              <w:rPr>
                <w:noProof/>
                <w:lang w:eastAsia="fr-CH"/>
              </w:rPr>
              <w:drawing>
                <wp:inline distT="0" distB="0" distL="0" distR="0" wp14:anchorId="328DBF7D" wp14:editId="02F7DD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B2744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22BA96" w14:textId="77777777" w:rsidR="00F35BAF" w:rsidRDefault="00B84E78" w:rsidP="00C97039">
            <w:pPr>
              <w:spacing w:before="240"/>
            </w:pPr>
            <w:proofErr w:type="spellStart"/>
            <w:r>
              <w:t>Distr</w:t>
            </w:r>
            <w:proofErr w:type="spellEnd"/>
            <w:r>
              <w:t xml:space="preserve">. </w:t>
            </w:r>
            <w:proofErr w:type="gramStart"/>
            <w:r>
              <w:t>générale</w:t>
            </w:r>
            <w:proofErr w:type="gramEnd"/>
          </w:p>
          <w:p w14:paraId="7E5D144C" w14:textId="77777777" w:rsidR="00B84E78" w:rsidRDefault="003218B9" w:rsidP="00B84E78">
            <w:pPr>
              <w:spacing w:line="240" w:lineRule="exact"/>
            </w:pPr>
            <w:r>
              <w:t>6 janvier 2020</w:t>
            </w:r>
          </w:p>
          <w:p w14:paraId="53E09D52" w14:textId="77777777" w:rsidR="00B84E78" w:rsidRDefault="00B84E78" w:rsidP="00B84E78">
            <w:pPr>
              <w:spacing w:line="240" w:lineRule="exact"/>
            </w:pPr>
            <w:r>
              <w:t>Français</w:t>
            </w:r>
          </w:p>
          <w:p w14:paraId="6B003A6A" w14:textId="77777777" w:rsidR="00B84E78" w:rsidRPr="00DB58B5" w:rsidRDefault="00B84E78" w:rsidP="00B84E78">
            <w:pPr>
              <w:spacing w:line="240" w:lineRule="exact"/>
            </w:pPr>
            <w:r>
              <w:t xml:space="preserve">Original : </w:t>
            </w:r>
            <w:r w:rsidR="003218B9">
              <w:t>anglais</w:t>
            </w:r>
          </w:p>
        </w:tc>
      </w:tr>
    </w:tbl>
    <w:p w14:paraId="2DA59051" w14:textId="77777777" w:rsidR="007F20FA" w:rsidRPr="000312C0" w:rsidRDefault="007F20FA" w:rsidP="007F20FA">
      <w:pPr>
        <w:spacing w:before="120"/>
        <w:rPr>
          <w:b/>
          <w:sz w:val="28"/>
          <w:szCs w:val="28"/>
        </w:rPr>
      </w:pPr>
      <w:r w:rsidRPr="000312C0">
        <w:rPr>
          <w:b/>
          <w:sz w:val="28"/>
          <w:szCs w:val="28"/>
        </w:rPr>
        <w:t>Commission économique pour l</w:t>
      </w:r>
      <w:r w:rsidR="002A7AE9">
        <w:rPr>
          <w:b/>
          <w:sz w:val="28"/>
          <w:szCs w:val="28"/>
        </w:rPr>
        <w:t>’</w:t>
      </w:r>
      <w:r w:rsidRPr="000312C0">
        <w:rPr>
          <w:b/>
          <w:sz w:val="28"/>
          <w:szCs w:val="28"/>
        </w:rPr>
        <w:t>Europe</w:t>
      </w:r>
    </w:p>
    <w:p w14:paraId="439E47CC" w14:textId="77777777" w:rsidR="007F20FA" w:rsidRDefault="007F20FA" w:rsidP="007F20FA">
      <w:pPr>
        <w:spacing w:before="120"/>
        <w:rPr>
          <w:sz w:val="28"/>
          <w:szCs w:val="28"/>
        </w:rPr>
      </w:pPr>
      <w:r w:rsidRPr="00685843">
        <w:rPr>
          <w:sz w:val="28"/>
          <w:szCs w:val="28"/>
        </w:rPr>
        <w:t>Comité des transports intérieurs</w:t>
      </w:r>
    </w:p>
    <w:p w14:paraId="2A353BD2" w14:textId="77777777" w:rsidR="001606FC" w:rsidRPr="009E01B8" w:rsidRDefault="001606FC" w:rsidP="00AF0CB5">
      <w:pPr>
        <w:spacing w:before="120"/>
        <w:rPr>
          <w:b/>
          <w:sz w:val="24"/>
          <w:szCs w:val="24"/>
        </w:rPr>
      </w:pPr>
      <w:r w:rsidRPr="009E01B8">
        <w:rPr>
          <w:b/>
          <w:sz w:val="24"/>
          <w:szCs w:val="24"/>
        </w:rPr>
        <w:t>Groupe de travail des transports de marchandises dangereuses</w:t>
      </w:r>
    </w:p>
    <w:p w14:paraId="5744B18B" w14:textId="77777777" w:rsidR="001606FC" w:rsidRPr="00926E87" w:rsidRDefault="001606FC" w:rsidP="00AF0CB5">
      <w:pPr>
        <w:spacing w:before="120"/>
        <w:rPr>
          <w:b/>
        </w:rPr>
      </w:pPr>
      <w:r w:rsidRPr="00926E87">
        <w:rPr>
          <w:b/>
        </w:rPr>
        <w:t>Réunion commune de la Commission d</w:t>
      </w:r>
      <w:r w:rsidR="002A7AE9">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015BFB90" w14:textId="77777777" w:rsidR="001606FC" w:rsidRPr="001606FC" w:rsidRDefault="001606FC" w:rsidP="00601722">
      <w:r>
        <w:t>Berne</w:t>
      </w:r>
      <w:r w:rsidRPr="001606FC">
        <w:t>, 16</w:t>
      </w:r>
      <w:r>
        <w:t>-</w:t>
      </w:r>
      <w:r w:rsidRPr="001606FC">
        <w:t>20 mars 2020</w:t>
      </w:r>
    </w:p>
    <w:p w14:paraId="40CE8387" w14:textId="77777777" w:rsidR="001606FC" w:rsidRDefault="001606FC" w:rsidP="00AF0CB5">
      <w:r w:rsidRPr="00B93E72">
        <w:t xml:space="preserve">Point </w:t>
      </w:r>
      <w:r>
        <w:t>5 a)</w:t>
      </w:r>
      <w:r w:rsidRPr="00B93E72">
        <w:t xml:space="preserve"> de l</w:t>
      </w:r>
      <w:r w:rsidR="002A7AE9">
        <w:t>’</w:t>
      </w:r>
      <w:r w:rsidRPr="00B93E72">
        <w:t>ordre du jour provisoire</w:t>
      </w:r>
    </w:p>
    <w:p w14:paraId="4D989F12" w14:textId="77777777" w:rsidR="001606FC" w:rsidRPr="001606FC" w:rsidRDefault="001606FC" w:rsidP="001606FC">
      <w:pPr>
        <w:spacing w:line="240" w:lineRule="auto"/>
        <w:rPr>
          <w:b/>
          <w:bCs/>
        </w:rPr>
      </w:pPr>
      <w:r w:rsidRPr="001606FC">
        <w:rPr>
          <w:b/>
          <w:bCs/>
        </w:rPr>
        <w:t>Propositions d</w:t>
      </w:r>
      <w:r w:rsidR="002A7AE9">
        <w:rPr>
          <w:b/>
          <w:bCs/>
        </w:rPr>
        <w:t>’</w:t>
      </w:r>
      <w:r w:rsidRPr="001606FC">
        <w:rPr>
          <w:b/>
          <w:bCs/>
        </w:rPr>
        <w:t>amendements au RID/ADR/ADN :</w:t>
      </w:r>
    </w:p>
    <w:p w14:paraId="731B5059" w14:textId="77777777" w:rsidR="001606FC" w:rsidRPr="001606FC" w:rsidRDefault="001606FC" w:rsidP="001606FC">
      <w:pPr>
        <w:spacing w:line="240" w:lineRule="auto"/>
        <w:rPr>
          <w:b/>
          <w:bCs/>
        </w:rPr>
      </w:pPr>
      <w:r w:rsidRPr="001606FC">
        <w:rPr>
          <w:b/>
          <w:bCs/>
        </w:rPr>
        <w:t>Questions en suspens</w:t>
      </w:r>
    </w:p>
    <w:p w14:paraId="79E66C3A" w14:textId="77777777" w:rsidR="001606FC" w:rsidRPr="00926E7E" w:rsidRDefault="001606FC" w:rsidP="001606FC">
      <w:pPr>
        <w:pStyle w:val="HChG"/>
      </w:pPr>
      <w:r w:rsidRPr="00926E7E">
        <w:tab/>
      </w:r>
      <w:r w:rsidRPr="00926E7E">
        <w:tab/>
        <w:t xml:space="preserve">Nom et </w:t>
      </w:r>
      <w:r w:rsidRPr="001606FC">
        <w:t>description</w:t>
      </w:r>
      <w:r w:rsidRPr="00926E7E">
        <w:t xml:space="preserve"> des numéros ONU dans le Règlement type </w:t>
      </w:r>
      <w:r w:rsidRPr="002073B6">
        <w:rPr>
          <w:spacing w:val="-2"/>
        </w:rPr>
        <w:t>et dans le RID et l</w:t>
      </w:r>
      <w:r w:rsidR="002A7AE9" w:rsidRPr="002073B6">
        <w:rPr>
          <w:spacing w:val="-2"/>
        </w:rPr>
        <w:t>’</w:t>
      </w:r>
      <w:r w:rsidRPr="002073B6">
        <w:rPr>
          <w:spacing w:val="-2"/>
        </w:rPr>
        <w:t>ADR</w:t>
      </w:r>
      <w:r w:rsidR="005063B6" w:rsidRPr="002073B6">
        <w:rPr>
          <w:spacing w:val="-2"/>
        </w:rPr>
        <w:t xml:space="preserve"> </w:t>
      </w:r>
      <w:r w:rsidRPr="002073B6">
        <w:rPr>
          <w:spacing w:val="-2"/>
        </w:rPr>
        <w:t xml:space="preserve">: </w:t>
      </w:r>
      <w:r w:rsidR="00B9298B" w:rsidRPr="002073B6">
        <w:rPr>
          <w:spacing w:val="-2"/>
        </w:rPr>
        <w:t>No </w:t>
      </w:r>
      <w:r w:rsidRPr="002073B6">
        <w:rPr>
          <w:spacing w:val="-2"/>
        </w:rPr>
        <w:t>ONU 2426, nitrate d</w:t>
      </w:r>
      <w:r w:rsidR="002A7AE9" w:rsidRPr="002073B6">
        <w:rPr>
          <w:spacing w:val="-2"/>
        </w:rPr>
        <w:t>’</w:t>
      </w:r>
      <w:r w:rsidRPr="002073B6">
        <w:rPr>
          <w:spacing w:val="-2"/>
        </w:rPr>
        <w:t>ammonium</w:t>
      </w:r>
    </w:p>
    <w:p w14:paraId="17D2DDB1" w14:textId="77777777" w:rsidR="00F9573C" w:rsidRDefault="001606FC" w:rsidP="00B9298B">
      <w:pPr>
        <w:pStyle w:val="H1G"/>
        <w:rPr>
          <w:b w:val="0"/>
          <w:sz w:val="20"/>
        </w:rPr>
      </w:pPr>
      <w:r w:rsidRPr="00926E7E">
        <w:tab/>
      </w:r>
      <w:r w:rsidRPr="00926E7E">
        <w:tab/>
        <w:t>Communication du Gouvernement espagnol</w:t>
      </w:r>
      <w:r w:rsidRPr="00B9298B">
        <w:rPr>
          <w:rStyle w:val="FootnoteReference"/>
          <w:b w:val="0"/>
          <w:sz w:val="20"/>
          <w:vertAlign w:val="baseline"/>
        </w:rPr>
        <w:footnoteReference w:customMarkFollows="1" w:id="2"/>
        <w:t>*</w:t>
      </w:r>
      <w:r w:rsidRPr="00B9298B">
        <w:rPr>
          <w:b w:val="0"/>
          <w:position w:val="6"/>
          <w:sz w:val="20"/>
        </w:rPr>
        <w:t>,</w:t>
      </w:r>
      <w:r w:rsidRPr="00926E7E">
        <w:rPr>
          <w:vertAlign w:val="superscript"/>
        </w:rPr>
        <w:t xml:space="preserve"> </w:t>
      </w:r>
      <w:r w:rsidRPr="00B9298B">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B9298B" w14:paraId="0FA45D73" w14:textId="77777777">
        <w:trPr>
          <w:jc w:val="center"/>
        </w:trPr>
        <w:tc>
          <w:tcPr>
            <w:tcW w:w="9637" w:type="dxa"/>
            <w:shd w:val="clear" w:color="auto" w:fill="auto"/>
          </w:tcPr>
          <w:p w14:paraId="0F8F8314" w14:textId="77777777" w:rsidR="00B9298B" w:rsidRDefault="00B9298B">
            <w:pPr>
              <w:spacing w:before="240" w:after="120"/>
              <w:ind w:left="255"/>
              <w:rPr>
                <w:i/>
                <w:sz w:val="24"/>
              </w:rPr>
            </w:pPr>
            <w:r>
              <w:rPr>
                <w:i/>
                <w:sz w:val="24"/>
              </w:rPr>
              <w:t>Résumé</w:t>
            </w:r>
          </w:p>
        </w:tc>
      </w:tr>
      <w:tr w:rsidR="00B9298B" w14:paraId="6D5C824C" w14:textId="77777777">
        <w:trPr>
          <w:jc w:val="center"/>
        </w:trPr>
        <w:tc>
          <w:tcPr>
            <w:tcW w:w="9637" w:type="dxa"/>
            <w:shd w:val="clear" w:color="auto" w:fill="auto"/>
          </w:tcPr>
          <w:p w14:paraId="2FA1CDAF" w14:textId="77777777" w:rsidR="00B9298B" w:rsidRDefault="002E53B9" w:rsidP="00010CAE">
            <w:pPr>
              <w:pStyle w:val="SingleTxtG"/>
              <w:kinsoku/>
              <w:overflowPunct/>
              <w:autoSpaceDE/>
              <w:autoSpaceDN/>
              <w:adjustRightInd/>
              <w:snapToGrid/>
              <w:ind w:left="3402" w:hanging="2268"/>
            </w:pPr>
            <w:r w:rsidRPr="00010CAE">
              <w:rPr>
                <w:b/>
              </w:rPr>
              <w:t>Résumé analytique :</w:t>
            </w:r>
            <w:r w:rsidRPr="00010CAE">
              <w:rPr>
                <w:b/>
              </w:rPr>
              <w:tab/>
            </w:r>
            <w:r w:rsidR="00065FDA" w:rsidRPr="00065FDA">
              <w:rPr>
                <w:lang w:val="fr-FR"/>
              </w:rPr>
              <w:t>Supprimer les différences de nom et de description pour le No</w:t>
            </w:r>
            <w:r w:rsidR="00CF5119">
              <w:rPr>
                <w:lang w:val="fr-FR"/>
              </w:rPr>
              <w:t> </w:t>
            </w:r>
            <w:r w:rsidR="00065FDA" w:rsidRPr="00065FDA">
              <w:rPr>
                <w:lang w:val="fr-FR"/>
              </w:rPr>
              <w:t>ONU 2426 : NITRATE D</w:t>
            </w:r>
            <w:r w:rsidR="002A7AE9">
              <w:rPr>
                <w:lang w:val="fr-FR"/>
              </w:rPr>
              <w:t>’</w:t>
            </w:r>
            <w:r w:rsidR="00065FDA" w:rsidRPr="00065FDA">
              <w:rPr>
                <w:lang w:val="fr-FR"/>
              </w:rPr>
              <w:t>AMMONIUM.</w:t>
            </w:r>
          </w:p>
        </w:tc>
      </w:tr>
      <w:tr w:rsidR="00B9298B" w14:paraId="351D36F0" w14:textId="77777777">
        <w:trPr>
          <w:jc w:val="center"/>
        </w:trPr>
        <w:tc>
          <w:tcPr>
            <w:tcW w:w="9637" w:type="dxa"/>
            <w:shd w:val="clear" w:color="auto" w:fill="auto"/>
          </w:tcPr>
          <w:p w14:paraId="10FF81A4" w14:textId="77777777" w:rsidR="00B9298B" w:rsidRDefault="00010CAE" w:rsidP="00010CAE">
            <w:pPr>
              <w:pStyle w:val="SingleTxtG"/>
              <w:kinsoku/>
              <w:overflowPunct/>
              <w:autoSpaceDE/>
              <w:autoSpaceDN/>
              <w:adjustRightInd/>
              <w:snapToGrid/>
              <w:ind w:left="3402" w:hanging="2268"/>
            </w:pPr>
            <w:r w:rsidRPr="00010CAE">
              <w:rPr>
                <w:b/>
                <w:lang w:val="fr-FR"/>
              </w:rPr>
              <w:t>Mesure à prendre</w:t>
            </w:r>
            <w:r>
              <w:rPr>
                <w:b/>
                <w:lang w:val="fr-FR"/>
              </w:rPr>
              <w:t> </w:t>
            </w:r>
            <w:r w:rsidRPr="00010CAE">
              <w:rPr>
                <w:b/>
                <w:lang w:val="fr-FR"/>
              </w:rPr>
              <w:t>:</w:t>
            </w:r>
            <w:r w:rsidRPr="00010CAE">
              <w:rPr>
                <w:b/>
                <w:lang w:val="fr-FR"/>
              </w:rPr>
              <w:tab/>
            </w:r>
            <w:r w:rsidRPr="00010CAE">
              <w:rPr>
                <w:lang w:val="fr-FR"/>
              </w:rPr>
              <w:t>Reprendre le nom et la description figurant dans le Règlement type pour ce numéro ONU.</w:t>
            </w:r>
          </w:p>
        </w:tc>
      </w:tr>
      <w:tr w:rsidR="00B9298B" w14:paraId="47166E50" w14:textId="77777777">
        <w:trPr>
          <w:jc w:val="center"/>
        </w:trPr>
        <w:tc>
          <w:tcPr>
            <w:tcW w:w="9637" w:type="dxa"/>
            <w:shd w:val="clear" w:color="auto" w:fill="auto"/>
          </w:tcPr>
          <w:p w14:paraId="3CD15E2B" w14:textId="77777777" w:rsidR="00B9298B" w:rsidRDefault="00B9298B"/>
        </w:tc>
      </w:tr>
    </w:tbl>
    <w:p w14:paraId="4292D2F9" w14:textId="77777777" w:rsidR="00AC263C" w:rsidRPr="00926E7E" w:rsidRDefault="00AC263C" w:rsidP="00365198">
      <w:pPr>
        <w:pStyle w:val="HChG"/>
      </w:pPr>
      <w:r w:rsidRPr="00926E7E">
        <w:tab/>
      </w:r>
      <w:r w:rsidRPr="00926E7E">
        <w:tab/>
      </w:r>
      <w:r w:rsidRPr="00365198">
        <w:t>Introduction</w:t>
      </w:r>
    </w:p>
    <w:p w14:paraId="15B4611E" w14:textId="77777777" w:rsidR="00AC263C" w:rsidRPr="00926E7E" w:rsidRDefault="00AC263C" w:rsidP="00365198">
      <w:pPr>
        <w:pStyle w:val="SingleTxtG"/>
      </w:pPr>
      <w:r w:rsidRPr="00926E7E">
        <w:t>1.</w:t>
      </w:r>
      <w:r w:rsidRPr="00926E7E">
        <w:tab/>
      </w:r>
      <w:r>
        <w:t>Certains numéros ONU ont un</w:t>
      </w:r>
      <w:r w:rsidRPr="00926E7E">
        <w:t xml:space="preserve"> nom et </w:t>
      </w:r>
      <w:r>
        <w:t>une</w:t>
      </w:r>
      <w:r w:rsidRPr="00926E7E">
        <w:t xml:space="preserve"> description diff</w:t>
      </w:r>
      <w:r>
        <w:t>é</w:t>
      </w:r>
      <w:r w:rsidRPr="00926E7E">
        <w:t>rent</w:t>
      </w:r>
      <w:r>
        <w:t>s</w:t>
      </w:r>
      <w:r w:rsidRPr="00926E7E">
        <w:t xml:space="preserve"> dans le Règlement type </w:t>
      </w:r>
      <w:r>
        <w:t>d</w:t>
      </w:r>
      <w:r w:rsidR="002A7AE9">
        <w:t>’</w:t>
      </w:r>
      <w:r>
        <w:t xml:space="preserve">une part </w:t>
      </w:r>
      <w:r w:rsidRPr="00926E7E">
        <w:t>et dans le RID</w:t>
      </w:r>
      <w:r>
        <w:t xml:space="preserve"> et l</w:t>
      </w:r>
      <w:r w:rsidR="002A7AE9">
        <w:t>’</w:t>
      </w:r>
      <w:r w:rsidRPr="00926E7E">
        <w:t>ADR</w:t>
      </w:r>
      <w:r>
        <w:t xml:space="preserve"> d</w:t>
      </w:r>
      <w:r w:rsidR="002A7AE9">
        <w:t>’</w:t>
      </w:r>
      <w:r>
        <w:t>autre part</w:t>
      </w:r>
      <w:r w:rsidRPr="00926E7E">
        <w:t>. En septembre 2019, l</w:t>
      </w:r>
      <w:r w:rsidR="002A7AE9">
        <w:t>’</w:t>
      </w:r>
      <w:r w:rsidRPr="00926E7E">
        <w:t xml:space="preserve">Espagne a présenté le document de travail ECE/TRANS/WP.15/AC.1/2019/32, qui </w:t>
      </w:r>
      <w:r>
        <w:t>expose</w:t>
      </w:r>
      <w:r w:rsidRPr="00926E7E">
        <w:t xml:space="preserve"> et analyse les différences </w:t>
      </w:r>
      <w:r>
        <w:t xml:space="preserve">pour </w:t>
      </w:r>
      <w:r w:rsidRPr="00926E7E">
        <w:t>plusieurs numéros ONU.</w:t>
      </w:r>
    </w:p>
    <w:p w14:paraId="43FE7A64" w14:textId="68B02F33" w:rsidR="00AC263C" w:rsidRPr="00730044" w:rsidRDefault="00AC263C" w:rsidP="00365198">
      <w:pPr>
        <w:pStyle w:val="SingleTxtG"/>
        <w:rPr>
          <w:spacing w:val="-1"/>
        </w:rPr>
      </w:pPr>
      <w:r w:rsidRPr="00730044">
        <w:rPr>
          <w:spacing w:val="-1"/>
        </w:rPr>
        <w:t>2.</w:t>
      </w:r>
      <w:r w:rsidRPr="00730044">
        <w:rPr>
          <w:spacing w:val="-1"/>
        </w:rPr>
        <w:tab/>
        <w:t>Plusieurs délégations ont fait part de leurs observations sur les différences existantes, et l</w:t>
      </w:r>
      <w:r w:rsidR="002A7AE9" w:rsidRPr="00730044">
        <w:rPr>
          <w:spacing w:val="-1"/>
        </w:rPr>
        <w:t>’</w:t>
      </w:r>
      <w:r w:rsidRPr="00730044">
        <w:rPr>
          <w:spacing w:val="-1"/>
        </w:rPr>
        <w:t>Espagne a été priée d</w:t>
      </w:r>
      <w:r w:rsidR="002A7AE9" w:rsidRPr="00730044">
        <w:rPr>
          <w:spacing w:val="-1"/>
        </w:rPr>
        <w:t>’</w:t>
      </w:r>
      <w:r w:rsidRPr="00730044">
        <w:rPr>
          <w:spacing w:val="-1"/>
        </w:rPr>
        <w:t>élaborer des propositions d</w:t>
      </w:r>
      <w:r w:rsidR="002A7AE9" w:rsidRPr="00730044">
        <w:rPr>
          <w:spacing w:val="-1"/>
        </w:rPr>
        <w:t>’</w:t>
      </w:r>
      <w:r w:rsidRPr="00730044">
        <w:rPr>
          <w:spacing w:val="-1"/>
        </w:rPr>
        <w:t>harmonisation et de les présenter à la Réunion commune ou au Sous-Comité, selon qu</w:t>
      </w:r>
      <w:r w:rsidR="002A7AE9" w:rsidRPr="00730044">
        <w:rPr>
          <w:spacing w:val="-1"/>
        </w:rPr>
        <w:t>’</w:t>
      </w:r>
      <w:r w:rsidRPr="00730044">
        <w:rPr>
          <w:spacing w:val="-1"/>
        </w:rPr>
        <w:t>il convenait pour chaque</w:t>
      </w:r>
      <w:r w:rsidR="00730044" w:rsidRPr="00730044">
        <w:rPr>
          <w:spacing w:val="-1"/>
        </w:rPr>
        <w:t xml:space="preserve"> </w:t>
      </w:r>
      <w:r w:rsidRPr="00730044">
        <w:rPr>
          <w:spacing w:val="-1"/>
        </w:rPr>
        <w:t>cas.</w:t>
      </w:r>
    </w:p>
    <w:p w14:paraId="14AA148A" w14:textId="77777777" w:rsidR="00AC263C" w:rsidRPr="00926E7E" w:rsidRDefault="00AC263C" w:rsidP="007B5D65">
      <w:pPr>
        <w:pStyle w:val="SingleTxtG"/>
        <w:keepNext/>
        <w:keepLines/>
      </w:pPr>
      <w:r w:rsidRPr="00926E7E">
        <w:lastRenderedPageBreak/>
        <w:t>3.</w:t>
      </w:r>
      <w:r w:rsidRPr="00926E7E">
        <w:tab/>
        <w:t xml:space="preserve">Harmoniser </w:t>
      </w:r>
      <w:r>
        <w:t xml:space="preserve">entre elles </w:t>
      </w:r>
      <w:r w:rsidRPr="00926E7E">
        <w:t>le</w:t>
      </w:r>
      <w:r>
        <w:t>s dispositions du</w:t>
      </w:r>
      <w:r w:rsidRPr="00926E7E">
        <w:t xml:space="preserve"> Règlement type et </w:t>
      </w:r>
      <w:r>
        <w:t>celles des textes applicables aux</w:t>
      </w:r>
      <w:r w:rsidR="005A4109">
        <w:t xml:space="preserve"> </w:t>
      </w:r>
      <w:r>
        <w:t xml:space="preserve">différents </w:t>
      </w:r>
      <w:r w:rsidRPr="00926E7E">
        <w:t>modes de transport</w:t>
      </w:r>
      <w:r>
        <w:t>,</w:t>
      </w:r>
      <w:r w:rsidRPr="00926E7E">
        <w:t xml:space="preserve"> </w:t>
      </w:r>
      <w:proofErr w:type="gramStart"/>
      <w:r w:rsidRPr="00926E7E">
        <w:t>de manière à ce</w:t>
      </w:r>
      <w:proofErr w:type="gramEnd"/>
      <w:r w:rsidRPr="00926E7E">
        <w:t xml:space="preserve"> que les numéros ONU </w:t>
      </w:r>
      <w:r>
        <w:t>aient</w:t>
      </w:r>
      <w:r w:rsidRPr="00926E7E">
        <w:t xml:space="preserve"> le même nom et la même description</w:t>
      </w:r>
      <w:r>
        <w:t>,</w:t>
      </w:r>
      <w:r w:rsidRPr="00926E7E">
        <w:t xml:space="preserve"> permettrait</w:t>
      </w:r>
      <w:r w:rsidR="005A4109">
        <w:t xml:space="preserve"> </w:t>
      </w:r>
      <w:r>
        <w:t>d</w:t>
      </w:r>
      <w:r w:rsidR="002A7AE9">
        <w:t>’</w:t>
      </w:r>
      <w:r>
        <w:t xml:space="preserve">appliquer </w:t>
      </w:r>
      <w:r w:rsidRPr="00926E7E">
        <w:t xml:space="preserve">une approche plus rationnelle et de simplifier les formalités administratives durant le transport. </w:t>
      </w:r>
    </w:p>
    <w:p w14:paraId="5BE2AD2D" w14:textId="77777777" w:rsidR="00AC263C" w:rsidRPr="003848EF" w:rsidRDefault="003848EF" w:rsidP="003848EF">
      <w:pPr>
        <w:pStyle w:val="HChG"/>
      </w:pPr>
      <w:r>
        <w:rPr>
          <w:lang w:eastAsia="zh-CN"/>
        </w:rPr>
        <w:tab/>
      </w:r>
      <w:r>
        <w:rPr>
          <w:lang w:eastAsia="zh-CN"/>
        </w:rPr>
        <w:tab/>
      </w:r>
      <w:r w:rsidR="00AC263C" w:rsidRPr="00926E7E">
        <w:rPr>
          <w:lang w:eastAsia="zh-CN"/>
        </w:rPr>
        <w:t>Contexte</w:t>
      </w:r>
    </w:p>
    <w:p w14:paraId="221A7649" w14:textId="77777777" w:rsidR="00B9298B" w:rsidRDefault="00AC263C" w:rsidP="003848EF">
      <w:pPr>
        <w:pStyle w:val="SingleTxtG"/>
      </w:pPr>
      <w:r w:rsidRPr="00926E7E">
        <w:t>4.</w:t>
      </w:r>
      <w:r w:rsidRPr="00926E7E">
        <w:tab/>
        <w:t>Le nom et la description du</w:t>
      </w:r>
      <w:r w:rsidR="005A4109">
        <w:t xml:space="preserve"> </w:t>
      </w:r>
      <w:r>
        <w:t>No</w:t>
      </w:r>
      <w:r w:rsidRPr="00926E7E">
        <w:t xml:space="preserve"> ONU 2426, NITRATE D</w:t>
      </w:r>
      <w:r w:rsidR="002A7AE9">
        <w:t>’</w:t>
      </w:r>
      <w:r w:rsidRPr="00926E7E">
        <w:t>AMMONIUM, sont les suivants dans le Règlement type</w:t>
      </w:r>
      <w:r>
        <w:t>,</w:t>
      </w:r>
      <w:r w:rsidRPr="00926E7E">
        <w:t xml:space="preserve"> le RID et l</w:t>
      </w:r>
      <w:r w:rsidR="002A7AE9">
        <w:t>’</w:t>
      </w:r>
      <w:r w:rsidRPr="00926E7E">
        <w:t>ADR</w:t>
      </w:r>
      <w:r w:rsidR="005A4109">
        <w:t xml:space="preserve"> </w:t>
      </w:r>
      <w:r w:rsidRPr="00926E7E">
        <w:t>:</w:t>
      </w:r>
    </w:p>
    <w:tbl>
      <w:tblPr>
        <w:tblStyle w:val="TableGrid"/>
        <w:tblW w:w="7371" w:type="dxa"/>
        <w:tblInd w:w="1134" w:type="dxa"/>
        <w:tblLook w:val="04A0" w:firstRow="1" w:lastRow="0" w:firstColumn="1" w:lastColumn="0" w:noHBand="0" w:noVBand="1"/>
      </w:tblPr>
      <w:tblGrid>
        <w:gridCol w:w="1367"/>
        <w:gridCol w:w="2658"/>
        <w:gridCol w:w="3346"/>
      </w:tblGrid>
      <w:tr w:rsidR="002A7AE9" w:rsidRPr="006D10F3" w14:paraId="1C311BDA" w14:textId="77777777" w:rsidTr="006D10F3">
        <w:tc>
          <w:tcPr>
            <w:tcW w:w="1384" w:type="dxa"/>
          </w:tcPr>
          <w:p w14:paraId="6C388750" w14:textId="77777777" w:rsidR="002A7AE9" w:rsidRPr="006D10F3" w:rsidRDefault="002A7AE9" w:rsidP="00371675">
            <w:pPr>
              <w:pStyle w:val="SingleTxtG"/>
              <w:spacing w:before="60" w:after="60"/>
              <w:ind w:left="57" w:right="57"/>
              <w:jc w:val="center"/>
              <w:rPr>
                <w:rFonts w:asciiTheme="majorBidi" w:hAnsiTheme="majorBidi" w:cstheme="majorBidi"/>
              </w:rPr>
            </w:pPr>
            <w:r w:rsidRPr="006D10F3">
              <w:rPr>
                <w:rFonts w:asciiTheme="majorBidi" w:hAnsiTheme="majorBidi" w:cstheme="majorBidi"/>
              </w:rPr>
              <w:t>Numéro ONU</w:t>
            </w:r>
          </w:p>
        </w:tc>
        <w:tc>
          <w:tcPr>
            <w:tcW w:w="2693" w:type="dxa"/>
          </w:tcPr>
          <w:p w14:paraId="4FABFC20" w14:textId="77777777" w:rsidR="002A7AE9" w:rsidRPr="006D10F3" w:rsidRDefault="002A7AE9" w:rsidP="00371675">
            <w:pPr>
              <w:pStyle w:val="SingleTxtG"/>
              <w:spacing w:before="60" w:after="60"/>
              <w:ind w:left="57" w:right="57"/>
              <w:jc w:val="center"/>
              <w:rPr>
                <w:rFonts w:asciiTheme="majorBidi" w:hAnsiTheme="majorBidi" w:cstheme="majorBidi"/>
              </w:rPr>
            </w:pPr>
            <w:r w:rsidRPr="006D10F3">
              <w:rPr>
                <w:rFonts w:asciiTheme="majorBidi" w:hAnsiTheme="majorBidi" w:cstheme="majorBidi"/>
              </w:rPr>
              <w:t>Règlement type</w:t>
            </w:r>
          </w:p>
        </w:tc>
        <w:tc>
          <w:tcPr>
            <w:tcW w:w="3402" w:type="dxa"/>
          </w:tcPr>
          <w:p w14:paraId="13F43F67" w14:textId="77777777" w:rsidR="002A7AE9" w:rsidRPr="006D10F3" w:rsidRDefault="002A7AE9" w:rsidP="00371675">
            <w:pPr>
              <w:pStyle w:val="SingleTxtG"/>
              <w:spacing w:before="60" w:after="60"/>
              <w:ind w:left="57" w:right="57"/>
              <w:jc w:val="center"/>
              <w:rPr>
                <w:rFonts w:asciiTheme="majorBidi" w:hAnsiTheme="majorBidi" w:cstheme="majorBidi"/>
              </w:rPr>
            </w:pPr>
            <w:r w:rsidRPr="006D10F3">
              <w:rPr>
                <w:rFonts w:asciiTheme="majorBidi" w:hAnsiTheme="majorBidi" w:cstheme="majorBidi"/>
              </w:rPr>
              <w:t>RID et ADR</w:t>
            </w:r>
          </w:p>
        </w:tc>
      </w:tr>
      <w:tr w:rsidR="002A7AE9" w:rsidRPr="006D10F3" w14:paraId="1AEFC0C6" w14:textId="77777777" w:rsidTr="006D10F3">
        <w:tc>
          <w:tcPr>
            <w:tcW w:w="1384" w:type="dxa"/>
            <w:vAlign w:val="center"/>
          </w:tcPr>
          <w:p w14:paraId="23062DF9" w14:textId="77777777" w:rsidR="002A7AE9" w:rsidRPr="006D10F3" w:rsidRDefault="002A7AE9" w:rsidP="00371675">
            <w:pPr>
              <w:spacing w:before="60" w:after="60"/>
              <w:ind w:left="57" w:right="57"/>
              <w:jc w:val="center"/>
              <w:rPr>
                <w:rFonts w:asciiTheme="majorBidi" w:hAnsiTheme="majorBidi" w:cstheme="majorBidi"/>
                <w:lang w:eastAsia="es-ES"/>
              </w:rPr>
            </w:pPr>
            <w:r w:rsidRPr="006D10F3">
              <w:rPr>
                <w:rFonts w:asciiTheme="majorBidi" w:hAnsiTheme="majorBidi" w:cstheme="majorBidi"/>
                <w:lang w:eastAsia="es-ES"/>
              </w:rPr>
              <w:t>2426</w:t>
            </w:r>
          </w:p>
        </w:tc>
        <w:tc>
          <w:tcPr>
            <w:tcW w:w="2693" w:type="dxa"/>
          </w:tcPr>
          <w:p w14:paraId="3F1E70A4" w14:textId="77777777" w:rsidR="002A7AE9" w:rsidRPr="006D10F3" w:rsidRDefault="002A7AE9" w:rsidP="00371675">
            <w:pPr>
              <w:spacing w:before="60" w:after="60"/>
              <w:ind w:left="57" w:right="57"/>
              <w:rPr>
                <w:rFonts w:asciiTheme="majorBidi" w:hAnsiTheme="majorBidi" w:cstheme="majorBidi"/>
                <w:lang w:eastAsia="es-ES"/>
              </w:rPr>
            </w:pPr>
            <w:r w:rsidRPr="006D10F3">
              <w:rPr>
                <w:rFonts w:asciiTheme="majorBidi" w:hAnsiTheme="majorBidi" w:cstheme="majorBidi"/>
                <w:lang w:eastAsia="es-ES"/>
              </w:rPr>
              <w:t>NITRATE D’AMMONIUM LIQUIDE (solution chaude concentrée)</w:t>
            </w:r>
          </w:p>
        </w:tc>
        <w:tc>
          <w:tcPr>
            <w:tcW w:w="3402" w:type="dxa"/>
          </w:tcPr>
          <w:p w14:paraId="0DD40C7D" w14:textId="77777777" w:rsidR="002A7AE9" w:rsidRPr="006D10F3" w:rsidRDefault="002A7AE9" w:rsidP="00371675">
            <w:pPr>
              <w:spacing w:before="60" w:after="60"/>
              <w:ind w:left="57" w:right="57"/>
              <w:rPr>
                <w:rFonts w:asciiTheme="majorBidi" w:hAnsiTheme="majorBidi" w:cstheme="majorBidi"/>
                <w:color w:val="000000"/>
                <w:lang w:eastAsia="es-ES"/>
              </w:rPr>
            </w:pPr>
            <w:bookmarkStart w:id="0" w:name="_Hlk34317965"/>
            <w:r w:rsidRPr="006D10F3">
              <w:rPr>
                <w:rFonts w:asciiTheme="majorBidi" w:hAnsiTheme="majorBidi" w:cstheme="majorBidi"/>
                <w:color w:val="000000"/>
                <w:lang w:eastAsia="es-ES"/>
              </w:rPr>
              <w:t xml:space="preserve">NITRATE D’AMMONIUM LIQUIDE </w:t>
            </w:r>
            <w:r w:rsidRPr="006D10F3">
              <w:rPr>
                <w:rFonts w:asciiTheme="majorBidi" w:hAnsiTheme="majorBidi" w:cstheme="majorBidi"/>
                <w:strike/>
                <w:color w:val="FF0000"/>
                <w:lang w:eastAsia="es-ES"/>
              </w:rPr>
              <w:t>(</w:t>
            </w:r>
            <w:r w:rsidRPr="006D10F3">
              <w:rPr>
                <w:rFonts w:asciiTheme="majorBidi" w:hAnsiTheme="majorBidi" w:cstheme="majorBidi"/>
                <w:color w:val="008080"/>
                <w:u w:val="single"/>
                <w:lang w:eastAsia="es-ES"/>
              </w:rPr>
              <w:t xml:space="preserve">, </w:t>
            </w:r>
            <w:r w:rsidRPr="006D10F3">
              <w:rPr>
                <w:rFonts w:asciiTheme="majorBidi" w:hAnsiTheme="majorBidi" w:cstheme="majorBidi"/>
                <w:color w:val="000000"/>
                <w:lang w:eastAsia="es-ES"/>
              </w:rPr>
              <w:t>solution chaude concentrée</w:t>
            </w:r>
            <w:r w:rsidRPr="006D10F3">
              <w:rPr>
                <w:rFonts w:asciiTheme="majorBidi" w:hAnsiTheme="majorBidi" w:cstheme="majorBidi"/>
                <w:strike/>
                <w:color w:val="FF0000"/>
                <w:lang w:eastAsia="es-ES"/>
              </w:rPr>
              <w:t>)</w:t>
            </w:r>
            <w:r w:rsidRPr="006D10F3">
              <w:rPr>
                <w:rFonts w:asciiTheme="majorBidi" w:hAnsiTheme="majorBidi" w:cstheme="majorBidi"/>
                <w:color w:val="008080"/>
                <w:u w:val="single"/>
                <w:lang w:eastAsia="es-ES"/>
              </w:rPr>
              <w:t xml:space="preserve"> à plus de 80</w:t>
            </w:r>
            <w:r w:rsidR="00371675">
              <w:rPr>
                <w:rFonts w:asciiTheme="majorBidi" w:hAnsiTheme="majorBidi" w:cstheme="majorBidi"/>
                <w:color w:val="008080"/>
                <w:u w:val="single"/>
                <w:lang w:eastAsia="es-ES"/>
              </w:rPr>
              <w:t> </w:t>
            </w:r>
            <w:r w:rsidRPr="006D10F3">
              <w:rPr>
                <w:rFonts w:asciiTheme="majorBidi" w:hAnsiTheme="majorBidi" w:cstheme="majorBidi"/>
                <w:color w:val="008080"/>
                <w:u w:val="single"/>
                <w:lang w:eastAsia="es-ES"/>
              </w:rPr>
              <w:t>% mais à 93</w:t>
            </w:r>
            <w:r w:rsidR="00371675">
              <w:rPr>
                <w:rFonts w:asciiTheme="majorBidi" w:hAnsiTheme="majorBidi" w:cstheme="majorBidi"/>
                <w:color w:val="008080"/>
                <w:u w:val="single"/>
                <w:lang w:eastAsia="es-ES"/>
              </w:rPr>
              <w:t> </w:t>
            </w:r>
            <w:r w:rsidRPr="006D10F3">
              <w:rPr>
                <w:rFonts w:asciiTheme="majorBidi" w:hAnsiTheme="majorBidi" w:cstheme="majorBidi"/>
                <w:color w:val="008080"/>
                <w:u w:val="single"/>
                <w:lang w:eastAsia="es-ES"/>
              </w:rPr>
              <w:t>% au maximum</w:t>
            </w:r>
            <w:bookmarkEnd w:id="0"/>
          </w:p>
        </w:tc>
      </w:tr>
    </w:tbl>
    <w:p w14:paraId="7AC32998" w14:textId="77777777" w:rsidR="002A7AE9" w:rsidRPr="002A7AE9" w:rsidRDefault="002A7AE9" w:rsidP="00907E20">
      <w:pPr>
        <w:pStyle w:val="SingleTxtG"/>
        <w:spacing w:before="120"/>
        <w:rPr>
          <w:lang w:val="fr-FR"/>
        </w:rPr>
      </w:pPr>
      <w:r w:rsidRPr="002A7AE9">
        <w:rPr>
          <w:lang w:val="fr-FR"/>
        </w:rPr>
        <w:t>5.</w:t>
      </w:r>
      <w:r w:rsidRPr="002A7AE9">
        <w:rPr>
          <w:lang w:val="fr-FR"/>
        </w:rPr>
        <w:tab/>
        <w:t>À la suite du nom figurant dans le RID et l</w:t>
      </w:r>
      <w:r>
        <w:rPr>
          <w:lang w:val="fr-FR"/>
        </w:rPr>
        <w:t>’</w:t>
      </w:r>
      <w:r w:rsidRPr="002A7AE9">
        <w:rPr>
          <w:lang w:val="fr-FR"/>
        </w:rPr>
        <w:t>ADR sont énoncées des restrictions relatives au contenu du nitrate d</w:t>
      </w:r>
      <w:r>
        <w:rPr>
          <w:lang w:val="fr-FR"/>
        </w:rPr>
        <w:t>’</w:t>
      </w:r>
      <w:r w:rsidRPr="002A7AE9">
        <w:rPr>
          <w:lang w:val="fr-FR"/>
        </w:rPr>
        <w:t>ammonium que l</w:t>
      </w:r>
      <w:r>
        <w:rPr>
          <w:lang w:val="fr-FR"/>
        </w:rPr>
        <w:t>’</w:t>
      </w:r>
      <w:r w:rsidRPr="002A7AE9">
        <w:rPr>
          <w:lang w:val="fr-FR"/>
        </w:rPr>
        <w:t>on ne trouve pas dans le Règlement type.</w:t>
      </w:r>
    </w:p>
    <w:p w14:paraId="2C1F98DE" w14:textId="77777777" w:rsidR="002A7AE9" w:rsidRPr="002A7AE9" w:rsidRDefault="002A7AE9" w:rsidP="002A7AE9">
      <w:pPr>
        <w:pStyle w:val="SingleTxtG"/>
        <w:rPr>
          <w:lang w:val="fr-FR"/>
        </w:rPr>
      </w:pPr>
      <w:r w:rsidRPr="002A7AE9">
        <w:rPr>
          <w:lang w:val="fr-FR"/>
        </w:rPr>
        <w:t>6.</w:t>
      </w:r>
      <w:r w:rsidRPr="002A7AE9">
        <w:rPr>
          <w:lang w:val="fr-FR"/>
        </w:rPr>
        <w:tab/>
        <w:t>La disposition spéciale 252, dont le texte suit, est applicable au No</w:t>
      </w:r>
      <w:r w:rsidR="00F4638B">
        <w:rPr>
          <w:lang w:val="fr-FR"/>
        </w:rPr>
        <w:t> </w:t>
      </w:r>
      <w:r w:rsidRPr="002A7AE9">
        <w:rPr>
          <w:lang w:val="fr-FR"/>
        </w:rPr>
        <w:t>ONU 2426 dans le Règlement type tout comme dans le RID et l</w:t>
      </w:r>
      <w:r>
        <w:rPr>
          <w:lang w:val="fr-FR"/>
        </w:rPr>
        <w:t>’</w:t>
      </w:r>
      <w:r w:rsidRPr="002A7AE9">
        <w:rPr>
          <w:lang w:val="fr-FR"/>
        </w:rPr>
        <w:t>ADR</w:t>
      </w:r>
      <w:r w:rsidR="00F4638B">
        <w:rPr>
          <w:lang w:val="fr-FR"/>
        </w:rPr>
        <w:t> </w:t>
      </w:r>
      <w:r w:rsidRPr="002A7AE9">
        <w:rPr>
          <w:lang w:val="fr-FR"/>
        </w:rPr>
        <w:t>:</w:t>
      </w:r>
    </w:p>
    <w:p w14:paraId="53383ECF" w14:textId="77777777" w:rsidR="002A7AE9" w:rsidRPr="002A7AE9" w:rsidRDefault="002A7AE9" w:rsidP="00F4638B">
      <w:pPr>
        <w:pStyle w:val="SingleTxtG"/>
        <w:ind w:left="1701"/>
        <w:rPr>
          <w:lang w:val="fr-FR"/>
        </w:rPr>
      </w:pPr>
      <w:r w:rsidRPr="002A7AE9">
        <w:rPr>
          <w:lang w:val="fr-FR"/>
        </w:rPr>
        <w:t>« Les solutions aqueuses de nitrate d</w:t>
      </w:r>
      <w:r>
        <w:rPr>
          <w:lang w:val="fr-FR"/>
        </w:rPr>
        <w:t>’</w:t>
      </w:r>
      <w:r w:rsidRPr="002A7AE9">
        <w:rPr>
          <w:lang w:val="fr-FR"/>
        </w:rPr>
        <w:t>ammonium ne contenant pas plus de 0,2</w:t>
      </w:r>
      <w:r w:rsidR="00F4638B">
        <w:rPr>
          <w:lang w:val="fr-FR"/>
        </w:rPr>
        <w:t> </w:t>
      </w:r>
      <w:r w:rsidRPr="002A7AE9">
        <w:rPr>
          <w:lang w:val="fr-FR"/>
        </w:rPr>
        <w:t>% de matières combustibles et dont la concentration ne dépasse pas 80</w:t>
      </w:r>
      <w:r w:rsidR="00F4638B">
        <w:rPr>
          <w:lang w:val="fr-FR"/>
        </w:rPr>
        <w:t> </w:t>
      </w:r>
      <w:r w:rsidRPr="002A7AE9">
        <w:rPr>
          <w:lang w:val="fr-FR"/>
        </w:rPr>
        <w:t>% ne sont pas soumises aux prescriptions de l</w:t>
      </w:r>
      <w:r>
        <w:rPr>
          <w:lang w:val="fr-FR"/>
        </w:rPr>
        <w:t>’</w:t>
      </w:r>
      <w:r w:rsidRPr="002A7AE9">
        <w:rPr>
          <w:lang w:val="fr-FR"/>
        </w:rPr>
        <w:t>ADR, pour autant que le nitrate d</w:t>
      </w:r>
      <w:r>
        <w:rPr>
          <w:lang w:val="fr-FR"/>
        </w:rPr>
        <w:t>’</w:t>
      </w:r>
      <w:r w:rsidRPr="002A7AE9">
        <w:rPr>
          <w:lang w:val="fr-FR"/>
        </w:rPr>
        <w:t>ammonium reste en solution dans toutes les conditions de transport. ».</w:t>
      </w:r>
    </w:p>
    <w:p w14:paraId="2FCE73F3" w14:textId="77777777" w:rsidR="002A7AE9" w:rsidRPr="002A7AE9" w:rsidRDefault="002A7AE9" w:rsidP="002A7AE9">
      <w:pPr>
        <w:pStyle w:val="SingleTxtG"/>
        <w:rPr>
          <w:lang w:val="fr-FR"/>
        </w:rPr>
      </w:pPr>
      <w:r w:rsidRPr="002A7AE9">
        <w:rPr>
          <w:lang w:val="fr-FR"/>
        </w:rPr>
        <w:t>7.</w:t>
      </w:r>
      <w:r w:rsidRPr="002A7AE9">
        <w:rPr>
          <w:lang w:val="fr-FR"/>
        </w:rPr>
        <w:tab/>
        <w:t>En outre, dans le RID et l</w:t>
      </w:r>
      <w:r>
        <w:rPr>
          <w:lang w:val="fr-FR"/>
        </w:rPr>
        <w:t>’</w:t>
      </w:r>
      <w:r w:rsidRPr="002A7AE9">
        <w:rPr>
          <w:lang w:val="fr-FR"/>
        </w:rPr>
        <w:t>ADR, la disposition spéciale 644 est applicable au No</w:t>
      </w:r>
      <w:r w:rsidR="00F4638B">
        <w:rPr>
          <w:lang w:val="fr-FR"/>
        </w:rPr>
        <w:t> </w:t>
      </w:r>
      <w:r w:rsidRPr="002A7AE9">
        <w:rPr>
          <w:lang w:val="fr-FR"/>
        </w:rPr>
        <w:t>ONU 2426 (et à lui seul) et indique ceci :</w:t>
      </w:r>
    </w:p>
    <w:p w14:paraId="1E430892" w14:textId="77777777" w:rsidR="002A7AE9" w:rsidRPr="002A7AE9" w:rsidRDefault="002A7AE9" w:rsidP="003418CA">
      <w:pPr>
        <w:pStyle w:val="SingleTxtG"/>
        <w:ind w:left="1701"/>
      </w:pPr>
      <w:r w:rsidRPr="002A7AE9">
        <w:rPr>
          <w:lang w:val="fr-FR"/>
        </w:rPr>
        <w:t>« </w:t>
      </w:r>
      <w:bookmarkStart w:id="1" w:name="_Hlk34318172"/>
      <w:r w:rsidRPr="002A7AE9">
        <w:rPr>
          <w:lang w:val="fr-FR"/>
        </w:rPr>
        <w:t>L</w:t>
      </w:r>
      <w:r w:rsidRPr="002A7AE9">
        <w:t>e transport de cette matière est admis, à condition que</w:t>
      </w:r>
      <w:r w:rsidR="003418CA">
        <w:t xml:space="preserve"> </w:t>
      </w:r>
      <w:r w:rsidRPr="002A7AE9">
        <w:t>:</w:t>
      </w:r>
    </w:p>
    <w:p w14:paraId="0CAC93F9" w14:textId="77777777" w:rsidR="002A7AE9" w:rsidRPr="002A7AE9" w:rsidRDefault="002A7AE9" w:rsidP="00606645">
      <w:pPr>
        <w:pStyle w:val="SingleTxtG"/>
        <w:ind w:left="1701"/>
      </w:pPr>
      <w:r w:rsidRPr="002A7AE9">
        <w:t>1.</w:t>
      </w:r>
      <w:r w:rsidR="003418CA">
        <w:tab/>
        <w:t>L</w:t>
      </w:r>
      <w:r w:rsidRPr="002A7AE9">
        <w:t>e pH mesuré d</w:t>
      </w:r>
      <w:r>
        <w:t>’</w:t>
      </w:r>
      <w:r w:rsidRPr="002A7AE9">
        <w:t>une solution aqueuse à 10</w:t>
      </w:r>
      <w:r w:rsidR="003418CA">
        <w:t> </w:t>
      </w:r>
      <w:r w:rsidRPr="002A7AE9">
        <w:t>% de la matière transportée soit compris entre 5 et 7</w:t>
      </w:r>
      <w:r w:rsidR="003418CA">
        <w:t> </w:t>
      </w:r>
      <w:r w:rsidRPr="002A7AE9">
        <w:t>;</w:t>
      </w:r>
    </w:p>
    <w:p w14:paraId="53B55D25" w14:textId="77777777" w:rsidR="002A7AE9" w:rsidRPr="002A7AE9" w:rsidRDefault="002A7AE9" w:rsidP="00606645">
      <w:pPr>
        <w:pStyle w:val="SingleTxtG"/>
        <w:ind w:left="1701"/>
        <w:rPr>
          <w:lang w:val="fr-FR"/>
        </w:rPr>
      </w:pPr>
      <w:r w:rsidRPr="002A7AE9">
        <w:t>2.</w:t>
      </w:r>
      <w:r w:rsidR="003418CA">
        <w:tab/>
        <w:t>L</w:t>
      </w:r>
      <w:r w:rsidRPr="002A7AE9">
        <w:t>a solution ne contienne pas plus de 0,2</w:t>
      </w:r>
      <w:r w:rsidR="003418CA">
        <w:t> </w:t>
      </w:r>
      <w:r w:rsidRPr="002A7AE9">
        <w:t>% de matière combustible ou de composés du chlore en quantités telles que la teneur en chlore dépasse 0,02</w:t>
      </w:r>
      <w:r w:rsidR="003418CA">
        <w:t> </w:t>
      </w:r>
      <w:r w:rsidRPr="002A7AE9">
        <w:t>%.</w:t>
      </w:r>
      <w:r w:rsidRPr="002A7AE9">
        <w:rPr>
          <w:lang w:val="fr-FR"/>
        </w:rPr>
        <w:t> ».</w:t>
      </w:r>
    </w:p>
    <w:bookmarkEnd w:id="1"/>
    <w:p w14:paraId="6FC33C4A" w14:textId="77777777" w:rsidR="002A7AE9" w:rsidRPr="002A7AE9" w:rsidRDefault="002A7AE9" w:rsidP="00DB1B62">
      <w:pPr>
        <w:pStyle w:val="SingleTxtG"/>
        <w:rPr>
          <w:lang w:val="fr-FR"/>
        </w:rPr>
      </w:pPr>
      <w:r w:rsidRPr="002A7AE9">
        <w:rPr>
          <w:lang w:val="fr-FR"/>
        </w:rPr>
        <w:t>8.</w:t>
      </w:r>
      <w:r w:rsidRPr="002A7AE9">
        <w:rPr>
          <w:lang w:val="fr-FR"/>
        </w:rPr>
        <w:tab/>
        <w:t>Comme il a été signalé pendant l</w:t>
      </w:r>
      <w:r>
        <w:rPr>
          <w:lang w:val="fr-FR"/>
        </w:rPr>
        <w:t>’</w:t>
      </w:r>
      <w:r w:rsidRPr="002A7AE9">
        <w:rPr>
          <w:lang w:val="fr-FR"/>
        </w:rPr>
        <w:t>examen du document ECE/TRANS/WP.15/AC.1/</w:t>
      </w:r>
      <w:r w:rsidR="004347E4">
        <w:rPr>
          <w:lang w:val="fr-FR"/>
        </w:rPr>
        <w:t xml:space="preserve"> </w:t>
      </w:r>
      <w:r w:rsidRPr="002A7AE9">
        <w:rPr>
          <w:lang w:val="fr-FR"/>
        </w:rPr>
        <w:t>2019/32, la disposition spéciale 252 explique la mention d</w:t>
      </w:r>
      <w:r>
        <w:rPr>
          <w:lang w:val="fr-FR"/>
        </w:rPr>
        <w:t>’</w:t>
      </w:r>
      <w:r w:rsidRPr="002A7AE9">
        <w:rPr>
          <w:lang w:val="fr-FR"/>
        </w:rPr>
        <w:t>un seuil inférieur dans la description du</w:t>
      </w:r>
      <w:r w:rsidR="005A4109">
        <w:rPr>
          <w:lang w:val="fr-FR"/>
        </w:rPr>
        <w:t xml:space="preserve"> </w:t>
      </w:r>
      <w:r w:rsidRPr="002A7AE9">
        <w:rPr>
          <w:lang w:val="fr-FR"/>
        </w:rPr>
        <w:t>No ONU 2426.</w:t>
      </w:r>
    </w:p>
    <w:p w14:paraId="2FECD9A5" w14:textId="77777777" w:rsidR="002A7AE9" w:rsidRPr="002A7AE9" w:rsidRDefault="002A7AE9" w:rsidP="00DB1B62">
      <w:pPr>
        <w:pStyle w:val="SingleTxtG"/>
        <w:rPr>
          <w:lang w:val="fr-FR"/>
        </w:rPr>
      </w:pPr>
      <w:r w:rsidRPr="002A7AE9">
        <w:rPr>
          <w:lang w:val="fr-FR"/>
        </w:rPr>
        <w:t>9.</w:t>
      </w:r>
      <w:r w:rsidRPr="002A7AE9">
        <w:rPr>
          <w:lang w:val="fr-FR"/>
        </w:rPr>
        <w:tab/>
        <w:t>Le seuil supérieur provient des conditions de transport du</w:t>
      </w:r>
      <w:r w:rsidR="005A4109">
        <w:rPr>
          <w:lang w:val="fr-FR"/>
        </w:rPr>
        <w:t xml:space="preserve"> </w:t>
      </w:r>
      <w:r w:rsidRPr="002A7AE9">
        <w:rPr>
          <w:lang w:val="fr-FR"/>
        </w:rPr>
        <w:t>No ONU 2426 selon le Code maritime international des marchandises dangereuses (IMDG).</w:t>
      </w:r>
    </w:p>
    <w:p w14:paraId="2C666509" w14:textId="77777777" w:rsidR="002A7AE9" w:rsidRPr="002A7AE9" w:rsidRDefault="00626758" w:rsidP="00626758">
      <w:pPr>
        <w:pStyle w:val="HChG"/>
        <w:rPr>
          <w:lang w:val="fr-FR"/>
        </w:rPr>
      </w:pPr>
      <w:r>
        <w:rPr>
          <w:lang w:val="fr-FR"/>
        </w:rPr>
        <w:tab/>
      </w:r>
      <w:r>
        <w:rPr>
          <w:lang w:val="fr-FR"/>
        </w:rPr>
        <w:tab/>
      </w:r>
      <w:r w:rsidR="002A7AE9" w:rsidRPr="002A7AE9">
        <w:rPr>
          <w:lang w:val="fr-FR"/>
        </w:rPr>
        <w:t>Transport du NITRATE D</w:t>
      </w:r>
      <w:r w:rsidR="002A7AE9">
        <w:rPr>
          <w:lang w:val="fr-FR"/>
        </w:rPr>
        <w:t>’</w:t>
      </w:r>
      <w:r w:rsidR="002A7AE9" w:rsidRPr="002A7AE9">
        <w:rPr>
          <w:lang w:val="fr-FR"/>
        </w:rPr>
        <w:t>AMMONIUM LIQUIDE (solution chaude concentrée) selon d</w:t>
      </w:r>
      <w:r w:rsidR="002A7AE9">
        <w:rPr>
          <w:lang w:val="fr-FR"/>
        </w:rPr>
        <w:t>’</w:t>
      </w:r>
      <w:r w:rsidR="002A7AE9" w:rsidRPr="002A7AE9">
        <w:rPr>
          <w:lang w:val="fr-FR"/>
        </w:rPr>
        <w:t>autres règlements modaux</w:t>
      </w:r>
    </w:p>
    <w:p w14:paraId="6F3ED8CB" w14:textId="77777777" w:rsidR="002A7AE9" w:rsidRPr="002A7AE9" w:rsidRDefault="002A7AE9" w:rsidP="00626758">
      <w:pPr>
        <w:pStyle w:val="H1G"/>
        <w:rPr>
          <w:lang w:val="fr-FR"/>
        </w:rPr>
      </w:pPr>
      <w:r w:rsidRPr="002A7AE9">
        <w:rPr>
          <w:lang w:val="fr-FR"/>
        </w:rPr>
        <w:tab/>
      </w:r>
      <w:r w:rsidRPr="002A7AE9">
        <w:rPr>
          <w:lang w:val="fr-FR"/>
        </w:rPr>
        <w:tab/>
        <w:t>Transport du No</w:t>
      </w:r>
      <w:r w:rsidR="004535BD">
        <w:rPr>
          <w:lang w:val="fr-FR"/>
        </w:rPr>
        <w:t> </w:t>
      </w:r>
      <w:r w:rsidRPr="002A7AE9">
        <w:rPr>
          <w:lang w:val="fr-FR"/>
        </w:rPr>
        <w:t>ONU 2426 selon le Code IMDG</w:t>
      </w:r>
    </w:p>
    <w:p w14:paraId="590FCB5F" w14:textId="77777777" w:rsidR="002A7AE9" w:rsidRPr="002A7AE9" w:rsidRDefault="002A7AE9" w:rsidP="002A7AE9">
      <w:pPr>
        <w:pStyle w:val="SingleTxtG"/>
        <w:rPr>
          <w:lang w:val="fr-FR"/>
        </w:rPr>
      </w:pPr>
      <w:r w:rsidRPr="002A7AE9">
        <w:rPr>
          <w:lang w:val="fr-FR"/>
        </w:rPr>
        <w:t>10.</w:t>
      </w:r>
      <w:r w:rsidRPr="002A7AE9">
        <w:rPr>
          <w:lang w:val="fr-FR"/>
        </w:rPr>
        <w:tab/>
        <w:t>Dans le Code IMDG, le transport du No</w:t>
      </w:r>
      <w:r w:rsidR="00F5758C">
        <w:rPr>
          <w:lang w:val="fr-FR"/>
        </w:rPr>
        <w:t> </w:t>
      </w:r>
      <w:r w:rsidRPr="002A7AE9">
        <w:rPr>
          <w:lang w:val="fr-FR"/>
        </w:rPr>
        <w:t>ONU 2426 est soumis aux conditions suivantes, comme il est expliqué dans la colonne (17),</w:t>
      </w:r>
      <w:r w:rsidR="005A4109">
        <w:rPr>
          <w:lang w:val="fr-FR"/>
        </w:rPr>
        <w:t xml:space="preserve"> </w:t>
      </w:r>
      <w:r w:rsidRPr="002A7AE9">
        <w:rPr>
          <w:lang w:val="fr-FR"/>
        </w:rPr>
        <w:t>Propriétés et observations :</w:t>
      </w:r>
    </w:p>
    <w:p w14:paraId="4DF9DD71" w14:textId="77777777" w:rsidR="002A7AE9" w:rsidRPr="002A7AE9" w:rsidRDefault="002A7AE9" w:rsidP="00F5758C">
      <w:pPr>
        <w:pStyle w:val="SingleTxtG"/>
        <w:ind w:left="1701"/>
        <w:rPr>
          <w:lang w:val="fr-FR"/>
        </w:rPr>
      </w:pPr>
      <w:r w:rsidRPr="002A7AE9">
        <w:rPr>
          <w:lang w:val="fr-FR"/>
        </w:rPr>
        <w:t>« Solution aqueuse chaude contenant au plus 93</w:t>
      </w:r>
      <w:r w:rsidR="00137A8D">
        <w:rPr>
          <w:lang w:val="fr-FR"/>
        </w:rPr>
        <w:t> </w:t>
      </w:r>
      <w:r w:rsidRPr="002A7AE9">
        <w:rPr>
          <w:lang w:val="fr-FR"/>
        </w:rPr>
        <w:t>% de nitrate d</w:t>
      </w:r>
      <w:r>
        <w:rPr>
          <w:lang w:val="fr-FR"/>
        </w:rPr>
        <w:t>’</w:t>
      </w:r>
      <w:r w:rsidRPr="002A7AE9">
        <w:rPr>
          <w:lang w:val="fr-FR"/>
        </w:rPr>
        <w:t>ammonium et au plus 0,2</w:t>
      </w:r>
      <w:r w:rsidR="00F5758C">
        <w:rPr>
          <w:lang w:val="fr-FR"/>
        </w:rPr>
        <w:t> </w:t>
      </w:r>
      <w:r w:rsidRPr="002A7AE9">
        <w:rPr>
          <w:lang w:val="fr-FR"/>
        </w:rPr>
        <w:t>% de matières combustibles (y compris les matières organiques exprimées en équivalent carbone) à l</w:t>
      </w:r>
      <w:r>
        <w:rPr>
          <w:lang w:val="fr-FR"/>
        </w:rPr>
        <w:t>’</w:t>
      </w:r>
      <w:r w:rsidRPr="002A7AE9">
        <w:rPr>
          <w:lang w:val="fr-FR"/>
        </w:rPr>
        <w:t>exclusion de toute autre matière et contenant au moins 7</w:t>
      </w:r>
      <w:r w:rsidR="00F5758C">
        <w:rPr>
          <w:lang w:val="fr-FR"/>
        </w:rPr>
        <w:t> </w:t>
      </w:r>
      <w:r w:rsidRPr="002A7AE9">
        <w:rPr>
          <w:lang w:val="fr-FR"/>
        </w:rPr>
        <w:t>% d</w:t>
      </w:r>
      <w:r>
        <w:rPr>
          <w:lang w:val="fr-FR"/>
        </w:rPr>
        <w:t>’</w:t>
      </w:r>
      <w:r w:rsidRPr="002A7AE9">
        <w:rPr>
          <w:lang w:val="fr-FR"/>
        </w:rPr>
        <w:t>eau, la teneur maximale en chlore ionique ne devant pas être supérieure à 0,02</w:t>
      </w:r>
      <w:r w:rsidR="00F5758C">
        <w:rPr>
          <w:lang w:val="fr-FR"/>
        </w:rPr>
        <w:t> </w:t>
      </w:r>
      <w:r w:rsidRPr="002A7AE9">
        <w:rPr>
          <w:lang w:val="fr-FR"/>
        </w:rPr>
        <w:t xml:space="preserve">%. Risque de provoquer un incendie et une explosion au contact des matières combustibles (par exemple, bois, paille, coton. </w:t>
      </w:r>
      <w:proofErr w:type="gramStart"/>
      <w:r w:rsidRPr="002A7AE9">
        <w:rPr>
          <w:lang w:val="fr-FR"/>
        </w:rPr>
        <w:t>huile</w:t>
      </w:r>
      <w:proofErr w:type="gramEnd"/>
      <w:r w:rsidRPr="002A7AE9">
        <w:rPr>
          <w:lang w:val="fr-FR"/>
        </w:rPr>
        <w:t>, sucre, etc.), des acides forts et d</w:t>
      </w:r>
      <w:r>
        <w:rPr>
          <w:lang w:val="fr-FR"/>
        </w:rPr>
        <w:t>’</w:t>
      </w:r>
      <w:r w:rsidRPr="002A7AE9">
        <w:rPr>
          <w:lang w:val="fr-FR"/>
        </w:rPr>
        <w:t xml:space="preserve">autres matières de la classe 5.1 et risque de brûler ardemment. </w:t>
      </w:r>
      <w:bookmarkStart w:id="2" w:name="_Hlk34318457"/>
      <w:r w:rsidRPr="002A7AE9">
        <w:rPr>
          <w:lang w:val="fr-FR"/>
        </w:rPr>
        <w:t>Température de transport maximale admissible de la solution : 140</w:t>
      </w:r>
      <w:r w:rsidR="004347E4">
        <w:rPr>
          <w:lang w:val="fr-FR"/>
        </w:rPr>
        <w:t> </w:t>
      </w:r>
      <w:r w:rsidRPr="002A7AE9">
        <w:rPr>
          <w:lang w:val="fr-FR"/>
        </w:rPr>
        <w:t>°C</w:t>
      </w:r>
      <w:bookmarkEnd w:id="2"/>
      <w:r w:rsidRPr="002A7AE9">
        <w:rPr>
          <w:lang w:val="fr-FR"/>
        </w:rPr>
        <w:t xml:space="preserve">. Cette température devrait être </w:t>
      </w:r>
      <w:bookmarkStart w:id="3" w:name="_GoBack"/>
      <w:bookmarkEnd w:id="3"/>
      <w:r w:rsidRPr="002A7AE9">
        <w:rPr>
          <w:lang w:val="fr-FR"/>
        </w:rPr>
        <w:lastRenderedPageBreak/>
        <w:t>indiquée sur l</w:t>
      </w:r>
      <w:r>
        <w:rPr>
          <w:lang w:val="fr-FR"/>
        </w:rPr>
        <w:t>’</w:t>
      </w:r>
      <w:r w:rsidRPr="002A7AE9">
        <w:rPr>
          <w:lang w:val="fr-FR"/>
        </w:rPr>
        <w:t>engin de transport. L</w:t>
      </w:r>
      <w:r>
        <w:rPr>
          <w:lang w:val="fr-FR"/>
        </w:rPr>
        <w:t>’</w:t>
      </w:r>
      <w:r w:rsidRPr="002A7AE9">
        <w:rPr>
          <w:lang w:val="fr-FR"/>
        </w:rPr>
        <w:t>acidité (pH) de la cargaison lorsque la matière est diluée dans l</w:t>
      </w:r>
      <w:r>
        <w:rPr>
          <w:lang w:val="fr-FR"/>
        </w:rPr>
        <w:t>’</w:t>
      </w:r>
      <w:r w:rsidRPr="002A7AE9">
        <w:rPr>
          <w:lang w:val="fr-FR"/>
        </w:rPr>
        <w:t xml:space="preserve">eau dans la proportion de </w:t>
      </w:r>
      <w:r w:rsidR="002073B6">
        <w:rPr>
          <w:lang w:val="fr-FR"/>
        </w:rPr>
        <w:t>10</w:t>
      </w:r>
      <w:r w:rsidRPr="002A7AE9">
        <w:rPr>
          <w:lang w:val="fr-FR"/>
        </w:rPr>
        <w:t xml:space="preserve"> parties d</w:t>
      </w:r>
      <w:r>
        <w:rPr>
          <w:lang w:val="fr-FR"/>
        </w:rPr>
        <w:t>’</w:t>
      </w:r>
      <w:r w:rsidRPr="002A7AE9">
        <w:rPr>
          <w:lang w:val="fr-FR"/>
        </w:rPr>
        <w:t xml:space="preserve">eau pour une partie de matière, en masse, devrait être comprise entre 5,0 et 7,0. </w:t>
      </w:r>
      <w:bookmarkStart w:id="4" w:name="_Hlk34318595"/>
      <w:r w:rsidRPr="002A7AE9">
        <w:rPr>
          <w:lang w:val="fr-FR"/>
        </w:rPr>
        <w:t>La concentration et la température de la solution lors du changement, sa teneur en matières combustibles et en chlorure</w:t>
      </w:r>
      <w:r w:rsidR="00207AD9">
        <w:rPr>
          <w:lang w:val="fr-FR"/>
        </w:rPr>
        <w:t>s</w:t>
      </w:r>
      <w:r w:rsidRPr="002A7AE9">
        <w:rPr>
          <w:lang w:val="fr-FR"/>
        </w:rPr>
        <w:t xml:space="preserve"> ainsi qu</w:t>
      </w:r>
      <w:r>
        <w:rPr>
          <w:lang w:val="fr-FR"/>
        </w:rPr>
        <w:t>’</w:t>
      </w:r>
      <w:r w:rsidRPr="002A7AE9">
        <w:rPr>
          <w:lang w:val="fr-FR"/>
        </w:rPr>
        <w:t>en acides libres devraient être déclarées</w:t>
      </w:r>
      <w:bookmarkEnd w:id="4"/>
      <w:r w:rsidRPr="002A7AE9">
        <w:rPr>
          <w:lang w:val="fr-FR"/>
        </w:rPr>
        <w:t>. ».</w:t>
      </w:r>
    </w:p>
    <w:p w14:paraId="05B12167" w14:textId="77777777" w:rsidR="002A7AE9" w:rsidRPr="002A7AE9" w:rsidRDefault="002A7AE9" w:rsidP="00664E7C">
      <w:pPr>
        <w:pStyle w:val="SingleTxtG"/>
        <w:rPr>
          <w:lang w:val="fr-FR"/>
        </w:rPr>
      </w:pPr>
      <w:r w:rsidRPr="002A7AE9">
        <w:rPr>
          <w:lang w:val="fr-FR"/>
        </w:rPr>
        <w:t>11.</w:t>
      </w:r>
      <w:r w:rsidRPr="002A7AE9">
        <w:rPr>
          <w:lang w:val="fr-FR"/>
        </w:rPr>
        <w:tab/>
        <w:t>Outre la disposition spéciale 252 (dont le texte est reproduit au paragraphe</w:t>
      </w:r>
      <w:r w:rsidR="00A54185">
        <w:rPr>
          <w:lang w:val="fr-FR"/>
        </w:rPr>
        <w:t> </w:t>
      </w:r>
      <w:r w:rsidRPr="002A7AE9">
        <w:rPr>
          <w:lang w:val="fr-FR"/>
        </w:rPr>
        <w:t>6), la disposition spéciale 942 (applicable au transport maritime uniquement) s</w:t>
      </w:r>
      <w:r>
        <w:rPr>
          <w:lang w:val="fr-FR"/>
        </w:rPr>
        <w:t>’</w:t>
      </w:r>
      <w:r w:rsidRPr="002A7AE9">
        <w:rPr>
          <w:lang w:val="fr-FR"/>
        </w:rPr>
        <w:t>applique</w:t>
      </w:r>
      <w:r w:rsidR="00664E7C">
        <w:rPr>
          <w:lang w:val="fr-FR"/>
        </w:rPr>
        <w:t> </w:t>
      </w:r>
      <w:r w:rsidRPr="002A7AE9">
        <w:rPr>
          <w:lang w:val="fr-FR"/>
        </w:rPr>
        <w:t>:</w:t>
      </w:r>
    </w:p>
    <w:p w14:paraId="775B2EBA" w14:textId="77777777" w:rsidR="002A7AE9" w:rsidRPr="002A7AE9" w:rsidRDefault="002A7AE9" w:rsidP="00664E7C">
      <w:pPr>
        <w:pStyle w:val="SingleTxtG"/>
        <w:ind w:left="1701"/>
        <w:rPr>
          <w:lang w:val="fr-FR"/>
        </w:rPr>
      </w:pPr>
      <w:r w:rsidRPr="002A7AE9">
        <w:rPr>
          <w:lang w:val="fr-FR"/>
        </w:rPr>
        <w:t>« SP 942</w:t>
      </w:r>
      <w:r w:rsidR="00664E7C">
        <w:rPr>
          <w:lang w:val="fr-FR"/>
        </w:rPr>
        <w:t> </w:t>
      </w:r>
      <w:r w:rsidRPr="002A7AE9">
        <w:rPr>
          <w:lang w:val="fr-FR"/>
        </w:rPr>
        <w:t>: La concentration et la température de la solution lors du chargement, sa teneur en matières combustibles et en chlorures ainsi qu</w:t>
      </w:r>
      <w:r>
        <w:rPr>
          <w:lang w:val="fr-FR"/>
        </w:rPr>
        <w:t>’</w:t>
      </w:r>
      <w:r w:rsidRPr="002A7AE9">
        <w:rPr>
          <w:lang w:val="fr-FR"/>
        </w:rPr>
        <w:t>en acides libres doivent être certifiées. ».</w:t>
      </w:r>
    </w:p>
    <w:p w14:paraId="001C8C43" w14:textId="77777777" w:rsidR="002A7AE9" w:rsidRPr="002A7AE9" w:rsidRDefault="00137A8D" w:rsidP="002A4B46">
      <w:pPr>
        <w:pStyle w:val="H23G"/>
        <w:rPr>
          <w:lang w:val="fr-FR"/>
        </w:rPr>
      </w:pPr>
      <w:r>
        <w:rPr>
          <w:lang w:val="fr-FR"/>
        </w:rPr>
        <w:tab/>
      </w:r>
      <w:r>
        <w:rPr>
          <w:lang w:val="fr-FR"/>
        </w:rPr>
        <w:tab/>
      </w:r>
      <w:r w:rsidR="002A7AE9" w:rsidRPr="002A7AE9">
        <w:rPr>
          <w:lang w:val="fr-FR"/>
        </w:rPr>
        <w:t>Transport du No</w:t>
      </w:r>
      <w:r>
        <w:rPr>
          <w:lang w:val="fr-FR"/>
        </w:rPr>
        <w:t> </w:t>
      </w:r>
      <w:r w:rsidR="002A7AE9" w:rsidRPr="002A7AE9">
        <w:rPr>
          <w:lang w:val="fr-FR"/>
        </w:rPr>
        <w:t xml:space="preserve">ONU 2426 selon les instructions techniques pour la sécurité </w:t>
      </w:r>
      <w:r w:rsidR="002A4B46">
        <w:rPr>
          <w:lang w:val="fr-FR"/>
        </w:rPr>
        <w:br/>
      </w:r>
      <w:r w:rsidR="002A7AE9" w:rsidRPr="002A7AE9">
        <w:rPr>
          <w:lang w:val="fr-FR"/>
        </w:rPr>
        <w:t>du transport aérien des marchandises dangereuses</w:t>
      </w:r>
    </w:p>
    <w:p w14:paraId="623D8F06" w14:textId="77777777" w:rsidR="002A7AE9" w:rsidRPr="002A7AE9" w:rsidRDefault="002A7AE9" w:rsidP="00137A8D">
      <w:pPr>
        <w:pStyle w:val="SingleTxtG"/>
        <w:rPr>
          <w:lang w:val="fr-FR"/>
        </w:rPr>
      </w:pPr>
      <w:r w:rsidRPr="002A7AE9">
        <w:rPr>
          <w:lang w:val="fr-FR"/>
        </w:rPr>
        <w:t>12.</w:t>
      </w:r>
      <w:r w:rsidRPr="002A7AE9">
        <w:rPr>
          <w:lang w:val="fr-FR"/>
        </w:rPr>
        <w:tab/>
        <w:t>Le transport du No</w:t>
      </w:r>
      <w:r w:rsidR="00137A8D">
        <w:rPr>
          <w:lang w:val="fr-FR"/>
        </w:rPr>
        <w:t> O</w:t>
      </w:r>
      <w:r w:rsidRPr="002A7AE9">
        <w:rPr>
          <w:lang w:val="fr-FR"/>
        </w:rPr>
        <w:t>NU 2426 est interdit dans les instructions techniques, s</w:t>
      </w:r>
      <w:r>
        <w:rPr>
          <w:lang w:val="fr-FR"/>
        </w:rPr>
        <w:t>’</w:t>
      </w:r>
      <w:r w:rsidRPr="002A7AE9">
        <w:rPr>
          <w:lang w:val="fr-FR"/>
        </w:rPr>
        <w:t>agissant des avions de passagers comme des avions de fret, et la disposition spéciale A129, qui est l</w:t>
      </w:r>
      <w:r>
        <w:rPr>
          <w:lang w:val="fr-FR"/>
        </w:rPr>
        <w:t>’</w:t>
      </w:r>
      <w:r w:rsidRPr="002A7AE9">
        <w:rPr>
          <w:lang w:val="fr-FR"/>
        </w:rPr>
        <w:t>équivalent de la disposition spéciale 252 du Règlement type, du RID et de l</w:t>
      </w:r>
      <w:r>
        <w:rPr>
          <w:lang w:val="fr-FR"/>
        </w:rPr>
        <w:t>’</w:t>
      </w:r>
      <w:r w:rsidRPr="002A7AE9">
        <w:rPr>
          <w:lang w:val="fr-FR"/>
        </w:rPr>
        <w:t>ADR, s</w:t>
      </w:r>
      <w:r>
        <w:rPr>
          <w:lang w:val="fr-FR"/>
        </w:rPr>
        <w:t>’</w:t>
      </w:r>
      <w:r w:rsidRPr="002A7AE9">
        <w:rPr>
          <w:lang w:val="fr-FR"/>
        </w:rPr>
        <w:t>applique à ce numéro.</w:t>
      </w:r>
    </w:p>
    <w:p w14:paraId="6EA4CB38" w14:textId="77777777" w:rsidR="002A7AE9" w:rsidRPr="002A7AE9" w:rsidRDefault="002A4B46" w:rsidP="002A4B46">
      <w:pPr>
        <w:pStyle w:val="HChG"/>
        <w:rPr>
          <w:lang w:val="fr-FR"/>
        </w:rPr>
      </w:pPr>
      <w:r>
        <w:rPr>
          <w:lang w:val="fr-FR"/>
        </w:rPr>
        <w:tab/>
      </w:r>
      <w:r>
        <w:rPr>
          <w:lang w:val="fr-FR"/>
        </w:rPr>
        <w:tab/>
      </w:r>
      <w:r w:rsidR="002A7AE9" w:rsidRPr="002A7AE9">
        <w:rPr>
          <w:lang w:val="fr-FR"/>
        </w:rPr>
        <w:t>Analyse</w:t>
      </w:r>
    </w:p>
    <w:p w14:paraId="43151D1A" w14:textId="77777777" w:rsidR="002A7AE9" w:rsidRPr="002A7AE9" w:rsidRDefault="002A7AE9" w:rsidP="002A7AE9">
      <w:pPr>
        <w:pStyle w:val="SingleTxtG"/>
        <w:rPr>
          <w:lang w:val="fr-FR"/>
        </w:rPr>
      </w:pPr>
      <w:r w:rsidRPr="002A7AE9">
        <w:rPr>
          <w:lang w:val="fr-FR"/>
        </w:rPr>
        <w:t>13.</w:t>
      </w:r>
      <w:r w:rsidRPr="002A7AE9">
        <w:rPr>
          <w:lang w:val="fr-FR"/>
        </w:rPr>
        <w:tab/>
        <w:t>La limite supérieure fixée pour la concentration de nitrate d</w:t>
      </w:r>
      <w:r>
        <w:rPr>
          <w:lang w:val="fr-FR"/>
        </w:rPr>
        <w:t>’</w:t>
      </w:r>
      <w:r w:rsidRPr="002A7AE9">
        <w:rPr>
          <w:lang w:val="fr-FR"/>
        </w:rPr>
        <w:t>ammonium semble provenir directement des propriétés et observations figurant dans la colonne (17) du Code IMDG pour ce produit.</w:t>
      </w:r>
    </w:p>
    <w:p w14:paraId="1C0A4EBB" w14:textId="77777777" w:rsidR="002A7AE9" w:rsidRPr="002A7AE9" w:rsidRDefault="002A7AE9" w:rsidP="002A7AE9">
      <w:pPr>
        <w:pStyle w:val="SingleTxtG"/>
        <w:rPr>
          <w:lang w:val="fr-FR"/>
        </w:rPr>
      </w:pPr>
      <w:r w:rsidRPr="002A7AE9">
        <w:rPr>
          <w:lang w:val="fr-FR"/>
        </w:rPr>
        <w:t>14.</w:t>
      </w:r>
      <w:r w:rsidRPr="002A7AE9">
        <w:rPr>
          <w:lang w:val="fr-FR"/>
        </w:rPr>
        <w:tab/>
        <w:t>Cependant, les indications du Code IMDG ne se limitent pas à fixer une valeur maximale pour la concentration de nitrate d</w:t>
      </w:r>
      <w:r>
        <w:rPr>
          <w:lang w:val="fr-FR"/>
        </w:rPr>
        <w:t>’</w:t>
      </w:r>
      <w:r w:rsidRPr="002A7AE9">
        <w:rPr>
          <w:lang w:val="fr-FR"/>
        </w:rPr>
        <w:t>ammonium. En</w:t>
      </w:r>
      <w:r w:rsidR="005A4109">
        <w:rPr>
          <w:lang w:val="fr-FR"/>
        </w:rPr>
        <w:t xml:space="preserve"> </w:t>
      </w:r>
      <w:r w:rsidRPr="002A7AE9">
        <w:rPr>
          <w:lang w:val="fr-FR"/>
        </w:rPr>
        <w:t>effet, le Code :</w:t>
      </w:r>
    </w:p>
    <w:p w14:paraId="527B1F12" w14:textId="77777777" w:rsidR="002A7AE9" w:rsidRPr="002A7AE9" w:rsidRDefault="002A7AE9" w:rsidP="002A4B46">
      <w:pPr>
        <w:pStyle w:val="SingleTxtG"/>
        <w:ind w:left="1701"/>
        <w:rPr>
          <w:lang w:val="fr-FR"/>
        </w:rPr>
      </w:pPr>
      <w:r w:rsidRPr="002A7AE9">
        <w:rPr>
          <w:lang w:val="fr-FR"/>
        </w:rPr>
        <w:t>a)</w:t>
      </w:r>
      <w:r w:rsidRPr="002A7AE9">
        <w:rPr>
          <w:lang w:val="fr-FR"/>
        </w:rPr>
        <w:tab/>
      </w:r>
      <w:r w:rsidR="002A4B46">
        <w:rPr>
          <w:lang w:val="fr-FR"/>
        </w:rPr>
        <w:t>D</w:t>
      </w:r>
      <w:r w:rsidRPr="002A7AE9">
        <w:rPr>
          <w:lang w:val="fr-FR"/>
        </w:rPr>
        <w:t>onne des indications sur d</w:t>
      </w:r>
      <w:r>
        <w:rPr>
          <w:lang w:val="fr-FR"/>
        </w:rPr>
        <w:t>’</w:t>
      </w:r>
      <w:r w:rsidRPr="002A7AE9">
        <w:rPr>
          <w:lang w:val="fr-FR"/>
        </w:rPr>
        <w:t xml:space="preserve">autres matières auxquelles il est également fait </w:t>
      </w:r>
      <w:proofErr w:type="gramStart"/>
      <w:r w:rsidRPr="002A7AE9">
        <w:rPr>
          <w:lang w:val="fr-FR"/>
        </w:rPr>
        <w:t>référence</w:t>
      </w:r>
      <w:proofErr w:type="gramEnd"/>
      <w:r w:rsidRPr="002A7AE9">
        <w:rPr>
          <w:lang w:val="fr-FR"/>
        </w:rPr>
        <w:t xml:space="preserve"> dans la disposition spéciale 644 du RID et de l</w:t>
      </w:r>
      <w:r>
        <w:rPr>
          <w:lang w:val="fr-FR"/>
        </w:rPr>
        <w:t>’</w:t>
      </w:r>
      <w:r w:rsidRPr="002A7AE9">
        <w:rPr>
          <w:lang w:val="fr-FR"/>
        </w:rPr>
        <w:t>ADR ;</w:t>
      </w:r>
    </w:p>
    <w:p w14:paraId="5863C5C9" w14:textId="77777777" w:rsidR="002A7AE9" w:rsidRPr="002A7AE9" w:rsidRDefault="002A7AE9" w:rsidP="002A4B46">
      <w:pPr>
        <w:pStyle w:val="SingleTxtG"/>
        <w:ind w:left="1701"/>
        <w:rPr>
          <w:lang w:val="fr-FR"/>
        </w:rPr>
      </w:pPr>
      <w:r w:rsidRPr="002A7AE9">
        <w:rPr>
          <w:lang w:val="fr-FR"/>
        </w:rPr>
        <w:t>b)</w:t>
      </w:r>
      <w:r w:rsidRPr="002A7AE9">
        <w:rPr>
          <w:lang w:val="fr-FR"/>
        </w:rPr>
        <w:tab/>
      </w:r>
      <w:r w:rsidR="002A4B46">
        <w:rPr>
          <w:lang w:val="fr-FR"/>
        </w:rPr>
        <w:t>L</w:t>
      </w:r>
      <w:r w:rsidRPr="002A7AE9">
        <w:rPr>
          <w:lang w:val="fr-FR"/>
        </w:rPr>
        <w:t>imite à 140 ºC la température pendant le transport ;</w:t>
      </w:r>
    </w:p>
    <w:p w14:paraId="06A79E78" w14:textId="77777777" w:rsidR="002A7AE9" w:rsidRPr="002A7AE9" w:rsidRDefault="002A7AE9" w:rsidP="002A4B46">
      <w:pPr>
        <w:pStyle w:val="SingleTxtG"/>
        <w:ind w:left="1701"/>
        <w:rPr>
          <w:lang w:val="fr-FR"/>
        </w:rPr>
      </w:pPr>
      <w:r w:rsidRPr="002A7AE9">
        <w:rPr>
          <w:lang w:val="fr-FR"/>
        </w:rPr>
        <w:t>c)</w:t>
      </w:r>
      <w:r w:rsidRPr="002A7AE9">
        <w:rPr>
          <w:lang w:val="fr-FR"/>
        </w:rPr>
        <w:tab/>
      </w:r>
      <w:r w:rsidR="002A4B46">
        <w:rPr>
          <w:lang w:val="fr-FR"/>
        </w:rPr>
        <w:t>R</w:t>
      </w:r>
      <w:r w:rsidRPr="002A7AE9">
        <w:rPr>
          <w:lang w:val="fr-FR"/>
        </w:rPr>
        <w:t>equiert une déclaration de la température au moment du chargement, ainsi que de la teneur du chargement en chlorures et en</w:t>
      </w:r>
      <w:r w:rsidR="005A4109">
        <w:rPr>
          <w:lang w:val="fr-FR"/>
        </w:rPr>
        <w:t xml:space="preserve"> </w:t>
      </w:r>
      <w:r w:rsidRPr="002A7AE9">
        <w:rPr>
          <w:lang w:val="fr-FR"/>
        </w:rPr>
        <w:t>acide</w:t>
      </w:r>
      <w:r w:rsidR="00BF7BB4">
        <w:rPr>
          <w:lang w:val="fr-FR"/>
        </w:rPr>
        <w:t>s</w:t>
      </w:r>
      <w:r w:rsidRPr="002A7AE9">
        <w:rPr>
          <w:lang w:val="fr-FR"/>
        </w:rPr>
        <w:t xml:space="preserve"> libre</w:t>
      </w:r>
      <w:r w:rsidR="00BF7BB4">
        <w:rPr>
          <w:lang w:val="fr-FR"/>
        </w:rPr>
        <w:t>s</w:t>
      </w:r>
      <w:r w:rsidRPr="002A7AE9">
        <w:rPr>
          <w:lang w:val="fr-FR"/>
        </w:rPr>
        <w:t xml:space="preserve"> ;</w:t>
      </w:r>
    </w:p>
    <w:p w14:paraId="67770B07" w14:textId="77777777" w:rsidR="002A7AE9" w:rsidRPr="002A7AE9" w:rsidRDefault="002A7AE9" w:rsidP="002A4B46">
      <w:pPr>
        <w:pStyle w:val="SingleTxtG"/>
        <w:ind w:left="1701"/>
        <w:rPr>
          <w:lang w:val="fr-FR"/>
        </w:rPr>
      </w:pPr>
      <w:r w:rsidRPr="002A7AE9">
        <w:rPr>
          <w:lang w:val="fr-FR"/>
        </w:rPr>
        <w:t>d)</w:t>
      </w:r>
      <w:r w:rsidRPr="002A7AE9">
        <w:rPr>
          <w:lang w:val="fr-FR"/>
        </w:rPr>
        <w:tab/>
      </w:r>
      <w:r w:rsidR="002A4B46">
        <w:rPr>
          <w:lang w:val="fr-FR"/>
        </w:rPr>
        <w:t>D</w:t>
      </w:r>
      <w:r w:rsidRPr="002A7AE9">
        <w:rPr>
          <w:lang w:val="fr-FR"/>
        </w:rPr>
        <w:t>onne une indication des risques ;</w:t>
      </w:r>
    </w:p>
    <w:p w14:paraId="5CEEF68A" w14:textId="77777777" w:rsidR="002A7AE9" w:rsidRPr="002A7AE9" w:rsidRDefault="002A7AE9" w:rsidP="002A4B46">
      <w:pPr>
        <w:pStyle w:val="SingleTxtG"/>
        <w:ind w:left="1701"/>
        <w:rPr>
          <w:lang w:val="fr-FR"/>
        </w:rPr>
      </w:pPr>
      <w:r w:rsidRPr="002A7AE9">
        <w:rPr>
          <w:lang w:val="fr-FR"/>
        </w:rPr>
        <w:t>e)</w:t>
      </w:r>
      <w:r w:rsidRPr="002A7AE9">
        <w:rPr>
          <w:lang w:val="fr-FR"/>
        </w:rPr>
        <w:tab/>
      </w:r>
      <w:r w:rsidR="002A4B46">
        <w:rPr>
          <w:lang w:val="fr-FR"/>
        </w:rPr>
        <w:t>R</w:t>
      </w:r>
      <w:r w:rsidRPr="002A7AE9">
        <w:rPr>
          <w:lang w:val="fr-FR"/>
        </w:rPr>
        <w:t>equiert que la température soit indiquée sur l</w:t>
      </w:r>
      <w:r>
        <w:rPr>
          <w:lang w:val="fr-FR"/>
        </w:rPr>
        <w:t>’</w:t>
      </w:r>
      <w:r w:rsidRPr="002A7AE9">
        <w:rPr>
          <w:lang w:val="fr-FR"/>
        </w:rPr>
        <w:t>engin de transport.</w:t>
      </w:r>
    </w:p>
    <w:p w14:paraId="5674F4A8" w14:textId="77777777" w:rsidR="002A7AE9" w:rsidRPr="002A7AE9" w:rsidRDefault="002A7AE9" w:rsidP="00C36EB3">
      <w:pPr>
        <w:pStyle w:val="SingleTxtG"/>
        <w:rPr>
          <w:lang w:val="fr-FR"/>
        </w:rPr>
      </w:pPr>
      <w:r w:rsidRPr="002A7AE9">
        <w:rPr>
          <w:lang w:val="fr-FR"/>
        </w:rPr>
        <w:t>15.</w:t>
      </w:r>
      <w:r w:rsidRPr="002A7AE9">
        <w:rPr>
          <w:lang w:val="fr-FR"/>
        </w:rPr>
        <w:tab/>
        <w:t>Les deux derniers points</w:t>
      </w:r>
      <w:r w:rsidR="005A4109">
        <w:rPr>
          <w:lang w:val="fr-FR"/>
        </w:rPr>
        <w:t xml:space="preserve"> </w:t>
      </w:r>
      <w:r w:rsidRPr="002A7AE9">
        <w:rPr>
          <w:lang w:val="fr-FR"/>
        </w:rPr>
        <w:t>semblent moins utiles dans le cadre du RID et de l</w:t>
      </w:r>
      <w:r>
        <w:rPr>
          <w:lang w:val="fr-FR"/>
        </w:rPr>
        <w:t>’</w:t>
      </w:r>
      <w:r w:rsidRPr="002A7AE9">
        <w:rPr>
          <w:lang w:val="fr-FR"/>
        </w:rPr>
        <w:t>ADR que dans celui du Code IMDG, mais les autres indications données dans le Code IMDG semblent également pertinentes pour le RID et l</w:t>
      </w:r>
      <w:r>
        <w:rPr>
          <w:lang w:val="fr-FR"/>
        </w:rPr>
        <w:t>’</w:t>
      </w:r>
      <w:r w:rsidRPr="002A7AE9">
        <w:rPr>
          <w:lang w:val="fr-FR"/>
        </w:rPr>
        <w:t>ADR.</w:t>
      </w:r>
    </w:p>
    <w:p w14:paraId="5FDAB9C8" w14:textId="77777777" w:rsidR="002A7AE9" w:rsidRPr="002A7AE9" w:rsidRDefault="002A7AE9" w:rsidP="002A7AE9">
      <w:pPr>
        <w:pStyle w:val="SingleTxtG"/>
        <w:rPr>
          <w:lang w:val="fr-FR"/>
        </w:rPr>
      </w:pPr>
      <w:r w:rsidRPr="002A7AE9">
        <w:rPr>
          <w:lang w:val="fr-FR"/>
        </w:rPr>
        <w:t>16.</w:t>
      </w:r>
      <w:r w:rsidRPr="002A7AE9">
        <w:rPr>
          <w:lang w:val="fr-FR"/>
        </w:rPr>
        <w:tab/>
        <w:t>Plusieurs options semblent envisageables :</w:t>
      </w:r>
    </w:p>
    <w:p w14:paraId="651604F2" w14:textId="77777777" w:rsidR="002A7AE9" w:rsidRPr="002A7AE9" w:rsidRDefault="002A7AE9" w:rsidP="00C36EB3">
      <w:pPr>
        <w:pStyle w:val="SingleTxtG"/>
        <w:ind w:left="1701"/>
        <w:rPr>
          <w:lang w:val="fr-FR"/>
        </w:rPr>
      </w:pPr>
      <w:r w:rsidRPr="002A7AE9">
        <w:rPr>
          <w:lang w:val="fr-FR"/>
        </w:rPr>
        <w:t>a)</w:t>
      </w:r>
      <w:r w:rsidRPr="002A7AE9">
        <w:rPr>
          <w:lang w:val="fr-FR"/>
        </w:rPr>
        <w:tab/>
        <w:t>Maintien de la situation actuelle,</w:t>
      </w:r>
      <w:r w:rsidR="005A4109">
        <w:rPr>
          <w:lang w:val="fr-FR"/>
        </w:rPr>
        <w:t xml:space="preserve"> </w:t>
      </w:r>
      <w:r w:rsidRPr="002A7AE9">
        <w:rPr>
          <w:lang w:val="fr-FR"/>
        </w:rPr>
        <w:t>en indiquant une limite inférieure et une limite supérieure de concentration d</w:t>
      </w:r>
      <w:r w:rsidRPr="00C36EB3">
        <w:rPr>
          <w:lang w:val="fr-FR"/>
        </w:rPr>
        <w:t>’</w:t>
      </w:r>
      <w:r w:rsidRPr="002A7AE9">
        <w:rPr>
          <w:lang w:val="fr-FR"/>
        </w:rPr>
        <w:t>ammonium dans la description du No</w:t>
      </w:r>
      <w:r w:rsidR="00C36EB3" w:rsidRPr="00C36EB3">
        <w:rPr>
          <w:lang w:val="fr-FR"/>
        </w:rPr>
        <w:t> </w:t>
      </w:r>
      <w:r w:rsidRPr="002A7AE9">
        <w:rPr>
          <w:lang w:val="fr-FR"/>
        </w:rPr>
        <w:t>ONU</w:t>
      </w:r>
      <w:r w:rsidR="00C36EB3" w:rsidRPr="00C36EB3">
        <w:rPr>
          <w:lang w:val="fr-FR"/>
        </w:rPr>
        <w:t> </w:t>
      </w:r>
      <w:r w:rsidRPr="002A7AE9">
        <w:rPr>
          <w:lang w:val="fr-FR"/>
        </w:rPr>
        <w:t>2426</w:t>
      </w:r>
      <w:r w:rsidR="004F7481">
        <w:rPr>
          <w:lang w:val="fr-FR"/>
        </w:rPr>
        <w:t>.</w:t>
      </w:r>
    </w:p>
    <w:p w14:paraId="18C8A935" w14:textId="77777777" w:rsidR="002A7AE9" w:rsidRPr="002A7AE9" w:rsidRDefault="002A7AE9" w:rsidP="00C36EB3">
      <w:pPr>
        <w:pStyle w:val="SingleTxtG"/>
        <w:ind w:left="1701"/>
        <w:rPr>
          <w:lang w:val="fr-FR"/>
        </w:rPr>
      </w:pPr>
      <w:r w:rsidRPr="002A7AE9">
        <w:rPr>
          <w:lang w:val="fr-FR"/>
        </w:rPr>
        <w:t>Il n</w:t>
      </w:r>
      <w:r>
        <w:rPr>
          <w:lang w:val="fr-FR"/>
        </w:rPr>
        <w:t>’</w:t>
      </w:r>
      <w:r w:rsidRPr="002A7AE9">
        <w:rPr>
          <w:lang w:val="fr-FR"/>
        </w:rPr>
        <w:t>y aurait donc pas d</w:t>
      </w:r>
      <w:r>
        <w:rPr>
          <w:lang w:val="fr-FR"/>
        </w:rPr>
        <w:t>’</w:t>
      </w:r>
      <w:r w:rsidRPr="002A7AE9">
        <w:rPr>
          <w:lang w:val="fr-FR"/>
        </w:rPr>
        <w:t>harmonisation du nom et de la description avec les autres modes, alors que les matières transportées sous ce numéro ONU seraient en réalité presque identiques, même si certaines indications du Code IMDG ne sont pas incluses dans le RID et l</w:t>
      </w:r>
      <w:r>
        <w:rPr>
          <w:lang w:val="fr-FR"/>
        </w:rPr>
        <w:t>’</w:t>
      </w:r>
      <w:r w:rsidRPr="002A7AE9">
        <w:rPr>
          <w:lang w:val="fr-FR"/>
        </w:rPr>
        <w:t>ADR.</w:t>
      </w:r>
    </w:p>
    <w:p w14:paraId="6510224E" w14:textId="77777777" w:rsidR="002A7AE9" w:rsidRPr="002A7AE9" w:rsidRDefault="002A7AE9" w:rsidP="00C36EB3">
      <w:pPr>
        <w:pStyle w:val="SingleTxtG"/>
        <w:ind w:left="1701"/>
        <w:rPr>
          <w:lang w:val="fr-FR"/>
        </w:rPr>
      </w:pPr>
      <w:r w:rsidRPr="002A7AE9">
        <w:rPr>
          <w:lang w:val="fr-FR"/>
        </w:rPr>
        <w:t>b)</w:t>
      </w:r>
      <w:r w:rsidRPr="002A7AE9">
        <w:rPr>
          <w:lang w:val="fr-FR"/>
        </w:rPr>
        <w:tab/>
        <w:t>Harmonisation complète avec le Code IMDG, en supprimant la description du No ONU 2426 et en incluant une disposition spéciale similaire à celle figurant dans le Code IMDG.</w:t>
      </w:r>
    </w:p>
    <w:p w14:paraId="3700F230" w14:textId="77777777" w:rsidR="002A7AE9" w:rsidRPr="002A7AE9" w:rsidRDefault="002A7AE9" w:rsidP="0066415A">
      <w:pPr>
        <w:pStyle w:val="SingleTxtG"/>
        <w:ind w:firstLine="567"/>
        <w:rPr>
          <w:lang w:val="fr-FR"/>
        </w:rPr>
      </w:pPr>
      <w:r w:rsidRPr="002A7AE9">
        <w:rPr>
          <w:lang w:val="fr-FR"/>
        </w:rPr>
        <w:t>On pourrait procéder à cette harmonisation en modifiant la disposition spéciale 644 de manière à reprendre les conditions énumérées dans la colonne (17) du Code IMDG</w:t>
      </w:r>
      <w:r w:rsidR="002073B6">
        <w:rPr>
          <w:lang w:val="fr-FR"/>
        </w:rPr>
        <w:t xml:space="preserve"> </w:t>
      </w:r>
      <w:r w:rsidRPr="002A7AE9">
        <w:rPr>
          <w:lang w:val="fr-FR"/>
        </w:rPr>
        <w:t>; les conditions figurant dans la disposition spéciale 942 font quant à elles double emploi avec ce texte.</w:t>
      </w:r>
    </w:p>
    <w:p w14:paraId="3A57EBD6" w14:textId="77777777" w:rsidR="002A7AE9" w:rsidRPr="002A7AE9" w:rsidRDefault="002A7AE9" w:rsidP="004F7481">
      <w:pPr>
        <w:pStyle w:val="SingleTxtG"/>
        <w:ind w:left="1701"/>
        <w:rPr>
          <w:lang w:val="fr-FR"/>
        </w:rPr>
      </w:pPr>
      <w:r w:rsidRPr="002A7AE9">
        <w:rPr>
          <w:lang w:val="fr-FR"/>
        </w:rPr>
        <w:lastRenderedPageBreak/>
        <w:t>c)</w:t>
      </w:r>
      <w:r w:rsidRPr="002A7AE9">
        <w:rPr>
          <w:lang w:val="fr-FR"/>
        </w:rPr>
        <w:tab/>
        <w:t>Recherche d</w:t>
      </w:r>
      <w:r>
        <w:rPr>
          <w:lang w:val="fr-FR"/>
        </w:rPr>
        <w:t>’</w:t>
      </w:r>
      <w:r w:rsidRPr="002A7AE9">
        <w:rPr>
          <w:lang w:val="fr-FR"/>
        </w:rPr>
        <w:t>une harmonisation au niveau de l</w:t>
      </w:r>
      <w:r>
        <w:rPr>
          <w:lang w:val="fr-FR"/>
        </w:rPr>
        <w:t>’</w:t>
      </w:r>
      <w:r w:rsidRPr="002A7AE9">
        <w:rPr>
          <w:lang w:val="fr-FR"/>
        </w:rPr>
        <w:t>ONU, en demandant une modification de la disposition spéciale 252 de manière à y inclure les limites supérieure et inférieure de concentration et les autres dispositions figurant dans le Code IMDG.</w:t>
      </w:r>
    </w:p>
    <w:p w14:paraId="59FF46C2" w14:textId="77777777" w:rsidR="002A7AE9" w:rsidRPr="002A7AE9" w:rsidRDefault="002A7AE9" w:rsidP="001D763D">
      <w:pPr>
        <w:pStyle w:val="HChG"/>
        <w:rPr>
          <w:lang w:val="fr-FR"/>
        </w:rPr>
      </w:pPr>
      <w:r w:rsidRPr="002A7AE9">
        <w:rPr>
          <w:lang w:val="fr-FR"/>
        </w:rPr>
        <w:tab/>
      </w:r>
      <w:r w:rsidRPr="002A7AE9">
        <w:rPr>
          <w:lang w:val="fr-FR"/>
        </w:rPr>
        <w:tab/>
        <w:t>Propositions</w:t>
      </w:r>
    </w:p>
    <w:p w14:paraId="314A6E66" w14:textId="77777777" w:rsidR="002A7AE9" w:rsidRPr="002A7AE9" w:rsidRDefault="002A7AE9" w:rsidP="002A7AE9">
      <w:pPr>
        <w:pStyle w:val="SingleTxtG"/>
        <w:rPr>
          <w:lang w:val="fr-FR"/>
        </w:rPr>
      </w:pPr>
      <w:r w:rsidRPr="002A7AE9">
        <w:rPr>
          <w:lang w:val="fr-FR"/>
        </w:rPr>
        <w:t>17.</w:t>
      </w:r>
      <w:r w:rsidRPr="002A7AE9">
        <w:rPr>
          <w:lang w:val="fr-FR"/>
        </w:rPr>
        <w:tab/>
        <w:t>L</w:t>
      </w:r>
      <w:r>
        <w:rPr>
          <w:lang w:val="fr-FR"/>
        </w:rPr>
        <w:t>’</w:t>
      </w:r>
      <w:r w:rsidRPr="002A7AE9">
        <w:rPr>
          <w:lang w:val="fr-FR"/>
        </w:rPr>
        <w:t>Espagne propose d</w:t>
      </w:r>
      <w:r>
        <w:rPr>
          <w:lang w:val="fr-FR"/>
        </w:rPr>
        <w:t>’</w:t>
      </w:r>
      <w:r w:rsidRPr="002A7AE9">
        <w:rPr>
          <w:lang w:val="fr-FR"/>
        </w:rPr>
        <w:t>adopter</w:t>
      </w:r>
      <w:r w:rsidR="005A4109">
        <w:rPr>
          <w:lang w:val="fr-FR"/>
        </w:rPr>
        <w:t xml:space="preserve"> </w:t>
      </w:r>
      <w:r w:rsidRPr="002A7AE9">
        <w:rPr>
          <w:lang w:val="fr-FR"/>
        </w:rPr>
        <w:t>l</w:t>
      </w:r>
      <w:r>
        <w:rPr>
          <w:lang w:val="fr-FR"/>
        </w:rPr>
        <w:t>’</w:t>
      </w:r>
      <w:r w:rsidRPr="002A7AE9">
        <w:rPr>
          <w:lang w:val="fr-FR"/>
        </w:rPr>
        <w:t>option présentée dans le paragraphe 16 b) ci-dessus.</w:t>
      </w:r>
    </w:p>
    <w:p w14:paraId="0F7A0471" w14:textId="77777777" w:rsidR="002A7AE9" w:rsidRPr="002A7AE9" w:rsidRDefault="002A7AE9" w:rsidP="002A7AE9">
      <w:pPr>
        <w:pStyle w:val="SingleTxtG"/>
        <w:rPr>
          <w:lang w:val="fr-FR"/>
        </w:rPr>
      </w:pPr>
      <w:r w:rsidRPr="002A7AE9">
        <w:rPr>
          <w:lang w:val="fr-FR"/>
        </w:rPr>
        <w:t>18.</w:t>
      </w:r>
      <w:r w:rsidRPr="002A7AE9">
        <w:rPr>
          <w:lang w:val="fr-FR"/>
        </w:rPr>
        <w:tab/>
        <w:t>Les changements nécessaires consisteraient à modifier le nom et la description du No</w:t>
      </w:r>
      <w:r w:rsidR="001D763D">
        <w:rPr>
          <w:lang w:val="fr-FR"/>
        </w:rPr>
        <w:t> </w:t>
      </w:r>
      <w:r w:rsidRPr="002A7AE9">
        <w:rPr>
          <w:lang w:val="fr-FR"/>
        </w:rPr>
        <w:t>ONU 2426 et à modifier la disposition spéciale 644 qui se rapporte à ce numéro ONU</w:t>
      </w:r>
      <w:r w:rsidR="001D763D">
        <w:rPr>
          <w:lang w:val="fr-FR"/>
        </w:rPr>
        <w:t xml:space="preserve"> </w:t>
      </w:r>
      <w:r w:rsidRPr="002A7AE9">
        <w:rPr>
          <w:lang w:val="fr-FR"/>
        </w:rPr>
        <w:t>en y insérant le texte du Code IMDG. La disposition spéciale 252 resterait inchangée.</w:t>
      </w:r>
    </w:p>
    <w:p w14:paraId="57091E2B" w14:textId="77777777" w:rsidR="002A7AE9" w:rsidRPr="002A7AE9" w:rsidRDefault="002A7AE9" w:rsidP="002A7AE9">
      <w:pPr>
        <w:pStyle w:val="SingleTxtG"/>
        <w:rPr>
          <w:lang w:val="fr-FR"/>
        </w:rPr>
      </w:pPr>
      <w:r w:rsidRPr="002A7AE9">
        <w:rPr>
          <w:lang w:val="fr-FR"/>
        </w:rPr>
        <w:t>19.</w:t>
      </w:r>
      <w:r w:rsidRPr="002A7AE9">
        <w:rPr>
          <w:lang w:val="fr-FR"/>
        </w:rPr>
        <w:tab/>
        <w:t xml:space="preserve">Le texte supprimé est biffé, et le nouveau texte est </w:t>
      </w:r>
      <w:r w:rsidRPr="002A7AE9">
        <w:rPr>
          <w:u w:val="single"/>
          <w:lang w:val="fr-FR"/>
        </w:rPr>
        <w:t>souligné</w:t>
      </w:r>
      <w:r w:rsidRPr="002A7AE9">
        <w:rPr>
          <w:lang w:val="fr-FR"/>
        </w:rPr>
        <w:t>.</w:t>
      </w:r>
    </w:p>
    <w:p w14:paraId="13D73D87" w14:textId="77777777" w:rsidR="002A7AE9" w:rsidRPr="002A7AE9" w:rsidRDefault="002A7AE9" w:rsidP="002A7AE9">
      <w:pPr>
        <w:pStyle w:val="SingleTxtG"/>
        <w:rPr>
          <w:lang w:val="fr-FR"/>
        </w:rPr>
      </w:pPr>
      <w:r w:rsidRPr="002A7AE9">
        <w:rPr>
          <w:lang w:val="fr-FR"/>
        </w:rPr>
        <w:t>20.</w:t>
      </w:r>
      <w:r w:rsidRPr="002A7AE9">
        <w:rPr>
          <w:lang w:val="fr-FR"/>
        </w:rPr>
        <w:tab/>
        <w:t>Dans les tableaux A et B, modifier le No</w:t>
      </w:r>
      <w:r w:rsidR="0064286A">
        <w:rPr>
          <w:lang w:val="fr-FR"/>
        </w:rPr>
        <w:t> </w:t>
      </w:r>
      <w:r w:rsidRPr="002A7AE9">
        <w:rPr>
          <w:lang w:val="fr-FR"/>
        </w:rPr>
        <w:t>ONU 2426 comme suit</w:t>
      </w:r>
      <w:r w:rsidR="0064286A">
        <w:rPr>
          <w:lang w:val="fr-FR"/>
        </w:rPr>
        <w:t> </w:t>
      </w:r>
      <w:r w:rsidRPr="002A7AE9">
        <w:rPr>
          <w:lang w:val="fr-FR"/>
        </w:rPr>
        <w:t>:</w:t>
      </w:r>
    </w:p>
    <w:p w14:paraId="436018B8" w14:textId="77777777" w:rsidR="002A7AE9" w:rsidRPr="002A7AE9" w:rsidRDefault="002A7AE9" w:rsidP="0064286A">
      <w:pPr>
        <w:pStyle w:val="SingleTxtG"/>
        <w:rPr>
          <w:lang w:val="fr-FR"/>
        </w:rPr>
      </w:pPr>
      <w:r w:rsidRPr="002A7AE9">
        <w:rPr>
          <w:lang w:val="fr-FR"/>
        </w:rPr>
        <w:t>ONU 2426 :</w:t>
      </w:r>
      <w:r w:rsidR="002073B6">
        <w:rPr>
          <w:lang w:val="fr-FR"/>
        </w:rPr>
        <w:t xml:space="preserve"> </w:t>
      </w:r>
      <w:r w:rsidRPr="002A7AE9">
        <w:rPr>
          <w:lang w:val="fr-FR"/>
        </w:rPr>
        <w:t>NITRATE D</w:t>
      </w:r>
      <w:r>
        <w:rPr>
          <w:lang w:val="fr-FR"/>
        </w:rPr>
        <w:t>’</w:t>
      </w:r>
      <w:r w:rsidRPr="002A7AE9">
        <w:rPr>
          <w:lang w:val="fr-FR"/>
        </w:rPr>
        <w:t>AMMONIUM LIQUIDE, solution chaude concentrée</w:t>
      </w:r>
      <w:r w:rsidRPr="002A7AE9">
        <w:rPr>
          <w:strike/>
          <w:lang w:val="fr-FR"/>
        </w:rPr>
        <w:t>, à plus de 80</w:t>
      </w:r>
      <w:r w:rsidR="0064286A" w:rsidRPr="008571A2">
        <w:rPr>
          <w:strike/>
          <w:lang w:val="fr-FR"/>
        </w:rPr>
        <w:t> </w:t>
      </w:r>
      <w:r w:rsidRPr="002A7AE9">
        <w:rPr>
          <w:strike/>
          <w:lang w:val="fr-FR"/>
        </w:rPr>
        <w:t>% mais à 93</w:t>
      </w:r>
      <w:r w:rsidR="0064286A" w:rsidRPr="008571A2">
        <w:rPr>
          <w:strike/>
          <w:lang w:val="fr-FR"/>
        </w:rPr>
        <w:t> </w:t>
      </w:r>
      <w:r w:rsidRPr="002A7AE9">
        <w:rPr>
          <w:strike/>
          <w:lang w:val="fr-FR"/>
        </w:rPr>
        <w:t>% au maximum</w:t>
      </w:r>
      <w:r w:rsidRPr="002A7AE9">
        <w:rPr>
          <w:lang w:val="fr-FR"/>
        </w:rPr>
        <w:t xml:space="preserve"> </w:t>
      </w:r>
    </w:p>
    <w:p w14:paraId="58A118EB" w14:textId="77777777" w:rsidR="002A7AE9" w:rsidRPr="002A7AE9" w:rsidRDefault="002A7AE9" w:rsidP="002A7AE9">
      <w:pPr>
        <w:pStyle w:val="SingleTxtG"/>
        <w:rPr>
          <w:lang w:val="fr-FR"/>
        </w:rPr>
      </w:pPr>
      <w:r w:rsidRPr="002A7AE9">
        <w:rPr>
          <w:lang w:val="fr-FR"/>
        </w:rPr>
        <w:t>21.</w:t>
      </w:r>
      <w:r w:rsidRPr="002A7AE9">
        <w:rPr>
          <w:lang w:val="fr-FR"/>
        </w:rPr>
        <w:tab/>
        <w:t>Modifier la disposition spéciale 644 :</w:t>
      </w:r>
    </w:p>
    <w:p w14:paraId="3745D38D" w14:textId="77777777" w:rsidR="002A7AE9" w:rsidRPr="002A7AE9" w:rsidRDefault="002A7AE9" w:rsidP="002A7AE9">
      <w:pPr>
        <w:pStyle w:val="SingleTxtG"/>
        <w:rPr>
          <w:lang w:val="fr-FR"/>
        </w:rPr>
      </w:pPr>
      <w:r w:rsidRPr="002A7AE9">
        <w:rPr>
          <w:lang w:val="fr-FR"/>
        </w:rPr>
        <w:t>Disposition spéciale 644 :</w:t>
      </w:r>
    </w:p>
    <w:p w14:paraId="0CD19C72" w14:textId="77777777" w:rsidR="002A7AE9" w:rsidRPr="002A7AE9" w:rsidRDefault="002A7AE9" w:rsidP="002A7AE9">
      <w:pPr>
        <w:pStyle w:val="SingleTxtG"/>
        <w:rPr>
          <w:lang w:val="fr-FR"/>
        </w:rPr>
      </w:pPr>
      <w:r w:rsidRPr="002A7AE9">
        <w:rPr>
          <w:lang w:val="fr-FR"/>
        </w:rPr>
        <w:t xml:space="preserve">« Le transport de cette matière est admis, à condition que : </w:t>
      </w:r>
    </w:p>
    <w:p w14:paraId="606B7B2F" w14:textId="77777777" w:rsidR="002A7AE9" w:rsidRPr="002A7AE9" w:rsidRDefault="002A7AE9" w:rsidP="0010017A">
      <w:pPr>
        <w:pStyle w:val="SingleTxtG"/>
        <w:ind w:left="1701"/>
        <w:rPr>
          <w:lang w:val="fr-FR"/>
        </w:rPr>
      </w:pPr>
      <w:r w:rsidRPr="002A7AE9">
        <w:rPr>
          <w:lang w:val="fr-FR"/>
        </w:rPr>
        <w:t>1.</w:t>
      </w:r>
      <w:r w:rsidRPr="002A7AE9">
        <w:rPr>
          <w:lang w:val="fr-FR"/>
        </w:rPr>
        <w:tab/>
        <w:t>Le pH mesuré d</w:t>
      </w:r>
      <w:r>
        <w:rPr>
          <w:lang w:val="fr-FR"/>
        </w:rPr>
        <w:t>’</w:t>
      </w:r>
      <w:r w:rsidRPr="002A7AE9">
        <w:rPr>
          <w:lang w:val="fr-FR"/>
        </w:rPr>
        <w:t>une solution aqueuse à 10</w:t>
      </w:r>
      <w:r w:rsidR="0010017A">
        <w:rPr>
          <w:lang w:val="fr-FR"/>
        </w:rPr>
        <w:t> </w:t>
      </w:r>
      <w:r w:rsidRPr="002A7AE9">
        <w:rPr>
          <w:lang w:val="fr-FR"/>
        </w:rPr>
        <w:t>% de la matière transportée soit compris entre 5 et 7.</w:t>
      </w:r>
    </w:p>
    <w:p w14:paraId="166195A4" w14:textId="77777777" w:rsidR="002A7AE9" w:rsidRPr="002A7AE9" w:rsidRDefault="002A7AE9" w:rsidP="0010017A">
      <w:pPr>
        <w:pStyle w:val="SingleTxtG"/>
        <w:ind w:left="1701"/>
        <w:rPr>
          <w:u w:val="single"/>
          <w:lang w:val="fr-FR"/>
        </w:rPr>
      </w:pPr>
      <w:r w:rsidRPr="002A7AE9">
        <w:rPr>
          <w:lang w:val="fr-FR"/>
        </w:rPr>
        <w:t>2.</w:t>
      </w:r>
      <w:r w:rsidRPr="002A7AE9">
        <w:rPr>
          <w:lang w:val="fr-FR"/>
        </w:rPr>
        <w:tab/>
      </w:r>
      <w:bookmarkStart w:id="5" w:name="_Hlk34318305"/>
      <w:r w:rsidRPr="002A7AE9">
        <w:rPr>
          <w:lang w:val="fr-FR"/>
        </w:rPr>
        <w:t xml:space="preserve">La solution ne contienne pas plus de </w:t>
      </w:r>
      <w:bookmarkEnd w:id="5"/>
      <w:r w:rsidRPr="002A7AE9">
        <w:rPr>
          <w:u w:val="single"/>
          <w:lang w:val="fr-FR"/>
        </w:rPr>
        <w:t>93</w:t>
      </w:r>
      <w:r w:rsidR="0010017A">
        <w:rPr>
          <w:u w:val="single"/>
          <w:lang w:val="fr-FR"/>
        </w:rPr>
        <w:t> </w:t>
      </w:r>
      <w:r w:rsidRPr="002A7AE9">
        <w:rPr>
          <w:u w:val="single"/>
          <w:lang w:val="fr-FR"/>
        </w:rPr>
        <w:t>% de nitrate d</w:t>
      </w:r>
      <w:r>
        <w:rPr>
          <w:u w:val="single"/>
          <w:lang w:val="fr-FR"/>
        </w:rPr>
        <w:t>’</w:t>
      </w:r>
      <w:r w:rsidRPr="002A7AE9">
        <w:rPr>
          <w:u w:val="single"/>
          <w:lang w:val="fr-FR"/>
        </w:rPr>
        <w:t>ammonium.</w:t>
      </w:r>
    </w:p>
    <w:p w14:paraId="38B666B5" w14:textId="77777777" w:rsidR="002A7AE9" w:rsidRPr="002A7AE9" w:rsidRDefault="002A7AE9" w:rsidP="0010017A">
      <w:pPr>
        <w:pStyle w:val="SingleTxtG"/>
        <w:ind w:left="1701"/>
        <w:rPr>
          <w:lang w:val="fr-FR"/>
        </w:rPr>
      </w:pPr>
      <w:r w:rsidRPr="002A7AE9">
        <w:rPr>
          <w:lang w:val="fr-FR"/>
        </w:rPr>
        <w:t>3.</w:t>
      </w:r>
      <w:r w:rsidRPr="002A7AE9">
        <w:rPr>
          <w:lang w:val="fr-FR"/>
        </w:rPr>
        <w:tab/>
      </w:r>
      <w:r w:rsidRPr="002A7AE9">
        <w:rPr>
          <w:u w:val="single"/>
          <w:lang w:val="fr-FR"/>
        </w:rPr>
        <w:t>La solution ne contienne pas plus de</w:t>
      </w:r>
      <w:r w:rsidR="003D01B9" w:rsidRPr="003D01B9">
        <w:rPr>
          <w:lang w:val="fr-FR"/>
        </w:rPr>
        <w:t xml:space="preserve"> </w:t>
      </w:r>
      <w:r w:rsidRPr="002A7AE9">
        <w:rPr>
          <w:lang w:val="fr-FR"/>
        </w:rPr>
        <w:t>0,2</w:t>
      </w:r>
      <w:r w:rsidR="0010017A">
        <w:rPr>
          <w:lang w:val="fr-FR"/>
        </w:rPr>
        <w:t> </w:t>
      </w:r>
      <w:r w:rsidRPr="002A7AE9">
        <w:rPr>
          <w:lang w:val="fr-FR"/>
        </w:rPr>
        <w:t>% de matière combustible ou de composés du chlore en quantités telles que la teneur en chlore dépasse 0,02</w:t>
      </w:r>
      <w:r w:rsidR="0010017A">
        <w:rPr>
          <w:lang w:val="fr-FR"/>
        </w:rPr>
        <w:t> </w:t>
      </w:r>
      <w:r w:rsidRPr="002A7AE9">
        <w:rPr>
          <w:lang w:val="fr-FR"/>
        </w:rPr>
        <w:t>%.</w:t>
      </w:r>
    </w:p>
    <w:p w14:paraId="488EF516" w14:textId="77777777" w:rsidR="002A7AE9" w:rsidRPr="002A7AE9" w:rsidRDefault="002A7AE9" w:rsidP="0010017A">
      <w:pPr>
        <w:pStyle w:val="SingleTxtG"/>
        <w:ind w:left="1701"/>
        <w:rPr>
          <w:u w:val="single"/>
          <w:lang w:val="fr-FR"/>
        </w:rPr>
      </w:pPr>
      <w:r w:rsidRPr="002A7AE9">
        <w:rPr>
          <w:lang w:val="fr-FR"/>
        </w:rPr>
        <w:t>4.</w:t>
      </w:r>
      <w:r w:rsidRPr="002A7AE9">
        <w:rPr>
          <w:lang w:val="fr-FR"/>
        </w:rPr>
        <w:tab/>
      </w:r>
      <w:r w:rsidRPr="002A7AE9">
        <w:rPr>
          <w:u w:val="single"/>
          <w:lang w:val="fr-FR"/>
        </w:rPr>
        <w:t>La température de transport maximale admissible de la solution soit de 140</w:t>
      </w:r>
      <w:r w:rsidR="00B9011B">
        <w:rPr>
          <w:u w:val="single"/>
          <w:lang w:val="fr-FR"/>
        </w:rPr>
        <w:t> </w:t>
      </w:r>
      <w:r w:rsidRPr="002A7AE9">
        <w:rPr>
          <w:u w:val="single"/>
          <w:lang w:val="fr-FR"/>
        </w:rPr>
        <w:t>°C.</w:t>
      </w:r>
    </w:p>
    <w:p w14:paraId="2F5D23D6" w14:textId="77777777" w:rsidR="003848EF" w:rsidRDefault="002A7AE9" w:rsidP="002A7AE9">
      <w:pPr>
        <w:pStyle w:val="SingleTxtG"/>
        <w:rPr>
          <w:lang w:val="fr-FR"/>
        </w:rPr>
      </w:pPr>
      <w:r w:rsidRPr="002A7AE9">
        <w:rPr>
          <w:u w:val="single"/>
          <w:lang w:val="fr-FR"/>
        </w:rPr>
        <w:t>La concentration et la température de la solution lors du chargement, et sa teneur en matières combustibles et en chlorure</w:t>
      </w:r>
      <w:r w:rsidR="00207AD9">
        <w:rPr>
          <w:u w:val="single"/>
          <w:lang w:val="fr-FR"/>
        </w:rPr>
        <w:t>s</w:t>
      </w:r>
      <w:r w:rsidRPr="002A7AE9">
        <w:rPr>
          <w:u w:val="single"/>
          <w:lang w:val="fr-FR"/>
        </w:rPr>
        <w:t xml:space="preserve"> ainsi qu</w:t>
      </w:r>
      <w:r>
        <w:rPr>
          <w:u w:val="single"/>
          <w:lang w:val="fr-FR"/>
        </w:rPr>
        <w:t>’</w:t>
      </w:r>
      <w:r w:rsidRPr="002A7AE9">
        <w:rPr>
          <w:u w:val="single"/>
          <w:lang w:val="fr-FR"/>
        </w:rPr>
        <w:t>en acide</w:t>
      </w:r>
      <w:r w:rsidR="00BF7BB4">
        <w:rPr>
          <w:u w:val="single"/>
          <w:lang w:val="fr-FR"/>
        </w:rPr>
        <w:t>s</w:t>
      </w:r>
      <w:r w:rsidRPr="002A7AE9">
        <w:rPr>
          <w:u w:val="single"/>
          <w:lang w:val="fr-FR"/>
        </w:rPr>
        <w:t xml:space="preserve"> libre</w:t>
      </w:r>
      <w:r w:rsidR="00BF7BB4">
        <w:rPr>
          <w:u w:val="single"/>
          <w:lang w:val="fr-FR"/>
        </w:rPr>
        <w:t>s</w:t>
      </w:r>
      <w:r w:rsidRPr="002A7AE9">
        <w:rPr>
          <w:u w:val="single"/>
          <w:lang w:val="fr-FR"/>
        </w:rPr>
        <w:t xml:space="preserve"> devraient être déclarées.</w:t>
      </w:r>
      <w:r w:rsidRPr="002A7AE9">
        <w:rPr>
          <w:lang w:val="fr-FR"/>
        </w:rPr>
        <w:t> ».</w:t>
      </w:r>
    </w:p>
    <w:p w14:paraId="2334903A" w14:textId="77777777" w:rsidR="002A7AE9" w:rsidRPr="002A7AE9" w:rsidRDefault="002A7AE9" w:rsidP="002A7AE9">
      <w:pPr>
        <w:pStyle w:val="SingleTxtG"/>
        <w:spacing w:before="240" w:after="0"/>
        <w:jc w:val="center"/>
        <w:rPr>
          <w:u w:val="single"/>
        </w:rPr>
      </w:pPr>
      <w:r>
        <w:rPr>
          <w:u w:val="single"/>
        </w:rPr>
        <w:tab/>
      </w:r>
      <w:r>
        <w:rPr>
          <w:u w:val="single"/>
        </w:rPr>
        <w:tab/>
      </w:r>
      <w:r>
        <w:rPr>
          <w:u w:val="single"/>
        </w:rPr>
        <w:tab/>
      </w:r>
    </w:p>
    <w:sectPr w:rsidR="002A7AE9" w:rsidRPr="002A7AE9" w:rsidSect="00B84E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3F85" w14:textId="77777777" w:rsidR="00AA1C5A" w:rsidRDefault="00AA1C5A" w:rsidP="00F95C08">
      <w:pPr>
        <w:spacing w:line="240" w:lineRule="auto"/>
      </w:pPr>
    </w:p>
  </w:endnote>
  <w:endnote w:type="continuationSeparator" w:id="0">
    <w:p w14:paraId="7B5834BF" w14:textId="77777777" w:rsidR="00AA1C5A" w:rsidRPr="00AC3823" w:rsidRDefault="00AA1C5A" w:rsidP="00AC3823">
      <w:pPr>
        <w:pStyle w:val="Footer"/>
      </w:pPr>
    </w:p>
  </w:endnote>
  <w:endnote w:type="continuationNotice" w:id="1">
    <w:p w14:paraId="663F6F1B" w14:textId="77777777" w:rsidR="00AA1C5A" w:rsidRDefault="00AA1C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B487" w14:textId="77777777" w:rsidR="00B84E78" w:rsidRPr="00B84E78" w:rsidRDefault="00B84E78" w:rsidP="00B84E78">
    <w:pPr>
      <w:pStyle w:val="Footer"/>
      <w:tabs>
        <w:tab w:val="right" w:pos="9638"/>
      </w:tabs>
    </w:pPr>
    <w:r w:rsidRPr="00B84E78">
      <w:rPr>
        <w:b/>
        <w:sz w:val="18"/>
      </w:rPr>
      <w:fldChar w:fldCharType="begin"/>
    </w:r>
    <w:r w:rsidRPr="00B84E78">
      <w:rPr>
        <w:b/>
        <w:sz w:val="18"/>
      </w:rPr>
      <w:instrText xml:space="preserve"> PAGE  \* MERGEFORMAT </w:instrText>
    </w:r>
    <w:r w:rsidRPr="00B84E78">
      <w:rPr>
        <w:b/>
        <w:sz w:val="18"/>
      </w:rPr>
      <w:fldChar w:fldCharType="separate"/>
    </w:r>
    <w:r w:rsidRPr="00B84E78">
      <w:rPr>
        <w:b/>
        <w:noProof/>
        <w:sz w:val="18"/>
      </w:rPr>
      <w:t>2</w:t>
    </w:r>
    <w:r w:rsidRPr="00B84E78">
      <w:rPr>
        <w:b/>
        <w:sz w:val="18"/>
      </w:rPr>
      <w:fldChar w:fldCharType="end"/>
    </w:r>
    <w:r>
      <w:rPr>
        <w:b/>
        <w:sz w:val="18"/>
      </w:rPr>
      <w:tab/>
    </w:r>
    <w:r>
      <w:t>GE.20-00115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F0C2" w14:textId="77777777" w:rsidR="00B84E78" w:rsidRPr="00B84E78" w:rsidRDefault="00B84E78" w:rsidP="00B84E78">
    <w:pPr>
      <w:pStyle w:val="Footer"/>
      <w:tabs>
        <w:tab w:val="right" w:pos="9638"/>
      </w:tabs>
      <w:rPr>
        <w:b/>
        <w:sz w:val="18"/>
      </w:rPr>
    </w:pPr>
    <w:r>
      <w:t>GE.20-00115</w:t>
    </w:r>
    <w:r>
      <w:tab/>
    </w:r>
    <w:r w:rsidRPr="00B84E78">
      <w:rPr>
        <w:b/>
        <w:sz w:val="18"/>
      </w:rPr>
      <w:fldChar w:fldCharType="begin"/>
    </w:r>
    <w:r w:rsidRPr="00B84E78">
      <w:rPr>
        <w:b/>
        <w:sz w:val="18"/>
      </w:rPr>
      <w:instrText xml:space="preserve"> PAGE  \* MERGEFORMAT </w:instrText>
    </w:r>
    <w:r w:rsidRPr="00B84E78">
      <w:rPr>
        <w:b/>
        <w:sz w:val="18"/>
      </w:rPr>
      <w:fldChar w:fldCharType="separate"/>
    </w:r>
    <w:r w:rsidRPr="00B84E78">
      <w:rPr>
        <w:b/>
        <w:noProof/>
        <w:sz w:val="18"/>
      </w:rPr>
      <w:t>3</w:t>
    </w:r>
    <w:r w:rsidRPr="00B84E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EC1B" w14:textId="4EEAA49E" w:rsidR="007F20FA" w:rsidRPr="00B84E78" w:rsidRDefault="00B84E78" w:rsidP="00B84E78">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337D17FB" wp14:editId="610DC89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00115</w:t>
    </w:r>
    <w:r w:rsidR="00236830">
      <w:rPr>
        <w:sz w:val="20"/>
      </w:rPr>
      <w:t xml:space="preserve"> </w:t>
    </w:r>
    <w:r w:rsidR="005A4109">
      <w:rPr>
        <w:sz w:val="20"/>
      </w:rPr>
      <w:t xml:space="preserve"> </w:t>
    </w:r>
    <w:r>
      <w:rPr>
        <w:sz w:val="20"/>
      </w:rPr>
      <w:t>(</w:t>
    </w:r>
    <w:proofErr w:type="gramEnd"/>
    <w:r>
      <w:rPr>
        <w:sz w:val="20"/>
      </w:rPr>
      <w:t>F)</w:t>
    </w:r>
    <w:r w:rsidR="005A4109">
      <w:rPr>
        <w:sz w:val="20"/>
      </w:rPr>
      <w:t xml:space="preserve"> </w:t>
    </w:r>
    <w:r w:rsidR="00236830">
      <w:rPr>
        <w:sz w:val="20"/>
      </w:rPr>
      <w:t xml:space="preserve">  </w:t>
    </w:r>
    <w:r w:rsidR="005A4109">
      <w:rPr>
        <w:sz w:val="20"/>
      </w:rPr>
      <w:t xml:space="preserve"> </w:t>
    </w:r>
    <w:r w:rsidR="003848EF">
      <w:rPr>
        <w:sz w:val="20"/>
      </w:rPr>
      <w:t>090320</w:t>
    </w:r>
    <w:r w:rsidR="005A4109">
      <w:rPr>
        <w:sz w:val="20"/>
      </w:rPr>
      <w:t xml:space="preserve">  </w:t>
    </w:r>
    <w:r w:rsidR="00236830">
      <w:rPr>
        <w:sz w:val="20"/>
      </w:rPr>
      <w:t xml:space="preserve">  </w:t>
    </w:r>
    <w:r w:rsidR="003848EF">
      <w:rPr>
        <w:sz w:val="20"/>
      </w:rPr>
      <w:t>100320</w:t>
    </w:r>
    <w:r>
      <w:rPr>
        <w:sz w:val="20"/>
      </w:rPr>
      <w:br/>
    </w:r>
    <w:r w:rsidRPr="00B84E78">
      <w:rPr>
        <w:rFonts w:ascii="C39T30Lfz" w:hAnsi="C39T30Lfz"/>
        <w:sz w:val="56"/>
      </w:rPr>
      <w:t></w:t>
    </w:r>
    <w:r w:rsidRPr="00B84E78">
      <w:rPr>
        <w:rFonts w:ascii="C39T30Lfz" w:hAnsi="C39T30Lfz"/>
        <w:sz w:val="56"/>
      </w:rPr>
      <w:t></w:t>
    </w:r>
    <w:r w:rsidRPr="00B84E78">
      <w:rPr>
        <w:rFonts w:ascii="C39T30Lfz" w:hAnsi="C39T30Lfz"/>
        <w:sz w:val="56"/>
      </w:rPr>
      <w:t></w:t>
    </w:r>
    <w:r w:rsidRPr="00B84E78">
      <w:rPr>
        <w:rFonts w:ascii="C39T30Lfz" w:hAnsi="C39T30Lfz"/>
        <w:sz w:val="56"/>
      </w:rPr>
      <w:t></w:t>
    </w:r>
    <w:r w:rsidRPr="00B84E78">
      <w:rPr>
        <w:rFonts w:ascii="C39T30Lfz" w:hAnsi="C39T30Lfz"/>
        <w:sz w:val="56"/>
      </w:rPr>
      <w:t></w:t>
    </w:r>
    <w:r w:rsidRPr="00B84E78">
      <w:rPr>
        <w:rFonts w:ascii="C39T30Lfz" w:hAnsi="C39T30Lfz"/>
        <w:sz w:val="56"/>
      </w:rPr>
      <w:t></w:t>
    </w:r>
    <w:r w:rsidRPr="00B84E78">
      <w:rPr>
        <w:rFonts w:ascii="C39T30Lfz" w:hAnsi="C39T30Lfz"/>
        <w:sz w:val="56"/>
      </w:rPr>
      <w:t></w:t>
    </w:r>
    <w:r w:rsidRPr="00B84E78">
      <w:rPr>
        <w:rFonts w:ascii="C39T30Lfz" w:hAnsi="C39T30Lfz"/>
        <w:sz w:val="56"/>
      </w:rPr>
      <w:t></w:t>
    </w:r>
    <w:r w:rsidRPr="00B84E78">
      <w:rPr>
        <w:rFonts w:ascii="C39T30Lfz" w:hAnsi="C39T30Lfz"/>
        <w:sz w:val="56"/>
      </w:rPr>
      <w:t></w:t>
    </w:r>
    <w:r>
      <w:rPr>
        <w:noProof/>
        <w:sz w:val="20"/>
      </w:rPr>
      <w:drawing>
        <wp:anchor distT="0" distB="0" distL="114300" distR="114300" simplePos="0" relativeHeight="251658240" behindDoc="0" locked="0" layoutInCell="1" allowOverlap="1" wp14:anchorId="6632C517" wp14:editId="44BFDDDE">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4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4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D5B9" w14:textId="77777777" w:rsidR="00AA1C5A" w:rsidRPr="00AC3823" w:rsidRDefault="00AA1C5A" w:rsidP="00AC3823">
      <w:pPr>
        <w:pStyle w:val="Footer"/>
        <w:tabs>
          <w:tab w:val="right" w:pos="2155"/>
        </w:tabs>
        <w:spacing w:after="80" w:line="240" w:lineRule="atLeast"/>
        <w:ind w:left="680"/>
        <w:rPr>
          <w:u w:val="single"/>
        </w:rPr>
      </w:pPr>
      <w:r>
        <w:rPr>
          <w:u w:val="single"/>
        </w:rPr>
        <w:tab/>
      </w:r>
    </w:p>
  </w:footnote>
  <w:footnote w:type="continuationSeparator" w:id="0">
    <w:p w14:paraId="619D9D3F" w14:textId="77777777" w:rsidR="00AA1C5A" w:rsidRPr="00AC3823" w:rsidRDefault="00AA1C5A" w:rsidP="00AC3823">
      <w:pPr>
        <w:pStyle w:val="Footer"/>
        <w:tabs>
          <w:tab w:val="right" w:pos="2155"/>
        </w:tabs>
        <w:spacing w:after="80" w:line="240" w:lineRule="atLeast"/>
        <w:ind w:left="680"/>
        <w:rPr>
          <w:u w:val="single"/>
        </w:rPr>
      </w:pPr>
      <w:r>
        <w:rPr>
          <w:u w:val="single"/>
        </w:rPr>
        <w:tab/>
      </w:r>
    </w:p>
  </w:footnote>
  <w:footnote w:type="continuationNotice" w:id="1">
    <w:p w14:paraId="65FAF756" w14:textId="77777777" w:rsidR="00AA1C5A" w:rsidRPr="00AC3823" w:rsidRDefault="00AA1C5A">
      <w:pPr>
        <w:spacing w:line="240" w:lineRule="auto"/>
        <w:rPr>
          <w:sz w:val="2"/>
          <w:szCs w:val="2"/>
        </w:rPr>
      </w:pPr>
    </w:p>
  </w:footnote>
  <w:footnote w:id="2">
    <w:p w14:paraId="0FAF77AD" w14:textId="77777777" w:rsidR="001606FC" w:rsidRDefault="001606FC" w:rsidP="001606FC">
      <w:pPr>
        <w:pStyle w:val="FootnoteText"/>
      </w:pPr>
      <w:r w:rsidRPr="00365198">
        <w:rPr>
          <w:rStyle w:val="FootnoteReference"/>
          <w:vertAlign w:val="baseline"/>
        </w:rPr>
        <w:tab/>
      </w:r>
      <w:r w:rsidRPr="00730044">
        <w:rPr>
          <w:rStyle w:val="FootnoteReference"/>
          <w:sz w:val="20"/>
          <w:vertAlign w:val="baseline"/>
        </w:rPr>
        <w:t>*</w:t>
      </w:r>
      <w:r w:rsidRPr="00365198">
        <w:tab/>
      </w:r>
      <w:r>
        <w:t>2020 (A/74/6 (</w:t>
      </w:r>
      <w:r w:rsidR="003848EF">
        <w:t>s</w:t>
      </w:r>
      <w:r>
        <w:t>ect. 20) et supplément, sous-programme 2).</w:t>
      </w:r>
    </w:p>
  </w:footnote>
  <w:footnote w:id="3">
    <w:p w14:paraId="598EDC25" w14:textId="77777777" w:rsidR="001606FC" w:rsidRDefault="001606FC" w:rsidP="001606FC">
      <w:pPr>
        <w:pStyle w:val="FootnoteText"/>
        <w:rPr>
          <w:sz w:val="20"/>
        </w:rPr>
      </w:pPr>
      <w:r w:rsidRPr="00365198">
        <w:rPr>
          <w:rStyle w:val="FootnoteReference"/>
          <w:sz w:val="20"/>
          <w:vertAlign w:val="baseline"/>
        </w:rPr>
        <w:tab/>
        <w:t>**</w:t>
      </w:r>
      <w:r w:rsidRPr="00365198">
        <w:rPr>
          <w:sz w:val="20"/>
        </w:rPr>
        <w:tab/>
      </w:r>
      <w:r w:rsidRPr="00D67BC6">
        <w:t xml:space="preserve">Diffusée par l’Organisation </w:t>
      </w:r>
      <w:r w:rsidRPr="00D67BC6">
        <w:t xml:space="preserve">intergouvernementale pour les transports internationaux ferroviaires sous la cote </w:t>
      </w:r>
      <w:r>
        <w:t>OTIF/RID/RC/2020/41.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6BA4" w14:textId="213BDB30" w:rsidR="00B84E78" w:rsidRPr="00B84E78" w:rsidRDefault="00637A5F">
    <w:pPr>
      <w:pStyle w:val="Header"/>
    </w:pPr>
    <w:r>
      <w:fldChar w:fldCharType="begin"/>
    </w:r>
    <w:r>
      <w:instrText xml:space="preserve"> TITLE  \* MERGEFORMAT </w:instrText>
    </w:r>
    <w:r>
      <w:fldChar w:fldCharType="separate"/>
    </w:r>
    <w:r>
      <w:t>ECE/TRANS/WP.15/AC.1/2020/41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B4BB" w14:textId="166221FB" w:rsidR="00B84E78" w:rsidRPr="00B84E78" w:rsidRDefault="00637A5F" w:rsidP="00B84E78">
    <w:pPr>
      <w:pStyle w:val="Header"/>
      <w:jc w:val="right"/>
    </w:pPr>
    <w:r>
      <w:fldChar w:fldCharType="begin"/>
    </w:r>
    <w:r>
      <w:instrText xml:space="preserve"> TITLE  \* MERGEFORMAT </w:instrText>
    </w:r>
    <w:r>
      <w:fldChar w:fldCharType="separate"/>
    </w:r>
    <w:r>
      <w:t>ECE/TRANS/WP.15/AC.1/2020/41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5A"/>
    <w:rsid w:val="00010CAE"/>
    <w:rsid w:val="00017F94"/>
    <w:rsid w:val="00023842"/>
    <w:rsid w:val="000334F9"/>
    <w:rsid w:val="00045FEB"/>
    <w:rsid w:val="00065FDA"/>
    <w:rsid w:val="00074F9C"/>
    <w:rsid w:val="0007796D"/>
    <w:rsid w:val="000B7790"/>
    <w:rsid w:val="0010017A"/>
    <w:rsid w:val="00111F2F"/>
    <w:rsid w:val="00137A8D"/>
    <w:rsid w:val="0014365E"/>
    <w:rsid w:val="00143C66"/>
    <w:rsid w:val="001606FC"/>
    <w:rsid w:val="00176178"/>
    <w:rsid w:val="001D763D"/>
    <w:rsid w:val="001F525A"/>
    <w:rsid w:val="002073B6"/>
    <w:rsid w:val="00207AD9"/>
    <w:rsid w:val="00223272"/>
    <w:rsid w:val="00236830"/>
    <w:rsid w:val="0024779E"/>
    <w:rsid w:val="00257168"/>
    <w:rsid w:val="002744B8"/>
    <w:rsid w:val="00277E13"/>
    <w:rsid w:val="002832AC"/>
    <w:rsid w:val="002A4B46"/>
    <w:rsid w:val="002A7AE9"/>
    <w:rsid w:val="002D7C93"/>
    <w:rsid w:val="002E53B9"/>
    <w:rsid w:val="00305801"/>
    <w:rsid w:val="003218B9"/>
    <w:rsid w:val="003418CA"/>
    <w:rsid w:val="00365198"/>
    <w:rsid w:val="00371675"/>
    <w:rsid w:val="003848EF"/>
    <w:rsid w:val="003916DE"/>
    <w:rsid w:val="003D01B9"/>
    <w:rsid w:val="00421996"/>
    <w:rsid w:val="004347E4"/>
    <w:rsid w:val="00441C3B"/>
    <w:rsid w:val="00446FE5"/>
    <w:rsid w:val="00452396"/>
    <w:rsid w:val="004535BD"/>
    <w:rsid w:val="004837D8"/>
    <w:rsid w:val="004E2EED"/>
    <w:rsid w:val="004E468C"/>
    <w:rsid w:val="004F7481"/>
    <w:rsid w:val="005063B6"/>
    <w:rsid w:val="005505B7"/>
    <w:rsid w:val="00573BE5"/>
    <w:rsid w:val="00586ED3"/>
    <w:rsid w:val="00596AA9"/>
    <w:rsid w:val="005A33CE"/>
    <w:rsid w:val="005A4109"/>
    <w:rsid w:val="00601722"/>
    <w:rsid w:val="00606645"/>
    <w:rsid w:val="00626758"/>
    <w:rsid w:val="00637A5F"/>
    <w:rsid w:val="0064286A"/>
    <w:rsid w:val="0066415A"/>
    <w:rsid w:val="00664E7C"/>
    <w:rsid w:val="006D10F3"/>
    <w:rsid w:val="0071601D"/>
    <w:rsid w:val="00730044"/>
    <w:rsid w:val="00747F17"/>
    <w:rsid w:val="007A62E6"/>
    <w:rsid w:val="007B5D65"/>
    <w:rsid w:val="007F20FA"/>
    <w:rsid w:val="0080684C"/>
    <w:rsid w:val="008571A2"/>
    <w:rsid w:val="00871C75"/>
    <w:rsid w:val="008776DC"/>
    <w:rsid w:val="008C0491"/>
    <w:rsid w:val="00907E20"/>
    <w:rsid w:val="009446C0"/>
    <w:rsid w:val="009705C8"/>
    <w:rsid w:val="009C1CF4"/>
    <w:rsid w:val="009F6B74"/>
    <w:rsid w:val="00A3029F"/>
    <w:rsid w:val="00A30353"/>
    <w:rsid w:val="00A54185"/>
    <w:rsid w:val="00A814F7"/>
    <w:rsid w:val="00AA1C5A"/>
    <w:rsid w:val="00AC263C"/>
    <w:rsid w:val="00AC3823"/>
    <w:rsid w:val="00AE323C"/>
    <w:rsid w:val="00AF0CB5"/>
    <w:rsid w:val="00B00181"/>
    <w:rsid w:val="00B00B0D"/>
    <w:rsid w:val="00B45F2E"/>
    <w:rsid w:val="00B765F7"/>
    <w:rsid w:val="00B84E78"/>
    <w:rsid w:val="00B9011B"/>
    <w:rsid w:val="00B9298B"/>
    <w:rsid w:val="00BA0CA9"/>
    <w:rsid w:val="00BF7BB4"/>
    <w:rsid w:val="00C02897"/>
    <w:rsid w:val="00C36EB3"/>
    <w:rsid w:val="00C97039"/>
    <w:rsid w:val="00CF5119"/>
    <w:rsid w:val="00D3439C"/>
    <w:rsid w:val="00DB1831"/>
    <w:rsid w:val="00DB1B62"/>
    <w:rsid w:val="00DD3BFD"/>
    <w:rsid w:val="00DF6678"/>
    <w:rsid w:val="00E0299A"/>
    <w:rsid w:val="00E61467"/>
    <w:rsid w:val="00E85C74"/>
    <w:rsid w:val="00EA6547"/>
    <w:rsid w:val="00EB0E33"/>
    <w:rsid w:val="00EC35E6"/>
    <w:rsid w:val="00EF2E22"/>
    <w:rsid w:val="00F35BAF"/>
    <w:rsid w:val="00F4638B"/>
    <w:rsid w:val="00F5758C"/>
    <w:rsid w:val="00F660DF"/>
    <w:rsid w:val="00F925CB"/>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ABB51"/>
  <w15:docId w15:val="{D5C1FCF0-260B-4E1A-B45A-136F354F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qForma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qFormat/>
    <w:locked/>
    <w:rsid w:val="001606FC"/>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B9298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7827</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ECE/TRANS/WP.15/AC.1/2020/41</vt:lpstr>
      <vt:lpstr>ECE/TRANS/WP.15/AC.1/2020/41</vt:lpstr>
    </vt:vector>
  </TitlesOfParts>
  <Company>DCM</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ECE/TRANS/WP.15/AC.1/2020/41</dc:title>
  <dc:subject/>
  <dc:creator>Corinne ROBERT</dc:creator>
  <cp:keywords/>
  <cp:lastModifiedBy>Laurence Berthet</cp:lastModifiedBy>
  <cp:revision>3</cp:revision>
  <cp:lastPrinted>2020-03-10T10:53:00Z</cp:lastPrinted>
  <dcterms:created xsi:type="dcterms:W3CDTF">2020-03-10T10:53:00Z</dcterms:created>
  <dcterms:modified xsi:type="dcterms:W3CDTF">2020-03-10T10:53:00Z</dcterms:modified>
</cp:coreProperties>
</file>