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715D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715D3" w:rsidP="009715D3">
            <w:pPr>
              <w:jc w:val="right"/>
            </w:pPr>
            <w:r w:rsidRPr="009715D3">
              <w:rPr>
                <w:sz w:val="40"/>
              </w:rPr>
              <w:t>ECE</w:t>
            </w:r>
            <w:r>
              <w:t>/TRANS/WP.15/AC.1/2020/40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715D3" w:rsidP="00C97039">
            <w:pPr>
              <w:spacing w:before="240"/>
            </w:pPr>
            <w:r>
              <w:t>Distr. générale</w:t>
            </w:r>
          </w:p>
          <w:p w:rsidR="009715D3" w:rsidRDefault="009715D3" w:rsidP="009715D3">
            <w:pPr>
              <w:spacing w:line="240" w:lineRule="exact"/>
            </w:pPr>
            <w:r>
              <w:t>6 janvier 2020</w:t>
            </w:r>
          </w:p>
          <w:p w:rsidR="009715D3" w:rsidRDefault="009715D3" w:rsidP="009715D3">
            <w:pPr>
              <w:spacing w:line="240" w:lineRule="exact"/>
            </w:pPr>
            <w:r>
              <w:t>Français</w:t>
            </w:r>
          </w:p>
          <w:p w:rsidR="009715D3" w:rsidRPr="00DB58B5" w:rsidRDefault="009715D3" w:rsidP="009715D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45489A">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715D3" w:rsidRPr="009E01B8" w:rsidRDefault="009715D3" w:rsidP="00AF0CB5">
      <w:pPr>
        <w:spacing w:before="120"/>
        <w:rPr>
          <w:b/>
          <w:sz w:val="24"/>
          <w:szCs w:val="24"/>
        </w:rPr>
      </w:pPr>
      <w:r w:rsidRPr="009E01B8">
        <w:rPr>
          <w:b/>
          <w:sz w:val="24"/>
          <w:szCs w:val="24"/>
        </w:rPr>
        <w:t>Groupe de travail des transports de marchandises dangereuses</w:t>
      </w:r>
    </w:p>
    <w:p w:rsidR="009715D3" w:rsidRPr="00926E87" w:rsidRDefault="009715D3" w:rsidP="00AF0CB5">
      <w:pPr>
        <w:spacing w:before="120"/>
        <w:rPr>
          <w:b/>
        </w:rPr>
      </w:pPr>
      <w:r w:rsidRPr="00926E87">
        <w:rPr>
          <w:b/>
        </w:rPr>
        <w:t>Réunion commune de la Commission d</w:t>
      </w:r>
      <w:r w:rsidR="0045489A">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9715D3" w:rsidRDefault="009715D3" w:rsidP="00AF0CB5">
      <w:pPr>
        <w:spacing w:before="120"/>
      </w:pPr>
      <w:r w:rsidRPr="00151D73">
        <w:rPr>
          <w:rFonts w:eastAsia="Times New Roman"/>
          <w:lang w:eastAsia="fr-FR"/>
        </w:rPr>
        <w:t>Berne, 16</w:t>
      </w:r>
      <w:r w:rsidR="00E47C04">
        <w:rPr>
          <w:rFonts w:eastAsia="Times New Roman"/>
          <w:lang w:eastAsia="fr-FR"/>
        </w:rPr>
        <w:t>-</w:t>
      </w:r>
      <w:r w:rsidRPr="00151D73">
        <w:rPr>
          <w:rFonts w:eastAsia="Times New Roman"/>
          <w:lang w:eastAsia="fr-FR"/>
        </w:rPr>
        <w:t>20 mars 2020</w:t>
      </w:r>
    </w:p>
    <w:p w:rsidR="009715D3" w:rsidRDefault="009715D3" w:rsidP="00AF0CB5">
      <w:r w:rsidRPr="00151D73">
        <w:rPr>
          <w:rFonts w:eastAsia="Times New Roman"/>
          <w:lang w:eastAsia="fr-FR"/>
        </w:rPr>
        <w:t xml:space="preserve">Point </w:t>
      </w:r>
      <w:r>
        <w:rPr>
          <w:rFonts w:eastAsia="Times New Roman"/>
          <w:lang w:eastAsia="fr-FR"/>
        </w:rPr>
        <w:t>5 a)</w:t>
      </w:r>
      <w:r w:rsidRPr="00151D73">
        <w:rPr>
          <w:rFonts w:eastAsia="Times New Roman"/>
          <w:lang w:eastAsia="fr-FR"/>
        </w:rPr>
        <w:t xml:space="preserve"> de l</w:t>
      </w:r>
      <w:r w:rsidR="0045489A">
        <w:rPr>
          <w:rFonts w:eastAsia="Times New Roman"/>
          <w:lang w:eastAsia="fr-FR"/>
        </w:rPr>
        <w:t>’</w:t>
      </w:r>
      <w:r w:rsidRPr="00151D73">
        <w:rPr>
          <w:rFonts w:eastAsia="Times New Roman"/>
          <w:lang w:eastAsia="fr-FR"/>
        </w:rPr>
        <w:t>ordre du jour provisoire</w:t>
      </w:r>
    </w:p>
    <w:p w:rsidR="009715D3" w:rsidRPr="00151D73" w:rsidRDefault="009715D3" w:rsidP="009715D3">
      <w:pPr>
        <w:kinsoku/>
        <w:overflowPunct/>
        <w:autoSpaceDE/>
        <w:autoSpaceDN/>
        <w:adjustRightInd/>
        <w:snapToGrid/>
        <w:spacing w:line="240" w:lineRule="auto"/>
        <w:rPr>
          <w:b/>
        </w:rPr>
      </w:pPr>
      <w:r w:rsidRPr="00151D73">
        <w:rPr>
          <w:rFonts w:eastAsia="Times New Roman"/>
          <w:b/>
          <w:lang w:eastAsia="fr-FR"/>
        </w:rPr>
        <w:t>Propositions d</w:t>
      </w:r>
      <w:r w:rsidR="0045489A">
        <w:rPr>
          <w:rFonts w:eastAsia="Times New Roman"/>
          <w:b/>
          <w:lang w:eastAsia="fr-FR"/>
        </w:rPr>
        <w:t>’</w:t>
      </w:r>
      <w:r w:rsidRPr="00151D73">
        <w:rPr>
          <w:rFonts w:eastAsia="Times New Roman"/>
          <w:b/>
          <w:lang w:eastAsia="fr-FR"/>
        </w:rPr>
        <w:t>amendements au RID/ADR/ADN</w:t>
      </w:r>
      <w:r w:rsidR="00E47C04">
        <w:rPr>
          <w:rFonts w:eastAsia="Times New Roman"/>
          <w:b/>
          <w:lang w:eastAsia="fr-FR"/>
        </w:rPr>
        <w:t> </w:t>
      </w:r>
      <w:r w:rsidRPr="00151D73">
        <w:rPr>
          <w:rFonts w:eastAsia="Times New Roman"/>
          <w:b/>
          <w:lang w:eastAsia="fr-FR"/>
        </w:rPr>
        <w:t xml:space="preserve">: </w:t>
      </w:r>
      <w:r w:rsidRPr="00151D73">
        <w:rPr>
          <w:rFonts w:eastAsia="Times New Roman"/>
          <w:b/>
          <w:lang w:eastAsia="fr-FR"/>
        </w:rPr>
        <w:br/>
        <w:t>Questions en suspens</w:t>
      </w:r>
    </w:p>
    <w:p w:rsidR="009715D3" w:rsidRPr="00151D73" w:rsidRDefault="009715D3" w:rsidP="00E47C04">
      <w:pPr>
        <w:pStyle w:val="HChG"/>
      </w:pPr>
      <w:r w:rsidRPr="00151D73">
        <w:tab/>
      </w:r>
      <w:r w:rsidRPr="00151D73">
        <w:tab/>
      </w:r>
      <w:r>
        <w:t>Harmonisation d</w:t>
      </w:r>
      <w:r w:rsidRPr="00151D73">
        <w:t xml:space="preserve">e la disposition spéciale 593 </w:t>
      </w:r>
      <w:r w:rsidR="00E47C04">
        <w:br/>
      </w:r>
      <w:r>
        <w:t>avec la section 5.5.3</w:t>
      </w:r>
    </w:p>
    <w:p w:rsidR="009715D3" w:rsidRPr="00151D73" w:rsidRDefault="009715D3" w:rsidP="009715D3">
      <w:pPr>
        <w:pStyle w:val="H1G"/>
        <w:rPr>
          <w:rFonts w:eastAsia="Times New Roman"/>
          <w:szCs w:val="24"/>
          <w:lang w:eastAsia="zh-CN"/>
        </w:rPr>
      </w:pPr>
      <w:r w:rsidRPr="00151D73">
        <w:rPr>
          <w:sz w:val="28"/>
          <w:lang w:bidi="en-US"/>
        </w:rPr>
        <w:t xml:space="preserve"> </w:t>
      </w:r>
      <w:r w:rsidRPr="00151D73">
        <w:tab/>
      </w:r>
      <w:r w:rsidRPr="00151D73">
        <w:tab/>
        <w:t>Communication du Gouvernement de l</w:t>
      </w:r>
      <w:r w:rsidR="0045489A">
        <w:t>’</w:t>
      </w:r>
      <w:r>
        <w:t>Espagne</w:t>
      </w:r>
      <w:r w:rsidRPr="009715D3">
        <w:rPr>
          <w:rStyle w:val="FootnoteReference"/>
          <w:b w:val="0"/>
          <w:bCs/>
          <w:sz w:val="20"/>
          <w:vertAlign w:val="baseline"/>
        </w:rPr>
        <w:footnoteReference w:customMarkFollows="1" w:id="2"/>
        <w:t>*</w:t>
      </w:r>
      <w:r w:rsidRPr="009715D3">
        <w:rPr>
          <w:b w:val="0"/>
          <w:bCs/>
          <w:vertAlign w:val="superscript"/>
        </w:rPr>
        <w:t xml:space="preserve">, </w:t>
      </w:r>
      <w:r w:rsidRPr="009715D3">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45489A">
        <w:trPr>
          <w:jc w:val="center"/>
        </w:trPr>
        <w:tc>
          <w:tcPr>
            <w:tcW w:w="9637" w:type="dxa"/>
            <w:shd w:val="clear" w:color="auto" w:fill="auto"/>
          </w:tcPr>
          <w:p w:rsidR="0045489A" w:rsidRDefault="0045489A">
            <w:pPr>
              <w:spacing w:before="240" w:after="120"/>
              <w:ind w:left="255"/>
              <w:rPr>
                <w:i/>
                <w:sz w:val="24"/>
              </w:rPr>
            </w:pPr>
            <w:r>
              <w:rPr>
                <w:i/>
                <w:sz w:val="24"/>
              </w:rPr>
              <w:t>Résumé</w:t>
            </w:r>
          </w:p>
        </w:tc>
      </w:tr>
      <w:tr w:rsidR="0045489A">
        <w:trPr>
          <w:jc w:val="center"/>
        </w:trPr>
        <w:tc>
          <w:tcPr>
            <w:tcW w:w="9637" w:type="dxa"/>
            <w:shd w:val="clear" w:color="auto" w:fill="auto"/>
          </w:tcPr>
          <w:p w:rsidR="0045489A" w:rsidRDefault="0045489A" w:rsidP="0045489A">
            <w:pPr>
              <w:pStyle w:val="SingleTxtG"/>
              <w:ind w:left="3402" w:hanging="2268"/>
            </w:pPr>
            <w:r w:rsidRPr="0045489A">
              <w:rPr>
                <w:b/>
                <w:bCs/>
              </w:rPr>
              <w:t>Résumé analytique</w:t>
            </w:r>
            <w:r>
              <w:rPr>
                <w:b/>
                <w:bCs/>
              </w:rPr>
              <w:t> </w:t>
            </w:r>
            <w:r w:rsidRPr="0045489A">
              <w:rPr>
                <w:b/>
                <w:bCs/>
              </w:rPr>
              <w:t>:</w:t>
            </w:r>
            <w:r w:rsidRPr="0045489A">
              <w:tab/>
              <w:t>La disposition spéciale 593 n</w:t>
            </w:r>
            <w:r>
              <w:t>’</w:t>
            </w:r>
            <w:r w:rsidRPr="0045489A">
              <w:t>est pas en plein accord avec la section</w:t>
            </w:r>
            <w:r w:rsidR="00E47C04">
              <w:t> </w:t>
            </w:r>
            <w:r w:rsidRPr="0045489A">
              <w:t>5.5.3 et devrait être modifiée pour devenir compatible.</w:t>
            </w:r>
          </w:p>
        </w:tc>
      </w:tr>
      <w:tr w:rsidR="0045489A">
        <w:trPr>
          <w:jc w:val="center"/>
        </w:trPr>
        <w:tc>
          <w:tcPr>
            <w:tcW w:w="9637" w:type="dxa"/>
            <w:shd w:val="clear" w:color="auto" w:fill="auto"/>
          </w:tcPr>
          <w:p w:rsidR="0045489A" w:rsidRPr="0045489A" w:rsidRDefault="0045489A" w:rsidP="0045489A">
            <w:pPr>
              <w:pStyle w:val="SingleTxtG"/>
              <w:ind w:left="3402" w:hanging="2268"/>
              <w:rPr>
                <w:b/>
                <w:bCs/>
              </w:rPr>
            </w:pPr>
            <w:r w:rsidRPr="0045489A">
              <w:rPr>
                <w:b/>
                <w:bCs/>
              </w:rPr>
              <w:t>Mesure à prendre</w:t>
            </w:r>
            <w:r>
              <w:rPr>
                <w:b/>
                <w:bCs/>
              </w:rPr>
              <w:t> </w:t>
            </w:r>
            <w:r w:rsidRPr="0045489A">
              <w:rPr>
                <w:b/>
                <w:bCs/>
              </w:rPr>
              <w:t>:</w:t>
            </w:r>
            <w:r w:rsidRPr="0045489A">
              <w:rPr>
                <w:b/>
                <w:bCs/>
              </w:rPr>
              <w:tab/>
            </w:r>
            <w:r w:rsidRPr="0045489A">
              <w:t>Modifier la disposition spéciale 593.</w:t>
            </w:r>
          </w:p>
        </w:tc>
      </w:tr>
      <w:tr w:rsidR="0045489A">
        <w:trPr>
          <w:jc w:val="center"/>
        </w:trPr>
        <w:tc>
          <w:tcPr>
            <w:tcW w:w="9637" w:type="dxa"/>
            <w:shd w:val="clear" w:color="auto" w:fill="auto"/>
          </w:tcPr>
          <w:p w:rsidR="0045489A" w:rsidRPr="0045489A" w:rsidRDefault="0045489A" w:rsidP="0045489A">
            <w:pPr>
              <w:pStyle w:val="SingleTxtG"/>
              <w:ind w:left="3402" w:hanging="2268"/>
              <w:rPr>
                <w:b/>
                <w:bCs/>
              </w:rPr>
            </w:pPr>
            <w:r w:rsidRPr="0045489A">
              <w:rPr>
                <w:b/>
                <w:bCs/>
              </w:rPr>
              <w:t>Documents :</w:t>
            </w:r>
            <w:r>
              <w:rPr>
                <w:b/>
                <w:bCs/>
              </w:rPr>
              <w:tab/>
            </w:r>
            <w:r w:rsidRPr="0045489A">
              <w:t>ECE/TRANS/WP.15/AC.1/2019/33.</w:t>
            </w:r>
          </w:p>
        </w:tc>
      </w:tr>
      <w:tr w:rsidR="0045489A">
        <w:trPr>
          <w:jc w:val="center"/>
        </w:trPr>
        <w:tc>
          <w:tcPr>
            <w:tcW w:w="9637" w:type="dxa"/>
            <w:shd w:val="clear" w:color="auto" w:fill="auto"/>
          </w:tcPr>
          <w:p w:rsidR="0045489A" w:rsidRDefault="0045489A"/>
        </w:tc>
      </w:tr>
    </w:tbl>
    <w:p w:rsidR="0045489A" w:rsidRPr="00F13B6D" w:rsidRDefault="0045489A" w:rsidP="00E47C04">
      <w:pPr>
        <w:pStyle w:val="HChG"/>
        <w:rPr>
          <w:lang w:val="nl-NL" w:eastAsia="fr-FR"/>
        </w:rPr>
      </w:pPr>
      <w:r w:rsidRPr="006D61FA">
        <w:rPr>
          <w:lang w:eastAsia="fr-FR"/>
        </w:rPr>
        <w:tab/>
      </w:r>
      <w:r w:rsidRPr="006D61FA">
        <w:rPr>
          <w:lang w:eastAsia="fr-FR"/>
        </w:rPr>
        <w:tab/>
        <w:t>Introduction</w:t>
      </w:r>
    </w:p>
    <w:p w:rsidR="0045489A" w:rsidRPr="00DA41B5" w:rsidRDefault="0045489A" w:rsidP="0045489A">
      <w:pPr>
        <w:pStyle w:val="SingleTxtG"/>
        <w:rPr>
          <w:lang w:eastAsia="fr-FR"/>
        </w:rPr>
      </w:pPr>
      <w:r w:rsidRPr="00DA41B5">
        <w:rPr>
          <w:lang w:eastAsia="fr-FR"/>
        </w:rPr>
        <w:t>1.</w:t>
      </w:r>
      <w:r w:rsidRPr="00DA41B5">
        <w:rPr>
          <w:lang w:eastAsia="fr-FR"/>
        </w:rPr>
        <w:tab/>
        <w:t>Lors de la réunion de septembre, l’Espagne a présenté le document ECE/</w:t>
      </w:r>
      <w:r w:rsidRPr="00DA41B5">
        <w:rPr>
          <w:caps/>
          <w:lang w:eastAsia="fr-FR"/>
        </w:rPr>
        <w:t xml:space="preserve">trans/wp.15/ac.1/2019/33, </w:t>
      </w:r>
      <w:r w:rsidRPr="00DA41B5">
        <w:rPr>
          <w:lang w:eastAsia="fr-FR"/>
        </w:rPr>
        <w:t>dans lequel l’attention était attirée sur le fait que</w:t>
      </w:r>
      <w:r w:rsidRPr="00DA41B5">
        <w:rPr>
          <w:caps/>
          <w:lang w:eastAsia="fr-FR"/>
        </w:rPr>
        <w:t xml:space="preserve"> </w:t>
      </w:r>
      <w:r w:rsidRPr="00DA41B5">
        <w:rPr>
          <w:lang w:eastAsia="fr-FR"/>
        </w:rPr>
        <w:t>la disposition spéciale 593 ne semble pas en accord total avec la section 5.5.3, car elle pose des conditions supplémentaires qui n’apparaissent pas dans la section 5.5.3.</w:t>
      </w:r>
    </w:p>
    <w:p w:rsidR="0045489A" w:rsidRPr="00DA41B5" w:rsidRDefault="0045489A" w:rsidP="0045489A">
      <w:pPr>
        <w:pStyle w:val="SingleTxtG"/>
        <w:rPr>
          <w:rFonts w:eastAsia="Times New Roman"/>
          <w:lang w:eastAsia="fr-FR"/>
        </w:rPr>
      </w:pPr>
      <w:r w:rsidRPr="00DA41B5">
        <w:rPr>
          <w:rFonts w:eastAsia="Times New Roman"/>
          <w:lang w:eastAsia="fr-FR"/>
        </w:rPr>
        <w:t>2.</w:t>
      </w:r>
      <w:r w:rsidRPr="00DA41B5">
        <w:rPr>
          <w:rFonts w:eastAsia="Times New Roman"/>
          <w:lang w:eastAsia="fr-FR"/>
        </w:rPr>
        <w:tab/>
        <w:t xml:space="preserve">La disposition spéciale 593 s’applique aux </w:t>
      </w:r>
      <w:r w:rsidR="00E47C04" w:rsidRPr="00DA41B5">
        <w:rPr>
          <w:rFonts w:eastAsia="Times New Roman"/>
          <w:lang w:eastAsia="fr-FR"/>
        </w:rPr>
        <w:t>Nos</w:t>
      </w:r>
      <w:r w:rsidRPr="00DA41B5">
        <w:rPr>
          <w:rFonts w:eastAsia="Times New Roman"/>
          <w:lang w:eastAsia="fr-FR"/>
        </w:rPr>
        <w:t xml:space="preserve"> ONU 1913 N</w:t>
      </w:r>
      <w:r w:rsidR="00E47C04" w:rsidRPr="00DA41B5">
        <w:rPr>
          <w:rFonts w:eastAsia="Times New Roman"/>
          <w:lang w:eastAsia="fr-FR"/>
        </w:rPr>
        <w:t>É</w:t>
      </w:r>
      <w:r w:rsidRPr="00DA41B5">
        <w:rPr>
          <w:rFonts w:eastAsia="Times New Roman"/>
          <w:lang w:eastAsia="fr-FR"/>
        </w:rPr>
        <w:t xml:space="preserve">ON LIQUIDE </w:t>
      </w:r>
      <w:r w:rsidRPr="00DA41B5">
        <w:rPr>
          <w:rFonts w:eastAsia="Times New Roman"/>
          <w:caps/>
          <w:lang w:eastAsia="fr-FR"/>
        </w:rPr>
        <w:t>r</w:t>
      </w:r>
      <w:r w:rsidR="00E47C04" w:rsidRPr="00DA41B5">
        <w:rPr>
          <w:rFonts w:eastAsia="Times New Roman"/>
          <w:caps/>
          <w:lang w:eastAsia="fr-FR"/>
        </w:rPr>
        <w:t>é</w:t>
      </w:r>
      <w:r w:rsidRPr="00DA41B5">
        <w:rPr>
          <w:rFonts w:eastAsia="Times New Roman"/>
          <w:caps/>
          <w:lang w:eastAsia="fr-FR"/>
        </w:rPr>
        <w:t>frig</w:t>
      </w:r>
      <w:r w:rsidR="00324DCB" w:rsidRPr="00DA41B5">
        <w:rPr>
          <w:rFonts w:eastAsia="Times New Roman"/>
          <w:caps/>
          <w:lang w:eastAsia="fr-FR"/>
        </w:rPr>
        <w:t>é</w:t>
      </w:r>
      <w:r w:rsidRPr="00DA41B5">
        <w:rPr>
          <w:rFonts w:eastAsia="Times New Roman"/>
          <w:caps/>
          <w:lang w:eastAsia="fr-FR"/>
        </w:rPr>
        <w:t>r</w:t>
      </w:r>
      <w:r w:rsidR="00E47C04" w:rsidRPr="00DA41B5">
        <w:rPr>
          <w:rFonts w:eastAsia="Times New Roman"/>
          <w:caps/>
          <w:lang w:eastAsia="fr-FR"/>
        </w:rPr>
        <w:t>é</w:t>
      </w:r>
      <w:r w:rsidRPr="00DA41B5">
        <w:rPr>
          <w:rFonts w:eastAsia="Times New Roman"/>
          <w:caps/>
          <w:lang w:eastAsia="fr-FR"/>
        </w:rPr>
        <w:t>, 1951 ARGON LIQUIDE r</w:t>
      </w:r>
      <w:r w:rsidR="00324DCB" w:rsidRPr="00DA41B5">
        <w:rPr>
          <w:rFonts w:eastAsia="Times New Roman"/>
          <w:caps/>
          <w:lang w:eastAsia="fr-FR"/>
        </w:rPr>
        <w:t>é</w:t>
      </w:r>
      <w:r w:rsidRPr="00DA41B5">
        <w:rPr>
          <w:rFonts w:eastAsia="Times New Roman"/>
          <w:caps/>
          <w:lang w:eastAsia="fr-FR"/>
        </w:rPr>
        <w:t>frig</w:t>
      </w:r>
      <w:r w:rsidR="00324DCB" w:rsidRPr="00DA41B5">
        <w:rPr>
          <w:rFonts w:eastAsia="Times New Roman"/>
          <w:caps/>
          <w:lang w:eastAsia="fr-FR"/>
        </w:rPr>
        <w:t>é</w:t>
      </w:r>
      <w:r w:rsidRPr="00DA41B5">
        <w:rPr>
          <w:rFonts w:eastAsia="Times New Roman"/>
          <w:caps/>
          <w:lang w:eastAsia="fr-FR"/>
        </w:rPr>
        <w:t>r</w:t>
      </w:r>
      <w:r w:rsidR="00324DCB" w:rsidRPr="00DA41B5">
        <w:rPr>
          <w:rFonts w:eastAsia="Times New Roman"/>
          <w:caps/>
          <w:lang w:eastAsia="fr-FR"/>
        </w:rPr>
        <w:t>é</w:t>
      </w:r>
      <w:r w:rsidRPr="00DA41B5">
        <w:rPr>
          <w:rFonts w:eastAsia="Times New Roman"/>
          <w:caps/>
          <w:lang w:eastAsia="fr-FR"/>
        </w:rPr>
        <w:t>, 1963 H</w:t>
      </w:r>
      <w:r w:rsidR="00324DCB" w:rsidRPr="00DA41B5">
        <w:rPr>
          <w:rFonts w:eastAsia="Times New Roman"/>
          <w:caps/>
          <w:lang w:eastAsia="fr-FR"/>
        </w:rPr>
        <w:t>é</w:t>
      </w:r>
      <w:r w:rsidRPr="00DA41B5">
        <w:rPr>
          <w:rFonts w:eastAsia="Times New Roman"/>
          <w:caps/>
          <w:lang w:eastAsia="fr-FR"/>
        </w:rPr>
        <w:t>LIUM LIQUIDE r</w:t>
      </w:r>
      <w:r w:rsidR="00324DCB" w:rsidRPr="00DA41B5">
        <w:rPr>
          <w:rFonts w:eastAsia="Times New Roman"/>
          <w:caps/>
          <w:lang w:eastAsia="fr-FR"/>
        </w:rPr>
        <w:t>é</w:t>
      </w:r>
      <w:r w:rsidRPr="00DA41B5">
        <w:rPr>
          <w:rFonts w:eastAsia="Times New Roman"/>
          <w:caps/>
          <w:lang w:eastAsia="fr-FR"/>
        </w:rPr>
        <w:t>frig</w:t>
      </w:r>
      <w:r w:rsidR="00324DCB" w:rsidRPr="00DA41B5">
        <w:rPr>
          <w:rFonts w:eastAsia="Times New Roman"/>
          <w:caps/>
          <w:lang w:eastAsia="fr-FR"/>
        </w:rPr>
        <w:t>é</w:t>
      </w:r>
      <w:r w:rsidRPr="00DA41B5">
        <w:rPr>
          <w:rFonts w:eastAsia="Times New Roman"/>
          <w:caps/>
          <w:lang w:eastAsia="fr-FR"/>
        </w:rPr>
        <w:t>r</w:t>
      </w:r>
      <w:r w:rsidR="00324DCB" w:rsidRPr="00DA41B5">
        <w:rPr>
          <w:rFonts w:eastAsia="Times New Roman"/>
          <w:caps/>
          <w:lang w:eastAsia="fr-FR"/>
        </w:rPr>
        <w:t>é</w:t>
      </w:r>
      <w:r w:rsidRPr="00DA41B5">
        <w:rPr>
          <w:rFonts w:eastAsia="Times New Roman"/>
          <w:caps/>
          <w:lang w:eastAsia="fr-FR"/>
        </w:rPr>
        <w:t>, 1970 KRYPTON LIQUIDE R</w:t>
      </w:r>
      <w:r w:rsidR="00324DCB" w:rsidRPr="00DA41B5">
        <w:rPr>
          <w:rFonts w:eastAsia="Times New Roman"/>
          <w:caps/>
          <w:lang w:eastAsia="fr-FR"/>
        </w:rPr>
        <w:t>é</w:t>
      </w:r>
      <w:r w:rsidRPr="00DA41B5">
        <w:rPr>
          <w:rFonts w:eastAsia="Times New Roman"/>
          <w:caps/>
          <w:lang w:eastAsia="fr-FR"/>
        </w:rPr>
        <w:t>FRIG</w:t>
      </w:r>
      <w:r w:rsidR="00324DCB" w:rsidRPr="00DA41B5">
        <w:rPr>
          <w:rFonts w:eastAsia="Times New Roman"/>
          <w:caps/>
          <w:lang w:eastAsia="fr-FR"/>
        </w:rPr>
        <w:t>é</w:t>
      </w:r>
      <w:r w:rsidRPr="00DA41B5">
        <w:rPr>
          <w:rFonts w:eastAsia="Times New Roman"/>
          <w:caps/>
          <w:lang w:eastAsia="fr-FR"/>
        </w:rPr>
        <w:t>R</w:t>
      </w:r>
      <w:r w:rsidR="00324DCB" w:rsidRPr="00DA41B5">
        <w:rPr>
          <w:rFonts w:eastAsia="Times New Roman"/>
          <w:caps/>
          <w:lang w:eastAsia="fr-FR"/>
        </w:rPr>
        <w:t>é</w:t>
      </w:r>
      <w:r w:rsidRPr="00DA41B5">
        <w:rPr>
          <w:rFonts w:eastAsia="Times New Roman"/>
          <w:caps/>
          <w:lang w:eastAsia="fr-FR"/>
        </w:rPr>
        <w:t>, 1977 AZOTE LIQUIDE R</w:t>
      </w:r>
      <w:r w:rsidR="00324DCB" w:rsidRPr="00DA41B5">
        <w:rPr>
          <w:rFonts w:eastAsia="Times New Roman"/>
          <w:caps/>
          <w:lang w:eastAsia="fr-FR"/>
        </w:rPr>
        <w:t>é</w:t>
      </w:r>
      <w:r w:rsidRPr="00DA41B5">
        <w:rPr>
          <w:rFonts w:eastAsia="Times New Roman"/>
          <w:caps/>
          <w:lang w:eastAsia="fr-FR"/>
        </w:rPr>
        <w:t>FRIG</w:t>
      </w:r>
      <w:r w:rsidR="00324DCB" w:rsidRPr="00DA41B5">
        <w:rPr>
          <w:rFonts w:eastAsia="Times New Roman"/>
          <w:caps/>
          <w:lang w:eastAsia="fr-FR"/>
        </w:rPr>
        <w:t>é</w:t>
      </w:r>
      <w:r w:rsidRPr="00DA41B5">
        <w:rPr>
          <w:rFonts w:eastAsia="Times New Roman"/>
          <w:caps/>
          <w:lang w:eastAsia="fr-FR"/>
        </w:rPr>
        <w:t>R</w:t>
      </w:r>
      <w:r w:rsidR="00324DCB" w:rsidRPr="00DA41B5">
        <w:rPr>
          <w:rFonts w:eastAsia="Times New Roman"/>
          <w:caps/>
          <w:lang w:eastAsia="fr-FR"/>
        </w:rPr>
        <w:t>é</w:t>
      </w:r>
      <w:r w:rsidRPr="00DA41B5">
        <w:rPr>
          <w:rFonts w:eastAsia="Times New Roman"/>
          <w:caps/>
          <w:lang w:eastAsia="fr-FR"/>
        </w:rPr>
        <w:t>, 2591 X</w:t>
      </w:r>
      <w:r w:rsidR="00324DCB" w:rsidRPr="00DA41B5">
        <w:rPr>
          <w:rFonts w:eastAsia="Times New Roman"/>
          <w:caps/>
          <w:lang w:eastAsia="fr-FR"/>
        </w:rPr>
        <w:t>é</w:t>
      </w:r>
      <w:r w:rsidRPr="00DA41B5">
        <w:rPr>
          <w:rFonts w:eastAsia="Times New Roman"/>
          <w:caps/>
          <w:lang w:eastAsia="fr-FR"/>
        </w:rPr>
        <w:t>NON LIQUIDE R</w:t>
      </w:r>
      <w:r w:rsidR="00324DCB" w:rsidRPr="00DA41B5">
        <w:rPr>
          <w:rFonts w:eastAsia="Times New Roman"/>
          <w:caps/>
          <w:lang w:eastAsia="fr-FR"/>
        </w:rPr>
        <w:t>é</w:t>
      </w:r>
      <w:r w:rsidRPr="00DA41B5">
        <w:rPr>
          <w:rFonts w:eastAsia="Times New Roman"/>
          <w:caps/>
          <w:lang w:eastAsia="fr-FR"/>
        </w:rPr>
        <w:t>FRIG</w:t>
      </w:r>
      <w:r w:rsidR="00324DCB" w:rsidRPr="00DA41B5">
        <w:rPr>
          <w:rFonts w:eastAsia="Times New Roman"/>
          <w:caps/>
          <w:lang w:eastAsia="fr-FR"/>
        </w:rPr>
        <w:t>é</w:t>
      </w:r>
      <w:r w:rsidRPr="00DA41B5">
        <w:rPr>
          <w:rFonts w:eastAsia="Times New Roman"/>
          <w:caps/>
          <w:lang w:eastAsia="fr-FR"/>
        </w:rPr>
        <w:t>R</w:t>
      </w:r>
      <w:r w:rsidR="00324DCB" w:rsidRPr="00DA41B5">
        <w:rPr>
          <w:rFonts w:eastAsia="Times New Roman"/>
          <w:caps/>
          <w:lang w:eastAsia="fr-FR"/>
        </w:rPr>
        <w:t>é</w:t>
      </w:r>
      <w:r w:rsidRPr="00DA41B5">
        <w:rPr>
          <w:rFonts w:eastAsia="Times New Roman"/>
          <w:caps/>
          <w:lang w:eastAsia="fr-FR"/>
        </w:rPr>
        <w:t>, 3136 TRIFLUOROM</w:t>
      </w:r>
      <w:r w:rsidR="00324DCB" w:rsidRPr="00DA41B5">
        <w:rPr>
          <w:rFonts w:eastAsia="Times New Roman"/>
          <w:caps/>
          <w:lang w:eastAsia="fr-FR"/>
        </w:rPr>
        <w:t>é</w:t>
      </w:r>
      <w:r w:rsidRPr="00DA41B5">
        <w:rPr>
          <w:rFonts w:eastAsia="Times New Roman"/>
          <w:caps/>
          <w:lang w:eastAsia="fr-FR"/>
        </w:rPr>
        <w:t>THANE</w:t>
      </w:r>
      <w:r w:rsidRPr="00DA41B5">
        <w:t xml:space="preserve"> </w:t>
      </w:r>
      <w:r w:rsidRPr="00DA41B5">
        <w:rPr>
          <w:rFonts w:eastAsia="Times New Roman"/>
          <w:caps/>
          <w:lang w:eastAsia="fr-FR"/>
        </w:rPr>
        <w:lastRenderedPageBreak/>
        <w:t>LIQUIDE R</w:t>
      </w:r>
      <w:r w:rsidR="00324DCB" w:rsidRPr="00DA41B5">
        <w:rPr>
          <w:rFonts w:eastAsia="Times New Roman"/>
          <w:caps/>
          <w:lang w:eastAsia="fr-FR"/>
        </w:rPr>
        <w:t>é</w:t>
      </w:r>
      <w:r w:rsidRPr="00DA41B5">
        <w:rPr>
          <w:rFonts w:eastAsia="Times New Roman"/>
          <w:caps/>
          <w:lang w:eastAsia="fr-FR"/>
        </w:rPr>
        <w:t>FRIG</w:t>
      </w:r>
      <w:r w:rsidR="00324DCB" w:rsidRPr="00DA41B5">
        <w:rPr>
          <w:rFonts w:eastAsia="Times New Roman"/>
          <w:caps/>
          <w:lang w:eastAsia="fr-FR"/>
        </w:rPr>
        <w:t>é</w:t>
      </w:r>
      <w:r w:rsidRPr="00DA41B5">
        <w:rPr>
          <w:rFonts w:eastAsia="Times New Roman"/>
          <w:caps/>
          <w:lang w:eastAsia="fr-FR"/>
        </w:rPr>
        <w:t>R</w:t>
      </w:r>
      <w:r w:rsidR="00324DCB" w:rsidRPr="00DA41B5">
        <w:rPr>
          <w:rFonts w:eastAsia="Times New Roman"/>
          <w:caps/>
          <w:lang w:eastAsia="fr-FR"/>
        </w:rPr>
        <w:t>é</w:t>
      </w:r>
      <w:r w:rsidRPr="00DA41B5">
        <w:rPr>
          <w:rFonts w:eastAsia="Times New Roman"/>
          <w:lang w:eastAsia="fr-FR"/>
        </w:rPr>
        <w:t xml:space="preserve"> et</w:t>
      </w:r>
      <w:r w:rsidRPr="00DA41B5">
        <w:rPr>
          <w:rFonts w:eastAsia="Times New Roman"/>
          <w:caps/>
          <w:lang w:eastAsia="fr-FR"/>
        </w:rPr>
        <w:t xml:space="preserve"> </w:t>
      </w:r>
      <w:r w:rsidRPr="00DA41B5">
        <w:rPr>
          <w:rFonts w:eastAsia="Times New Roman"/>
          <w:lang w:eastAsia="fr-FR"/>
        </w:rPr>
        <w:t>3158 GAZ LIQUIDE R</w:t>
      </w:r>
      <w:r w:rsidR="00324DCB" w:rsidRPr="00DA41B5">
        <w:rPr>
          <w:rFonts w:eastAsia="Times New Roman"/>
          <w:lang w:eastAsia="fr-FR"/>
        </w:rPr>
        <w:t>É</w:t>
      </w:r>
      <w:r w:rsidRPr="00DA41B5">
        <w:rPr>
          <w:rFonts w:eastAsia="Times New Roman"/>
          <w:lang w:eastAsia="fr-FR"/>
        </w:rPr>
        <w:t>FRIG</w:t>
      </w:r>
      <w:r w:rsidR="00324DCB" w:rsidRPr="00DA41B5">
        <w:rPr>
          <w:rFonts w:eastAsia="Times New Roman"/>
          <w:lang w:eastAsia="fr-FR"/>
        </w:rPr>
        <w:t>É</w:t>
      </w:r>
      <w:r w:rsidRPr="00DA41B5">
        <w:rPr>
          <w:rFonts w:eastAsia="Times New Roman"/>
          <w:lang w:eastAsia="fr-FR"/>
        </w:rPr>
        <w:t>R</w:t>
      </w:r>
      <w:r w:rsidR="00324DCB" w:rsidRPr="00DA41B5">
        <w:rPr>
          <w:rFonts w:eastAsia="Times New Roman"/>
          <w:lang w:eastAsia="fr-FR"/>
        </w:rPr>
        <w:t>É</w:t>
      </w:r>
      <w:r w:rsidRPr="00DA41B5">
        <w:rPr>
          <w:rFonts w:eastAsia="Times New Roman"/>
          <w:lang w:eastAsia="fr-FR"/>
        </w:rPr>
        <w:t>,</w:t>
      </w:r>
      <w:r w:rsidRPr="00DA41B5">
        <w:rPr>
          <w:rFonts w:eastAsia="Times New Roman"/>
          <w:caps/>
          <w:lang w:eastAsia="fr-FR"/>
        </w:rPr>
        <w:t xml:space="preserve"> </w:t>
      </w:r>
      <w:r w:rsidRPr="00DA41B5">
        <w:t>n.s.a., et le texte actuel</w:t>
      </w:r>
      <w:r w:rsidRPr="00DA41B5">
        <w:rPr>
          <w:rFonts w:eastAsia="Times New Roman"/>
          <w:lang w:eastAsia="fr-FR"/>
        </w:rPr>
        <w:t xml:space="preserve"> de la disposition spéciale 593 indique que</w:t>
      </w:r>
      <w:r w:rsidR="009142F8" w:rsidRPr="00DA41B5">
        <w:rPr>
          <w:rFonts w:eastAsia="Times New Roman"/>
          <w:lang w:eastAsia="fr-FR"/>
        </w:rPr>
        <w:t> </w:t>
      </w:r>
      <w:r w:rsidRPr="00DA41B5">
        <w:rPr>
          <w:rFonts w:eastAsia="Times New Roman"/>
          <w:lang w:eastAsia="fr-FR"/>
        </w:rPr>
        <w:t xml:space="preserve">: </w:t>
      </w:r>
    </w:p>
    <w:p w:rsidR="0045489A" w:rsidRPr="0045489A" w:rsidRDefault="00EB5F56" w:rsidP="00EB5F56">
      <w:pPr>
        <w:pStyle w:val="SingleTxtG"/>
        <w:ind w:left="1701"/>
        <w:rPr>
          <w:rFonts w:eastAsia="Times New Roman"/>
          <w:lang w:eastAsia="fr-FR"/>
        </w:rPr>
      </w:pPr>
      <w:r>
        <w:rPr>
          <w:rFonts w:eastAsia="Times New Roman"/>
          <w:lang w:eastAsia="fr-FR"/>
        </w:rPr>
        <w:t>« </w:t>
      </w:r>
      <w:r w:rsidR="0045489A" w:rsidRPr="0045489A">
        <w:rPr>
          <w:rFonts w:eastAsia="Times New Roman"/>
          <w:lang w:eastAsia="fr-FR"/>
        </w:rPr>
        <w:t>Ce gaz, conçu pour le refroidissement par exemple d</w:t>
      </w:r>
      <w:r w:rsidR="0045489A">
        <w:rPr>
          <w:rFonts w:eastAsia="Times New Roman"/>
          <w:lang w:eastAsia="fr-FR"/>
        </w:rPr>
        <w:t>’</w:t>
      </w:r>
      <w:r w:rsidR="0045489A" w:rsidRPr="0045489A">
        <w:rPr>
          <w:rFonts w:eastAsia="Times New Roman"/>
          <w:lang w:eastAsia="fr-FR"/>
        </w:rPr>
        <w:t>échantillons médicaux ou biologiques, lorsqu</w:t>
      </w:r>
      <w:r w:rsidR="0045489A">
        <w:rPr>
          <w:rFonts w:eastAsia="Times New Roman"/>
          <w:lang w:eastAsia="fr-FR"/>
        </w:rPr>
        <w:t>’</w:t>
      </w:r>
      <w:r w:rsidR="0045489A" w:rsidRPr="0045489A">
        <w:rPr>
          <w:rFonts w:eastAsia="Times New Roman"/>
          <w:lang w:eastAsia="fr-FR"/>
        </w:rPr>
        <w:t>il est contenu dans des récipients à double cloison qui satisfont aux dispositions de l</w:t>
      </w:r>
      <w:r w:rsidR="0045489A">
        <w:rPr>
          <w:rFonts w:eastAsia="Times New Roman"/>
          <w:lang w:eastAsia="fr-FR"/>
        </w:rPr>
        <w:t>’</w:t>
      </w:r>
      <w:r w:rsidR="0045489A" w:rsidRPr="0045489A">
        <w:rPr>
          <w:rFonts w:eastAsia="Times New Roman"/>
          <w:lang w:eastAsia="fr-FR"/>
        </w:rPr>
        <w:t>instruction d</w:t>
      </w:r>
      <w:r w:rsidR="0045489A">
        <w:rPr>
          <w:rFonts w:eastAsia="Times New Roman"/>
          <w:lang w:eastAsia="fr-FR"/>
        </w:rPr>
        <w:t>’</w:t>
      </w:r>
      <w:r w:rsidR="0045489A" w:rsidRPr="0045489A">
        <w:rPr>
          <w:rFonts w:eastAsia="Times New Roman"/>
          <w:lang w:eastAsia="fr-FR"/>
        </w:rPr>
        <w:t>emballage P203 6), prescriptions applicables aux récipients cryogéniques ouverts, du 4.1.4.1, n</w:t>
      </w:r>
      <w:r w:rsidR="0045489A">
        <w:rPr>
          <w:rFonts w:eastAsia="Times New Roman"/>
          <w:lang w:eastAsia="fr-FR"/>
        </w:rPr>
        <w:t>’</w:t>
      </w:r>
      <w:r w:rsidR="0045489A" w:rsidRPr="0045489A">
        <w:rPr>
          <w:rFonts w:eastAsia="Times New Roman"/>
          <w:lang w:eastAsia="fr-FR"/>
        </w:rPr>
        <w:t>est pas soumis aux prescriptions du RID excepté tel qu</w:t>
      </w:r>
      <w:r w:rsidR="0045489A">
        <w:rPr>
          <w:rFonts w:eastAsia="Times New Roman"/>
          <w:lang w:eastAsia="fr-FR"/>
        </w:rPr>
        <w:t>’</w:t>
      </w:r>
      <w:r w:rsidR="0045489A" w:rsidRPr="0045489A">
        <w:rPr>
          <w:rFonts w:eastAsia="Times New Roman"/>
          <w:lang w:eastAsia="fr-FR"/>
        </w:rPr>
        <w:t>indiqué au 5.5.3.</w:t>
      </w:r>
      <w:r>
        <w:rPr>
          <w:rFonts w:eastAsia="Times New Roman"/>
          <w:lang w:eastAsia="fr-FR"/>
        </w:rPr>
        <w:t> »</w:t>
      </w:r>
      <w:r w:rsidR="0045489A" w:rsidRPr="0045489A">
        <w:rPr>
          <w:rFonts w:eastAsia="Times New Roman"/>
          <w:lang w:eastAsia="fr-FR"/>
        </w:rPr>
        <w:t xml:space="preserve">. </w:t>
      </w:r>
    </w:p>
    <w:p w:rsidR="0045489A" w:rsidRPr="0045489A" w:rsidRDefault="0045489A" w:rsidP="0045489A">
      <w:pPr>
        <w:pStyle w:val="SingleTxtG"/>
        <w:rPr>
          <w:rFonts w:eastAsia="Times New Roman"/>
          <w:lang w:eastAsia="fr-FR"/>
        </w:rPr>
      </w:pPr>
      <w:r w:rsidRPr="0045489A">
        <w:rPr>
          <w:rFonts w:eastAsia="Times New Roman"/>
          <w:lang w:eastAsia="fr-FR"/>
        </w:rPr>
        <w:t>3.</w:t>
      </w:r>
      <w:r w:rsidRPr="0045489A">
        <w:rPr>
          <w:rFonts w:eastAsia="Times New Roman"/>
          <w:lang w:eastAsia="fr-FR"/>
        </w:rPr>
        <w:tab/>
      </w:r>
      <w:r w:rsidRPr="0045489A">
        <w:rPr>
          <w:rFonts w:eastAsia="Times New Roman"/>
          <w:lang w:val="nl-NL" w:eastAsia="fr-FR"/>
        </w:rPr>
        <w:t xml:space="preserve">La disposition spéciale </w:t>
      </w:r>
      <w:r w:rsidRPr="0045489A">
        <w:rPr>
          <w:rFonts w:eastAsia="Times New Roman"/>
          <w:lang w:eastAsia="fr-FR"/>
        </w:rPr>
        <w:t>593 ne semble pas pleinement compatible avec la section</w:t>
      </w:r>
      <w:r w:rsidR="00EB5F56">
        <w:rPr>
          <w:rFonts w:eastAsia="Times New Roman"/>
          <w:lang w:eastAsia="fr-FR"/>
        </w:rPr>
        <w:t> </w:t>
      </w:r>
      <w:r w:rsidRPr="0045489A">
        <w:rPr>
          <w:rFonts w:eastAsia="Times New Roman"/>
          <w:lang w:eastAsia="fr-FR"/>
        </w:rPr>
        <w:t>5.5.3, car elle pose des conditions supplémentaires qui n</w:t>
      </w:r>
      <w:r>
        <w:rPr>
          <w:rFonts w:eastAsia="Times New Roman"/>
          <w:lang w:eastAsia="fr-FR"/>
        </w:rPr>
        <w:t>’</w:t>
      </w:r>
      <w:r w:rsidRPr="0045489A">
        <w:rPr>
          <w:rFonts w:eastAsia="Times New Roman"/>
          <w:lang w:eastAsia="fr-FR"/>
        </w:rPr>
        <w:t>apparaissent pas dans la section</w:t>
      </w:r>
      <w:r w:rsidR="00EB5F56">
        <w:rPr>
          <w:rFonts w:eastAsia="Times New Roman"/>
          <w:lang w:eastAsia="fr-FR"/>
        </w:rPr>
        <w:t> </w:t>
      </w:r>
      <w:r w:rsidRPr="0045489A">
        <w:rPr>
          <w:rFonts w:eastAsia="Times New Roman"/>
          <w:lang w:eastAsia="fr-FR"/>
        </w:rPr>
        <w:t xml:space="preserve">5.5.3. </w:t>
      </w:r>
    </w:p>
    <w:p w:rsidR="0045489A" w:rsidRPr="0045489A" w:rsidRDefault="0045489A" w:rsidP="0045489A">
      <w:pPr>
        <w:pStyle w:val="SingleTxtG"/>
        <w:rPr>
          <w:rFonts w:eastAsia="Times New Roman"/>
          <w:lang w:eastAsia="fr-FR"/>
        </w:rPr>
      </w:pPr>
      <w:r w:rsidRPr="0045489A">
        <w:rPr>
          <w:rFonts w:eastAsia="Times New Roman"/>
          <w:lang w:eastAsia="fr-FR"/>
        </w:rPr>
        <w:t>4.</w:t>
      </w:r>
      <w:r w:rsidRPr="0045489A">
        <w:rPr>
          <w:rFonts w:eastAsia="Times New Roman"/>
          <w:lang w:eastAsia="fr-FR"/>
        </w:rPr>
        <w:tab/>
        <w:t xml:space="preserve">Le texte de la </w:t>
      </w:r>
      <w:r w:rsidRPr="0045489A">
        <w:rPr>
          <w:rFonts w:eastAsia="Times New Roman"/>
          <w:lang w:val="nl-NL" w:eastAsia="fr-FR"/>
        </w:rPr>
        <w:t xml:space="preserve">disposition spéciale </w:t>
      </w:r>
      <w:r w:rsidRPr="0045489A">
        <w:rPr>
          <w:rFonts w:eastAsia="Times New Roman"/>
          <w:lang w:eastAsia="fr-FR"/>
        </w:rPr>
        <w:t>593 a été introduit dans le RID/ADR en 2001, tandis que la section 5.5.3 l</w:t>
      </w:r>
      <w:r>
        <w:rPr>
          <w:rFonts w:eastAsia="Times New Roman"/>
          <w:lang w:eastAsia="fr-FR"/>
        </w:rPr>
        <w:t>’</w:t>
      </w:r>
      <w:r w:rsidRPr="0045489A">
        <w:rPr>
          <w:rFonts w:eastAsia="Times New Roman"/>
          <w:lang w:eastAsia="fr-FR"/>
        </w:rPr>
        <w:t xml:space="preserve">a été en 2013. La </w:t>
      </w:r>
      <w:r w:rsidRPr="0045489A">
        <w:rPr>
          <w:rFonts w:eastAsia="Times New Roman"/>
          <w:lang w:val="nl-NL" w:eastAsia="fr-FR"/>
        </w:rPr>
        <w:t xml:space="preserve">disposition spéciale </w:t>
      </w:r>
      <w:r w:rsidRPr="0045489A">
        <w:rPr>
          <w:rFonts w:eastAsia="Times New Roman"/>
          <w:lang w:eastAsia="fr-FR"/>
        </w:rPr>
        <w:t xml:space="preserve">593 semble avoir été modifiée pour tenir compte des modifications apportées à la section 5.5.3 et il est manifeste que son texte doit être actualisé. </w:t>
      </w:r>
    </w:p>
    <w:p w:rsidR="0045489A" w:rsidRPr="00F13B6D" w:rsidRDefault="0045489A" w:rsidP="00EB5F56">
      <w:pPr>
        <w:pStyle w:val="HChG"/>
        <w:rPr>
          <w:lang w:eastAsia="zh-CN"/>
        </w:rPr>
      </w:pPr>
      <w:r w:rsidRPr="00F13B6D">
        <w:rPr>
          <w:lang w:eastAsia="zh-CN"/>
        </w:rPr>
        <w:tab/>
      </w:r>
      <w:r w:rsidRPr="00F13B6D">
        <w:rPr>
          <w:lang w:eastAsia="zh-CN"/>
        </w:rPr>
        <w:tab/>
      </w:r>
      <w:r>
        <w:rPr>
          <w:lang w:eastAsia="zh-CN"/>
        </w:rPr>
        <w:t>C</w:t>
      </w:r>
      <w:r w:rsidRPr="00FF4792">
        <w:rPr>
          <w:lang w:eastAsia="zh-CN"/>
        </w:rPr>
        <w:t>onditions de t</w:t>
      </w:r>
      <w:r w:rsidRPr="00F13B6D">
        <w:rPr>
          <w:lang w:eastAsia="zh-CN"/>
        </w:rPr>
        <w:t xml:space="preserve">ransport </w:t>
      </w:r>
      <w:r w:rsidRPr="00FF4792">
        <w:rPr>
          <w:lang w:eastAsia="zh-CN"/>
        </w:rPr>
        <w:t xml:space="preserve">de marchandises </w:t>
      </w:r>
      <w:r>
        <w:rPr>
          <w:lang w:eastAsia="zh-CN"/>
        </w:rPr>
        <w:t xml:space="preserve">réfrigérées </w:t>
      </w:r>
      <w:r w:rsidR="00EB5F56">
        <w:rPr>
          <w:lang w:eastAsia="zh-CN"/>
        </w:rPr>
        <w:br/>
      </w:r>
      <w:r w:rsidRPr="00FF4792">
        <w:rPr>
          <w:lang w:eastAsia="zh-CN"/>
        </w:rPr>
        <w:t xml:space="preserve">par </w:t>
      </w:r>
      <w:r>
        <w:rPr>
          <w:lang w:eastAsia="zh-CN"/>
        </w:rPr>
        <w:t>d</w:t>
      </w:r>
      <w:r w:rsidRPr="00FF4792">
        <w:rPr>
          <w:lang w:eastAsia="zh-CN"/>
        </w:rPr>
        <w:t>u gaz</w:t>
      </w:r>
    </w:p>
    <w:p w:rsidR="0045489A" w:rsidRPr="0045489A" w:rsidRDefault="0045489A" w:rsidP="0045489A">
      <w:pPr>
        <w:pStyle w:val="SingleTxtG"/>
        <w:rPr>
          <w:rFonts w:eastAsia="Times New Roman"/>
          <w:lang w:eastAsia="fr-FR"/>
        </w:rPr>
      </w:pPr>
      <w:r w:rsidRPr="0045489A">
        <w:rPr>
          <w:rFonts w:eastAsia="Times New Roman"/>
          <w:lang w:eastAsia="fr-FR"/>
        </w:rPr>
        <w:t>5.</w:t>
      </w:r>
      <w:r w:rsidRPr="0045489A">
        <w:rPr>
          <w:rFonts w:eastAsia="Times New Roman"/>
          <w:lang w:eastAsia="fr-FR"/>
        </w:rPr>
        <w:tab/>
        <w:t>Lors du transport de marchandises réfrigérées au moyen de l</w:t>
      </w:r>
      <w:r>
        <w:rPr>
          <w:rFonts w:eastAsia="Times New Roman"/>
          <w:lang w:eastAsia="fr-FR"/>
        </w:rPr>
        <w:t>’</w:t>
      </w:r>
      <w:r w:rsidRPr="0045489A">
        <w:rPr>
          <w:rFonts w:eastAsia="Times New Roman"/>
          <w:lang w:eastAsia="fr-FR"/>
        </w:rPr>
        <w:t>un des gaz auxquels s</w:t>
      </w:r>
      <w:r>
        <w:rPr>
          <w:rFonts w:eastAsia="Times New Roman"/>
          <w:lang w:eastAsia="fr-FR"/>
        </w:rPr>
        <w:t>’</w:t>
      </w:r>
      <w:r w:rsidRPr="0045489A">
        <w:rPr>
          <w:rFonts w:eastAsia="Times New Roman"/>
          <w:lang w:eastAsia="fr-FR"/>
        </w:rPr>
        <w:t>applique la disposition spéciale 593, il semble y avoir deux options pour chercher les dispositions applicables</w:t>
      </w:r>
      <w:r w:rsidR="00EB5F56">
        <w:rPr>
          <w:rFonts w:eastAsia="Times New Roman"/>
          <w:lang w:eastAsia="fr-FR"/>
        </w:rPr>
        <w:t> </w:t>
      </w:r>
      <w:r w:rsidRPr="0045489A">
        <w:rPr>
          <w:rFonts w:eastAsia="Times New Roman"/>
          <w:lang w:eastAsia="fr-FR"/>
        </w:rPr>
        <w:t>:</w:t>
      </w:r>
    </w:p>
    <w:p w:rsidR="0045489A" w:rsidRPr="0045489A" w:rsidRDefault="0045489A" w:rsidP="00EB5F56">
      <w:pPr>
        <w:pStyle w:val="Bullet1G"/>
        <w:rPr>
          <w:lang w:eastAsia="fr-FR"/>
        </w:rPr>
      </w:pPr>
      <w:r w:rsidRPr="0045489A">
        <w:rPr>
          <w:lang w:eastAsia="fr-FR"/>
        </w:rPr>
        <w:t>OPTION 1</w:t>
      </w:r>
      <w:r w:rsidR="00EB5F56">
        <w:rPr>
          <w:lang w:eastAsia="fr-FR"/>
        </w:rPr>
        <w:t> </w:t>
      </w:r>
      <w:r w:rsidRPr="0045489A">
        <w:rPr>
          <w:lang w:eastAsia="fr-FR"/>
        </w:rPr>
        <w:t>: En se référant au paragraphe 1.1.3.9, puisque tous les gaz mentionnés dans la disposition spéciale 593 ne sont qu</w:t>
      </w:r>
      <w:r>
        <w:rPr>
          <w:lang w:eastAsia="fr-FR"/>
        </w:rPr>
        <w:t>’</w:t>
      </w:r>
      <w:r w:rsidRPr="0045489A">
        <w:rPr>
          <w:lang w:eastAsia="fr-FR"/>
        </w:rPr>
        <w:t>asphyxiants, on est dirigé vers la section</w:t>
      </w:r>
      <w:r w:rsidR="00EB5F56">
        <w:rPr>
          <w:lang w:eastAsia="fr-FR"/>
        </w:rPr>
        <w:t> </w:t>
      </w:r>
      <w:r w:rsidRPr="0045489A">
        <w:rPr>
          <w:lang w:eastAsia="fr-FR"/>
        </w:rPr>
        <w:t>5.5.3 et il faut directement appliquer les conditions qui y sont spécifiées. Les numéros ONU auxquels s</w:t>
      </w:r>
      <w:r>
        <w:rPr>
          <w:lang w:eastAsia="fr-FR"/>
        </w:rPr>
        <w:t>’</w:t>
      </w:r>
      <w:r w:rsidRPr="0045489A">
        <w:rPr>
          <w:lang w:eastAsia="fr-FR"/>
        </w:rPr>
        <w:t>applique la disposition spéciale 593 ne sont pas explicitement nommés dans la section 5.5.3, qui au demeurant ne donne pas une liste complète mais seulement des exemples. La raison pour laquelle la disposition spéciale 593 devrait s</w:t>
      </w:r>
      <w:r>
        <w:rPr>
          <w:lang w:eastAsia="fr-FR"/>
        </w:rPr>
        <w:t>’</w:t>
      </w:r>
      <w:r w:rsidRPr="0045489A">
        <w:rPr>
          <w:lang w:eastAsia="fr-FR"/>
        </w:rPr>
        <w:t>appliquer entre tout à fait dans le champ d</w:t>
      </w:r>
      <w:r>
        <w:rPr>
          <w:lang w:eastAsia="fr-FR"/>
        </w:rPr>
        <w:t>’</w:t>
      </w:r>
      <w:r w:rsidRPr="0045489A">
        <w:rPr>
          <w:lang w:eastAsia="fr-FR"/>
        </w:rPr>
        <w:t>application de la section</w:t>
      </w:r>
      <w:r w:rsidR="00894777">
        <w:rPr>
          <w:lang w:eastAsia="fr-FR"/>
        </w:rPr>
        <w:t> </w:t>
      </w:r>
      <w:r w:rsidRPr="0045489A">
        <w:rPr>
          <w:lang w:eastAsia="fr-FR"/>
        </w:rPr>
        <w:t>5.5.3</w:t>
      </w:r>
      <w:r w:rsidR="00894777">
        <w:rPr>
          <w:lang w:eastAsia="fr-FR"/>
        </w:rPr>
        <w:t> ;</w:t>
      </w:r>
      <w:r w:rsidRPr="0045489A">
        <w:rPr>
          <w:lang w:eastAsia="fr-FR"/>
        </w:rPr>
        <w:t xml:space="preserve"> </w:t>
      </w:r>
    </w:p>
    <w:p w:rsidR="0045489A" w:rsidRPr="0045489A" w:rsidRDefault="0045489A" w:rsidP="00894777">
      <w:pPr>
        <w:pStyle w:val="Bullet1G"/>
        <w:rPr>
          <w:lang w:eastAsia="fr-FR"/>
        </w:rPr>
      </w:pPr>
      <w:r w:rsidRPr="0045489A">
        <w:rPr>
          <w:lang w:eastAsia="fr-FR"/>
        </w:rPr>
        <w:t>OPTION 2</w:t>
      </w:r>
      <w:r w:rsidR="00894777">
        <w:rPr>
          <w:lang w:eastAsia="fr-FR"/>
        </w:rPr>
        <w:t> </w:t>
      </w:r>
      <w:r w:rsidRPr="0045489A">
        <w:rPr>
          <w:lang w:eastAsia="fr-FR"/>
        </w:rPr>
        <w:t>: En accédant au tableau A du chapitre 3.2, en cherchant la rubrique correspondant au gaz et en appliquant les conditions de transport qui y sont spécifiées. On peut choisir d</w:t>
      </w:r>
      <w:r>
        <w:rPr>
          <w:lang w:eastAsia="fr-FR"/>
        </w:rPr>
        <w:t>’</w:t>
      </w:r>
      <w:r w:rsidRPr="0045489A">
        <w:rPr>
          <w:lang w:eastAsia="fr-FR"/>
        </w:rPr>
        <w:t>appliquer la  disposition spéciale 593 car on utilise le gaz pour réfrigérer une marchandise. Dans ce cas, les conditions de la disposition spéciale 593 (conditions d</w:t>
      </w:r>
      <w:r>
        <w:rPr>
          <w:lang w:eastAsia="fr-FR"/>
        </w:rPr>
        <w:t>’</w:t>
      </w:r>
      <w:r w:rsidRPr="0045489A">
        <w:rPr>
          <w:lang w:eastAsia="fr-FR"/>
        </w:rPr>
        <w:t>emballage) doivent être remplies en plus de celles de la section</w:t>
      </w:r>
      <w:r w:rsidR="00894777">
        <w:rPr>
          <w:lang w:eastAsia="fr-FR"/>
        </w:rPr>
        <w:t> </w:t>
      </w:r>
      <w:r w:rsidRPr="0045489A">
        <w:rPr>
          <w:lang w:eastAsia="fr-FR"/>
        </w:rPr>
        <w:t xml:space="preserve">5.5.3, comme il est indiqué dans la disposition spéciale. </w:t>
      </w:r>
    </w:p>
    <w:p w:rsidR="0045489A" w:rsidRPr="00F13B6D" w:rsidRDefault="0045489A" w:rsidP="00894777">
      <w:pPr>
        <w:pStyle w:val="H1G"/>
        <w:rPr>
          <w:lang w:eastAsia="fr-FR"/>
        </w:rPr>
      </w:pPr>
      <w:r w:rsidRPr="006D61FA">
        <w:rPr>
          <w:lang w:eastAsia="fr-FR"/>
        </w:rPr>
        <w:tab/>
      </w:r>
      <w:r w:rsidRPr="006D61FA">
        <w:rPr>
          <w:lang w:eastAsia="fr-FR"/>
        </w:rPr>
        <w:tab/>
      </w:r>
      <w:r w:rsidRPr="007909FA">
        <w:rPr>
          <w:lang w:eastAsia="fr-FR"/>
        </w:rPr>
        <w:t>Conditions d</w:t>
      </w:r>
      <w:r>
        <w:rPr>
          <w:lang w:eastAsia="fr-FR"/>
        </w:rPr>
        <w:t>’</w:t>
      </w:r>
      <w:r w:rsidRPr="007909FA">
        <w:rPr>
          <w:lang w:eastAsia="fr-FR"/>
        </w:rPr>
        <w:t>emballage</w:t>
      </w:r>
    </w:p>
    <w:p w:rsidR="0045489A" w:rsidRPr="0045489A" w:rsidRDefault="0045489A" w:rsidP="0045489A">
      <w:pPr>
        <w:pStyle w:val="SingleTxtG"/>
        <w:rPr>
          <w:rFonts w:eastAsia="Times New Roman"/>
          <w:lang w:eastAsia="fr-FR"/>
        </w:rPr>
      </w:pPr>
      <w:r w:rsidRPr="0045489A">
        <w:rPr>
          <w:rFonts w:eastAsia="Times New Roman"/>
          <w:lang w:eastAsia="fr-FR"/>
        </w:rPr>
        <w:t>6.</w:t>
      </w:r>
      <w:r w:rsidRPr="0045489A">
        <w:rPr>
          <w:rFonts w:eastAsia="Times New Roman"/>
          <w:lang w:eastAsia="fr-FR"/>
        </w:rPr>
        <w:tab/>
        <w:t>Si l</w:t>
      </w:r>
      <w:r>
        <w:rPr>
          <w:rFonts w:eastAsia="Times New Roman"/>
          <w:lang w:eastAsia="fr-FR"/>
        </w:rPr>
        <w:t>’</w:t>
      </w:r>
      <w:r w:rsidRPr="0045489A">
        <w:rPr>
          <w:rFonts w:eastAsia="Times New Roman"/>
          <w:lang w:eastAsia="fr-FR"/>
        </w:rPr>
        <w:t>on cherche les conditions d</w:t>
      </w:r>
      <w:r>
        <w:rPr>
          <w:rFonts w:eastAsia="Times New Roman"/>
          <w:lang w:eastAsia="fr-FR"/>
        </w:rPr>
        <w:t>’</w:t>
      </w:r>
      <w:r w:rsidRPr="0045489A">
        <w:rPr>
          <w:rFonts w:eastAsia="Times New Roman"/>
          <w:lang w:eastAsia="fr-FR"/>
        </w:rPr>
        <w:t>emballage en passant par le paragraphe</w:t>
      </w:r>
      <w:r w:rsidR="00894777">
        <w:rPr>
          <w:rFonts w:eastAsia="Times New Roman"/>
          <w:lang w:eastAsia="fr-FR"/>
        </w:rPr>
        <w:t> </w:t>
      </w:r>
      <w:r w:rsidRPr="0045489A">
        <w:rPr>
          <w:rFonts w:eastAsia="Times New Roman"/>
          <w:lang w:eastAsia="fr-FR"/>
        </w:rPr>
        <w:t>1.1.3.9 (OPTION</w:t>
      </w:r>
      <w:r w:rsidR="00894777">
        <w:rPr>
          <w:rFonts w:eastAsia="Times New Roman"/>
          <w:lang w:eastAsia="fr-FR"/>
        </w:rPr>
        <w:t> </w:t>
      </w:r>
      <w:r w:rsidRPr="0045489A">
        <w:rPr>
          <w:rFonts w:eastAsia="Times New Roman"/>
          <w:lang w:eastAsia="fr-FR"/>
        </w:rPr>
        <w:t>1), on trouve à la section 5.5.3 les conditions suivantes.</w:t>
      </w:r>
    </w:p>
    <w:p w:rsidR="0045489A" w:rsidRPr="0045489A" w:rsidRDefault="0045489A" w:rsidP="0045489A">
      <w:pPr>
        <w:pStyle w:val="SingleTxtG"/>
        <w:rPr>
          <w:rFonts w:eastAsia="Times New Roman"/>
          <w:lang w:eastAsia="fr-FR"/>
        </w:rPr>
      </w:pPr>
      <w:r w:rsidRPr="0045489A">
        <w:rPr>
          <w:rFonts w:eastAsia="Times New Roman"/>
          <w:lang w:eastAsia="fr-FR"/>
        </w:rPr>
        <w:t>7.</w:t>
      </w:r>
      <w:r w:rsidRPr="0045489A">
        <w:rPr>
          <w:rFonts w:eastAsia="Times New Roman"/>
          <w:lang w:eastAsia="fr-FR"/>
        </w:rPr>
        <w:tab/>
        <w:t>La paragraphe 5.5.3.3.1 indique que si des marchandises dangereuses nécessitant d</w:t>
      </w:r>
      <w:r>
        <w:rPr>
          <w:rFonts w:eastAsia="Times New Roman"/>
          <w:lang w:eastAsia="fr-FR"/>
        </w:rPr>
        <w:t>’</w:t>
      </w:r>
      <w:r w:rsidRPr="0045489A">
        <w:rPr>
          <w:rFonts w:eastAsia="Times New Roman"/>
          <w:lang w:eastAsia="fr-FR"/>
        </w:rPr>
        <w:t>être réfrigérées sont affectées à l</w:t>
      </w:r>
      <w:r>
        <w:rPr>
          <w:rFonts w:eastAsia="Times New Roman"/>
          <w:lang w:eastAsia="fr-FR"/>
        </w:rPr>
        <w:t>’</w:t>
      </w:r>
      <w:r w:rsidRPr="0045489A">
        <w:rPr>
          <w:rFonts w:eastAsia="Times New Roman"/>
          <w:lang w:eastAsia="fr-FR"/>
        </w:rPr>
        <w:t>une ou l</w:t>
      </w:r>
      <w:r>
        <w:rPr>
          <w:rFonts w:eastAsia="Times New Roman"/>
          <w:lang w:eastAsia="fr-FR"/>
        </w:rPr>
        <w:t>’</w:t>
      </w:r>
      <w:r w:rsidRPr="0045489A">
        <w:rPr>
          <w:rFonts w:eastAsia="Times New Roman"/>
          <w:lang w:eastAsia="fr-FR"/>
        </w:rPr>
        <w:t>autre des instructions d</w:t>
      </w:r>
      <w:r>
        <w:rPr>
          <w:rFonts w:eastAsia="Times New Roman"/>
          <w:lang w:eastAsia="fr-FR"/>
        </w:rPr>
        <w:t>’</w:t>
      </w:r>
      <w:r w:rsidRPr="0045489A">
        <w:rPr>
          <w:rFonts w:eastAsia="Times New Roman"/>
          <w:lang w:eastAsia="fr-FR"/>
        </w:rPr>
        <w:t>emballage P203, P620, P650, P800, P901 ou P904 il s</w:t>
      </w:r>
      <w:r>
        <w:rPr>
          <w:rFonts w:eastAsia="Times New Roman"/>
          <w:lang w:eastAsia="fr-FR"/>
        </w:rPr>
        <w:t>’</w:t>
      </w:r>
      <w:r w:rsidRPr="0045489A">
        <w:rPr>
          <w:rFonts w:eastAsia="Times New Roman"/>
          <w:lang w:eastAsia="fr-FR"/>
        </w:rPr>
        <w:t>agit de les respecter. Ces instructions d</w:t>
      </w:r>
      <w:r>
        <w:rPr>
          <w:rFonts w:eastAsia="Times New Roman"/>
          <w:lang w:eastAsia="fr-FR"/>
        </w:rPr>
        <w:t>’</w:t>
      </w:r>
      <w:r w:rsidRPr="0045489A">
        <w:rPr>
          <w:rFonts w:eastAsia="Times New Roman"/>
          <w:lang w:eastAsia="fr-FR"/>
        </w:rPr>
        <w:t>emballage  couvrent le transport des gaz liquéfiés réfrigérés (dans ce cas il s</w:t>
      </w:r>
      <w:r>
        <w:rPr>
          <w:rFonts w:eastAsia="Times New Roman"/>
          <w:lang w:eastAsia="fr-FR"/>
        </w:rPr>
        <w:t>’</w:t>
      </w:r>
      <w:r w:rsidRPr="0045489A">
        <w:rPr>
          <w:rFonts w:eastAsia="Times New Roman"/>
          <w:lang w:eastAsia="fr-FR"/>
        </w:rPr>
        <w:t xml:space="preserve">agit de transporter un gaz liquéfié réfrigéré par un autre gaz liquéfié réfrigéré), les matières infectieuses, les </w:t>
      </w:r>
      <w:r w:rsidR="00F73FFF">
        <w:rPr>
          <w:rFonts w:eastAsia="Times New Roman"/>
          <w:lang w:eastAsia="fr-FR"/>
        </w:rPr>
        <w:t>Nos </w:t>
      </w:r>
      <w:r w:rsidRPr="0045489A">
        <w:rPr>
          <w:rFonts w:eastAsia="Times New Roman"/>
          <w:lang w:eastAsia="fr-FR"/>
        </w:rPr>
        <w:t>ONU</w:t>
      </w:r>
      <w:r w:rsidR="00F73FFF">
        <w:rPr>
          <w:rFonts w:eastAsia="Times New Roman"/>
          <w:lang w:eastAsia="fr-FR"/>
        </w:rPr>
        <w:t> </w:t>
      </w:r>
      <w:r w:rsidRPr="0045489A">
        <w:rPr>
          <w:rFonts w:eastAsia="Times New Roman"/>
          <w:lang w:eastAsia="fr-FR"/>
        </w:rPr>
        <w:t xml:space="preserve">2803 et 2809 (gallium et mercure), le </w:t>
      </w:r>
      <w:r w:rsidR="00F73FFF">
        <w:rPr>
          <w:rFonts w:eastAsia="Times New Roman"/>
          <w:lang w:eastAsia="fr-FR"/>
        </w:rPr>
        <w:t>No</w:t>
      </w:r>
      <w:r w:rsidRPr="0045489A">
        <w:rPr>
          <w:rFonts w:eastAsia="Times New Roman"/>
          <w:lang w:eastAsia="fr-FR"/>
        </w:rPr>
        <w:t xml:space="preserve"> ONU 3316 (trousse chimique ou trousse de premiers secours) et le </w:t>
      </w:r>
      <w:r w:rsidR="00F73FFF">
        <w:rPr>
          <w:rFonts w:eastAsia="Times New Roman"/>
          <w:lang w:eastAsia="fr-FR"/>
        </w:rPr>
        <w:t>No</w:t>
      </w:r>
      <w:r w:rsidRPr="0045489A">
        <w:rPr>
          <w:rFonts w:eastAsia="Times New Roman"/>
          <w:lang w:eastAsia="fr-FR"/>
        </w:rPr>
        <w:t xml:space="preserve"> ONU 3245 (micro-organismes génétiquement modifiés).</w:t>
      </w:r>
    </w:p>
    <w:p w:rsidR="0045489A" w:rsidRPr="0045489A" w:rsidRDefault="0045489A" w:rsidP="0045489A">
      <w:pPr>
        <w:pStyle w:val="SingleTxtG"/>
        <w:rPr>
          <w:rFonts w:eastAsia="Times New Roman"/>
          <w:lang w:eastAsia="fr-FR"/>
        </w:rPr>
      </w:pPr>
      <w:r w:rsidRPr="0045489A">
        <w:rPr>
          <w:rFonts w:eastAsia="Times New Roman"/>
          <w:lang w:eastAsia="fr-FR"/>
        </w:rPr>
        <w:t>8.</w:t>
      </w:r>
      <w:r w:rsidRPr="0045489A">
        <w:rPr>
          <w:rFonts w:eastAsia="Times New Roman"/>
          <w:lang w:eastAsia="fr-FR"/>
        </w:rPr>
        <w:tab/>
        <w:t>Le paragraphe 5.5.3.3.2 donne des prescriptions générales qui doivent être remplies au cas où une instruction d</w:t>
      </w:r>
      <w:r>
        <w:rPr>
          <w:rFonts w:eastAsia="Times New Roman"/>
          <w:lang w:eastAsia="fr-FR"/>
        </w:rPr>
        <w:t>’</w:t>
      </w:r>
      <w:r w:rsidRPr="0045489A">
        <w:rPr>
          <w:rFonts w:eastAsia="Times New Roman"/>
          <w:lang w:eastAsia="fr-FR"/>
        </w:rPr>
        <w:t>emballage différente est applicable. Ce cas n</w:t>
      </w:r>
      <w:r>
        <w:rPr>
          <w:rFonts w:eastAsia="Times New Roman"/>
          <w:lang w:eastAsia="fr-FR"/>
        </w:rPr>
        <w:t>’</w:t>
      </w:r>
      <w:r w:rsidRPr="0045489A">
        <w:rPr>
          <w:rFonts w:eastAsia="Times New Roman"/>
          <w:lang w:eastAsia="fr-FR"/>
        </w:rPr>
        <w:t>est pas fréquent car les marchandises dangereuses qui doivent être réfrigérées sont référencées par leur instruction d</w:t>
      </w:r>
      <w:r>
        <w:rPr>
          <w:rFonts w:eastAsia="Times New Roman"/>
          <w:lang w:eastAsia="fr-FR"/>
        </w:rPr>
        <w:t>’</w:t>
      </w:r>
      <w:r w:rsidRPr="0045489A">
        <w:rPr>
          <w:rFonts w:eastAsia="Times New Roman"/>
          <w:lang w:eastAsia="fr-FR"/>
        </w:rPr>
        <w:t>emballage au paragraphe 5.5.3.3.1.</w:t>
      </w:r>
    </w:p>
    <w:p w:rsidR="0045489A" w:rsidRPr="0045489A" w:rsidRDefault="0045489A" w:rsidP="0045489A">
      <w:pPr>
        <w:pStyle w:val="SingleTxtG"/>
        <w:rPr>
          <w:rFonts w:eastAsia="Times New Roman"/>
          <w:lang w:eastAsia="fr-FR"/>
        </w:rPr>
      </w:pPr>
      <w:r w:rsidRPr="0045489A">
        <w:rPr>
          <w:rFonts w:eastAsia="Times New Roman"/>
          <w:lang w:eastAsia="fr-FR"/>
        </w:rPr>
        <w:t>9.</w:t>
      </w:r>
      <w:r w:rsidRPr="0045489A">
        <w:rPr>
          <w:rFonts w:eastAsia="Times New Roman"/>
          <w:lang w:eastAsia="fr-FR"/>
        </w:rPr>
        <w:tab/>
        <w:t>Le paragraphe 5.5.3.3 ne donne pas d</w:t>
      </w:r>
      <w:r>
        <w:rPr>
          <w:rFonts w:eastAsia="Times New Roman"/>
          <w:lang w:eastAsia="fr-FR"/>
        </w:rPr>
        <w:t>’</w:t>
      </w:r>
      <w:r w:rsidRPr="0045489A">
        <w:rPr>
          <w:rFonts w:eastAsia="Times New Roman"/>
          <w:lang w:eastAsia="fr-FR"/>
        </w:rPr>
        <w:t>indication spécifique concernant l</w:t>
      </w:r>
      <w:r>
        <w:rPr>
          <w:rFonts w:eastAsia="Times New Roman"/>
          <w:lang w:eastAsia="fr-FR"/>
        </w:rPr>
        <w:t>’</w:t>
      </w:r>
      <w:r w:rsidRPr="0045489A">
        <w:rPr>
          <w:rFonts w:eastAsia="Times New Roman"/>
          <w:lang w:eastAsia="fr-FR"/>
        </w:rPr>
        <w:t xml:space="preserve">emballage de marchandises qui ne sont pas des marchandises dangereuses mais qui nécessitent un </w:t>
      </w:r>
      <w:r w:rsidRPr="0045489A">
        <w:rPr>
          <w:rFonts w:eastAsia="Times New Roman"/>
          <w:lang w:eastAsia="fr-FR"/>
        </w:rPr>
        <w:lastRenderedPageBreak/>
        <w:t>agent de réfrigération. Dans un tel cas, il paraîtrait raisonnable d</w:t>
      </w:r>
      <w:r>
        <w:rPr>
          <w:rFonts w:eastAsia="Times New Roman"/>
          <w:lang w:eastAsia="fr-FR"/>
        </w:rPr>
        <w:t>’</w:t>
      </w:r>
      <w:r w:rsidRPr="0045489A">
        <w:rPr>
          <w:rFonts w:eastAsia="Times New Roman"/>
          <w:lang w:eastAsia="fr-FR"/>
        </w:rPr>
        <w:t>appliquer des conditions semblables à celles du paragraphe 5.5.3.3.2, mais ce n</w:t>
      </w:r>
      <w:r>
        <w:rPr>
          <w:rFonts w:eastAsia="Times New Roman"/>
          <w:lang w:eastAsia="fr-FR"/>
        </w:rPr>
        <w:t>’</w:t>
      </w:r>
      <w:r w:rsidRPr="0045489A">
        <w:rPr>
          <w:rFonts w:eastAsia="Times New Roman"/>
          <w:lang w:eastAsia="fr-FR"/>
        </w:rPr>
        <w:t xml:space="preserve">est pas exigé.  </w:t>
      </w:r>
    </w:p>
    <w:p w:rsidR="0045489A" w:rsidRPr="0045489A" w:rsidRDefault="0045489A" w:rsidP="0045489A">
      <w:pPr>
        <w:pStyle w:val="SingleTxtG"/>
        <w:rPr>
          <w:rFonts w:eastAsia="Times New Roman"/>
          <w:lang w:eastAsia="fr-FR"/>
        </w:rPr>
      </w:pPr>
      <w:r w:rsidRPr="0045489A">
        <w:rPr>
          <w:rFonts w:eastAsia="Times New Roman"/>
          <w:lang w:eastAsia="fr-FR"/>
        </w:rPr>
        <w:t>10.</w:t>
      </w:r>
      <w:r w:rsidRPr="0045489A">
        <w:rPr>
          <w:rFonts w:eastAsia="Times New Roman"/>
          <w:lang w:eastAsia="fr-FR"/>
        </w:rPr>
        <w:tab/>
        <w:t>Si l</w:t>
      </w:r>
      <w:r>
        <w:rPr>
          <w:rFonts w:eastAsia="Times New Roman"/>
          <w:lang w:eastAsia="fr-FR"/>
        </w:rPr>
        <w:t>’</w:t>
      </w:r>
      <w:r w:rsidRPr="0045489A">
        <w:rPr>
          <w:rFonts w:eastAsia="Times New Roman"/>
          <w:lang w:eastAsia="fr-FR"/>
        </w:rPr>
        <w:t>on cherche les conditions de transport en passant par le tableau (OPTION 2), on sera dans tous les cas dirigé vers l</w:t>
      </w:r>
      <w:r>
        <w:rPr>
          <w:rFonts w:eastAsia="Times New Roman"/>
          <w:lang w:eastAsia="fr-FR"/>
        </w:rPr>
        <w:t>’</w:t>
      </w:r>
      <w:r w:rsidRPr="0045489A">
        <w:rPr>
          <w:rFonts w:eastAsia="Times New Roman"/>
          <w:lang w:eastAsia="fr-FR"/>
        </w:rPr>
        <w:t>instruction d</w:t>
      </w:r>
      <w:r>
        <w:rPr>
          <w:rFonts w:eastAsia="Times New Roman"/>
          <w:lang w:eastAsia="fr-FR"/>
        </w:rPr>
        <w:t>’</w:t>
      </w:r>
      <w:r w:rsidRPr="0045489A">
        <w:rPr>
          <w:rFonts w:eastAsia="Times New Roman"/>
          <w:lang w:eastAsia="fr-FR"/>
        </w:rPr>
        <w:t>emballage P203, qui offre deux possibilités de transport : dans un récipient cryogénique ouvert ou fermé. Le transport</w:t>
      </w:r>
      <w:r w:rsidR="00F73FFF">
        <w:rPr>
          <w:rFonts w:eastAsia="Times New Roman"/>
          <w:lang w:eastAsia="fr-FR"/>
        </w:rPr>
        <w:t xml:space="preserve"> </w:t>
      </w:r>
      <w:r w:rsidRPr="0045489A">
        <w:rPr>
          <w:rFonts w:eastAsia="Times New Roman"/>
          <w:lang w:eastAsia="fr-FR"/>
        </w:rPr>
        <w:t>dans un récipient cryogénique ouvert n</w:t>
      </w:r>
      <w:r>
        <w:rPr>
          <w:rFonts w:eastAsia="Times New Roman"/>
          <w:lang w:eastAsia="fr-FR"/>
        </w:rPr>
        <w:t>’</w:t>
      </w:r>
      <w:r w:rsidRPr="0045489A">
        <w:rPr>
          <w:rFonts w:eastAsia="Times New Roman"/>
          <w:lang w:eastAsia="fr-FR"/>
        </w:rPr>
        <w:t>est possible que pour les numéros ONU auxquels s</w:t>
      </w:r>
      <w:r>
        <w:rPr>
          <w:rFonts w:eastAsia="Times New Roman"/>
          <w:lang w:eastAsia="fr-FR"/>
        </w:rPr>
        <w:t>’</w:t>
      </w:r>
      <w:r w:rsidRPr="0045489A">
        <w:rPr>
          <w:rFonts w:eastAsia="Times New Roman"/>
          <w:lang w:eastAsia="fr-FR"/>
        </w:rPr>
        <w:t>applique la disposition spéciale 593.</w:t>
      </w:r>
    </w:p>
    <w:p w:rsidR="0045489A" w:rsidRPr="0045489A" w:rsidRDefault="0045489A" w:rsidP="0045489A">
      <w:pPr>
        <w:pStyle w:val="SingleTxtG"/>
        <w:rPr>
          <w:rFonts w:eastAsia="Times New Roman"/>
          <w:lang w:eastAsia="fr-FR"/>
        </w:rPr>
      </w:pPr>
      <w:r w:rsidRPr="004757CB">
        <w:rPr>
          <w:rFonts w:eastAsia="Times New Roman"/>
          <w:lang w:eastAsia="fr-FR"/>
        </w:rPr>
        <w:t>11.</w:t>
      </w:r>
      <w:r w:rsidRPr="004757CB">
        <w:rPr>
          <w:rFonts w:eastAsia="Times New Roman"/>
          <w:lang w:eastAsia="fr-FR"/>
        </w:rPr>
        <w:tab/>
        <w:t>Toutefois, la disposition spéciale 593 ne permet que de remplir les conditions pour les récipients cryogéniques ouverts mentionnés au paragraphe 6) de l’instruction d’emballage P203 (Récipients munis</w:t>
      </w:r>
      <w:r w:rsidRPr="0045489A">
        <w:rPr>
          <w:rFonts w:eastAsia="Times New Roman"/>
          <w:lang w:eastAsia="fr-FR"/>
        </w:rPr>
        <w:t xml:space="preserve"> d</w:t>
      </w:r>
      <w:r>
        <w:rPr>
          <w:rFonts w:eastAsia="Times New Roman"/>
          <w:lang w:eastAsia="fr-FR"/>
        </w:rPr>
        <w:t>’</w:t>
      </w:r>
      <w:r w:rsidRPr="0045489A">
        <w:rPr>
          <w:rFonts w:eastAsia="Times New Roman"/>
          <w:lang w:eastAsia="fr-FR"/>
        </w:rPr>
        <w:t>une double paroi en verre avec un emballage extérieur comportant un matériau de rembourrage ou absorbant approprié capable de supporter les pressions ou les chocs susceptibles de se produire dans des conditions normales de transport) si en outre on satisfait aux disposition de la section 5.5.3.</w:t>
      </w:r>
    </w:p>
    <w:p w:rsidR="0045489A" w:rsidRPr="0045489A" w:rsidRDefault="0045489A" w:rsidP="0045489A">
      <w:pPr>
        <w:pStyle w:val="SingleTxtG"/>
        <w:rPr>
          <w:rFonts w:eastAsia="Times New Roman"/>
          <w:lang w:eastAsia="fr-FR"/>
        </w:rPr>
      </w:pPr>
      <w:r w:rsidRPr="0045489A">
        <w:rPr>
          <w:rFonts w:eastAsia="Times New Roman"/>
          <w:lang w:eastAsia="fr-FR"/>
        </w:rPr>
        <w:t>12.</w:t>
      </w:r>
      <w:r w:rsidRPr="0045489A">
        <w:rPr>
          <w:rFonts w:eastAsia="Times New Roman"/>
          <w:lang w:eastAsia="fr-FR"/>
        </w:rPr>
        <w:tab/>
        <w:t>Si l</w:t>
      </w:r>
      <w:r>
        <w:rPr>
          <w:rFonts w:eastAsia="Times New Roman"/>
          <w:lang w:eastAsia="fr-FR"/>
        </w:rPr>
        <w:t>’</w:t>
      </w:r>
      <w:r w:rsidRPr="0045489A">
        <w:rPr>
          <w:rFonts w:eastAsia="Times New Roman"/>
          <w:lang w:eastAsia="fr-FR"/>
        </w:rPr>
        <w:t>on choisit d</w:t>
      </w:r>
      <w:r>
        <w:rPr>
          <w:rFonts w:eastAsia="Times New Roman"/>
          <w:lang w:eastAsia="fr-FR"/>
        </w:rPr>
        <w:t>’</w:t>
      </w:r>
      <w:r w:rsidRPr="0045489A">
        <w:rPr>
          <w:rFonts w:eastAsia="Times New Roman"/>
          <w:lang w:eastAsia="fr-FR"/>
        </w:rPr>
        <w:t>appliquer la disposition spéciale 593, il faudra utiliser un récipient cryogénique ouvert constitué d</w:t>
      </w:r>
      <w:r>
        <w:rPr>
          <w:rFonts w:eastAsia="Times New Roman"/>
          <w:lang w:eastAsia="fr-FR"/>
        </w:rPr>
        <w:t>’</w:t>
      </w:r>
      <w:r w:rsidRPr="0045489A">
        <w:rPr>
          <w:rFonts w:eastAsia="Times New Roman"/>
          <w:lang w:eastAsia="fr-FR"/>
        </w:rPr>
        <w:t>une double paroi en verre placé dans un emballage extérieur pourvu d</w:t>
      </w:r>
      <w:r>
        <w:rPr>
          <w:rFonts w:eastAsia="Times New Roman"/>
          <w:lang w:eastAsia="fr-FR"/>
        </w:rPr>
        <w:t>’</w:t>
      </w:r>
      <w:r w:rsidRPr="0045489A">
        <w:rPr>
          <w:rFonts w:eastAsia="Times New Roman"/>
          <w:lang w:eastAsia="fr-FR"/>
        </w:rPr>
        <w:t>un matériau de rembourrage ou absorbant approprié et il faudra placer à l</w:t>
      </w:r>
      <w:r>
        <w:rPr>
          <w:rFonts w:eastAsia="Times New Roman"/>
          <w:lang w:eastAsia="fr-FR"/>
        </w:rPr>
        <w:t>’</w:t>
      </w:r>
      <w:r w:rsidRPr="0045489A">
        <w:rPr>
          <w:rFonts w:eastAsia="Times New Roman"/>
          <w:lang w:eastAsia="fr-FR"/>
        </w:rPr>
        <w:t>intérieur</w:t>
      </w:r>
      <w:r w:rsidR="004757CB">
        <w:rPr>
          <w:rFonts w:eastAsia="Times New Roman"/>
          <w:lang w:eastAsia="fr-FR"/>
        </w:rPr>
        <w:t> </w:t>
      </w:r>
      <w:r w:rsidRPr="0045489A">
        <w:rPr>
          <w:rFonts w:eastAsia="Times New Roman"/>
          <w:lang w:eastAsia="fr-FR"/>
        </w:rPr>
        <w:t>:</w:t>
      </w:r>
    </w:p>
    <w:p w:rsidR="0045489A" w:rsidRPr="0045489A" w:rsidRDefault="004757CB" w:rsidP="004757CB">
      <w:pPr>
        <w:kinsoku/>
        <w:overflowPunct/>
        <w:autoSpaceDE/>
        <w:autoSpaceDN/>
        <w:adjustRightInd/>
        <w:snapToGrid/>
        <w:spacing w:after="120"/>
        <w:ind w:left="2268" w:right="1134" w:hanging="567"/>
        <w:jc w:val="both"/>
        <w:rPr>
          <w:rFonts w:eastAsia="Times New Roman"/>
          <w:lang w:eastAsia="fr-FR"/>
        </w:rPr>
      </w:pPr>
      <w:r>
        <w:rPr>
          <w:rFonts w:eastAsia="Times New Roman"/>
          <w:lang w:eastAsia="fr-FR"/>
        </w:rPr>
        <w:t>–</w:t>
      </w:r>
      <w:r w:rsidR="0045489A" w:rsidRPr="0045489A">
        <w:rPr>
          <w:rFonts w:eastAsia="Times New Roman"/>
          <w:lang w:eastAsia="fr-FR"/>
        </w:rPr>
        <w:tab/>
        <w:t>Les colis décrits dans l</w:t>
      </w:r>
      <w:r w:rsidR="0045489A">
        <w:rPr>
          <w:rFonts w:eastAsia="Times New Roman"/>
          <w:lang w:eastAsia="fr-FR"/>
        </w:rPr>
        <w:t>’</w:t>
      </w:r>
      <w:r w:rsidR="0045489A" w:rsidRPr="0045489A">
        <w:rPr>
          <w:rFonts w:eastAsia="Times New Roman"/>
          <w:lang w:eastAsia="fr-FR"/>
        </w:rPr>
        <w:t>instruction d</w:t>
      </w:r>
      <w:r w:rsidR="0045489A">
        <w:rPr>
          <w:rFonts w:eastAsia="Times New Roman"/>
          <w:lang w:eastAsia="fr-FR"/>
        </w:rPr>
        <w:t>’</w:t>
      </w:r>
      <w:r w:rsidR="0045489A" w:rsidRPr="0045489A">
        <w:rPr>
          <w:rFonts w:eastAsia="Times New Roman"/>
          <w:lang w:eastAsia="fr-FR"/>
        </w:rPr>
        <w:t>emballage mentionnée au paragraphe</w:t>
      </w:r>
      <w:r w:rsidR="00790753">
        <w:rPr>
          <w:rFonts w:eastAsia="Times New Roman"/>
          <w:lang w:eastAsia="fr-FR"/>
        </w:rPr>
        <w:t> </w:t>
      </w:r>
      <w:r w:rsidR="0045489A" w:rsidRPr="0045489A">
        <w:rPr>
          <w:rFonts w:eastAsia="Times New Roman"/>
          <w:lang w:eastAsia="fr-FR"/>
        </w:rPr>
        <w:t>5.5.3.3.1 contenant les marchandises dangereuses emballées qui nécessitent d</w:t>
      </w:r>
      <w:r w:rsidR="0045489A">
        <w:rPr>
          <w:rFonts w:eastAsia="Times New Roman"/>
          <w:lang w:eastAsia="fr-FR"/>
        </w:rPr>
        <w:t>’</w:t>
      </w:r>
      <w:r w:rsidR="0045489A" w:rsidRPr="0045489A">
        <w:rPr>
          <w:rFonts w:eastAsia="Times New Roman"/>
          <w:lang w:eastAsia="fr-FR"/>
        </w:rPr>
        <w:t>être réfrigérées</w:t>
      </w:r>
      <w:r w:rsidR="00790753">
        <w:rPr>
          <w:rFonts w:eastAsia="Times New Roman"/>
          <w:lang w:eastAsia="fr-FR"/>
        </w:rPr>
        <w:t> </w:t>
      </w:r>
      <w:r w:rsidR="0045489A" w:rsidRPr="0045489A">
        <w:rPr>
          <w:rFonts w:eastAsia="Times New Roman"/>
          <w:lang w:eastAsia="fr-FR"/>
        </w:rPr>
        <w:t>; ou</w:t>
      </w:r>
    </w:p>
    <w:p w:rsidR="0045489A" w:rsidRPr="0045489A" w:rsidRDefault="004757CB" w:rsidP="004757CB">
      <w:pPr>
        <w:kinsoku/>
        <w:overflowPunct/>
        <w:autoSpaceDE/>
        <w:autoSpaceDN/>
        <w:adjustRightInd/>
        <w:snapToGrid/>
        <w:spacing w:after="120"/>
        <w:ind w:left="2268" w:right="1134" w:hanging="567"/>
        <w:jc w:val="both"/>
        <w:rPr>
          <w:rFonts w:eastAsia="Times New Roman"/>
          <w:lang w:eastAsia="fr-FR"/>
        </w:rPr>
      </w:pPr>
      <w:r>
        <w:rPr>
          <w:rFonts w:eastAsia="Times New Roman"/>
          <w:lang w:eastAsia="fr-FR"/>
        </w:rPr>
        <w:t>–</w:t>
      </w:r>
      <w:r w:rsidR="0045489A" w:rsidRPr="0045489A">
        <w:rPr>
          <w:rFonts w:eastAsia="Times New Roman"/>
          <w:lang w:eastAsia="fr-FR"/>
        </w:rPr>
        <w:tab/>
        <w:t>Les colis non couverts par le paragraphe</w:t>
      </w:r>
      <w:r w:rsidR="00790753">
        <w:rPr>
          <w:rFonts w:eastAsia="Times New Roman"/>
          <w:lang w:eastAsia="fr-FR"/>
        </w:rPr>
        <w:t> </w:t>
      </w:r>
      <w:r w:rsidR="0045489A" w:rsidRPr="0045489A">
        <w:rPr>
          <w:rFonts w:eastAsia="Times New Roman"/>
          <w:lang w:eastAsia="fr-FR"/>
        </w:rPr>
        <w:t>5.5.3.3.1, mais auxquels s</w:t>
      </w:r>
      <w:r w:rsidR="0045489A">
        <w:rPr>
          <w:rFonts w:eastAsia="Times New Roman"/>
          <w:lang w:eastAsia="fr-FR"/>
        </w:rPr>
        <w:t>’</w:t>
      </w:r>
      <w:r w:rsidR="0045489A" w:rsidRPr="0045489A">
        <w:rPr>
          <w:rFonts w:eastAsia="Times New Roman"/>
          <w:lang w:eastAsia="fr-FR"/>
        </w:rPr>
        <w:t>appliquent les prescriptions générales du paragraphe 5.5.3.3.2 concernant les marchandises dangereuses emballées qui nécessitent d</w:t>
      </w:r>
      <w:r w:rsidR="0045489A">
        <w:rPr>
          <w:rFonts w:eastAsia="Times New Roman"/>
          <w:lang w:eastAsia="fr-FR"/>
        </w:rPr>
        <w:t>’</w:t>
      </w:r>
      <w:r w:rsidR="0045489A" w:rsidRPr="0045489A">
        <w:rPr>
          <w:rFonts w:eastAsia="Times New Roman"/>
          <w:lang w:eastAsia="fr-FR"/>
        </w:rPr>
        <w:t>être réfrigérées</w:t>
      </w:r>
      <w:r w:rsidR="00790753">
        <w:rPr>
          <w:rFonts w:eastAsia="Times New Roman"/>
          <w:lang w:eastAsia="fr-FR"/>
        </w:rPr>
        <w:t> </w:t>
      </w:r>
      <w:r w:rsidR="0045489A" w:rsidRPr="0045489A">
        <w:rPr>
          <w:rFonts w:eastAsia="Times New Roman"/>
          <w:lang w:eastAsia="fr-FR"/>
        </w:rPr>
        <w:t>; ou</w:t>
      </w:r>
    </w:p>
    <w:p w:rsidR="0045489A" w:rsidRPr="0045489A" w:rsidRDefault="004757CB" w:rsidP="0045489A">
      <w:pPr>
        <w:kinsoku/>
        <w:overflowPunct/>
        <w:autoSpaceDE/>
        <w:autoSpaceDN/>
        <w:adjustRightInd/>
        <w:snapToGrid/>
        <w:spacing w:after="120"/>
        <w:ind w:left="2268" w:right="1134" w:hanging="567"/>
        <w:jc w:val="both"/>
        <w:rPr>
          <w:rFonts w:eastAsia="Times New Roman"/>
          <w:lang w:eastAsia="fr-FR"/>
        </w:rPr>
      </w:pPr>
      <w:r>
        <w:rPr>
          <w:rFonts w:eastAsia="Times New Roman"/>
          <w:lang w:eastAsia="fr-FR"/>
        </w:rPr>
        <w:t>–</w:t>
      </w:r>
      <w:r w:rsidR="0045489A" w:rsidRPr="0045489A">
        <w:rPr>
          <w:rFonts w:eastAsia="Times New Roman"/>
          <w:lang w:eastAsia="fr-FR"/>
        </w:rPr>
        <w:tab/>
        <w:t>Les marchandises (non dangereuses) qui doivent être réfrigérées.</w:t>
      </w:r>
    </w:p>
    <w:p w:rsidR="0045489A" w:rsidRPr="0045489A" w:rsidRDefault="0045489A" w:rsidP="0045489A">
      <w:pPr>
        <w:kinsoku/>
        <w:overflowPunct/>
        <w:autoSpaceDE/>
        <w:autoSpaceDN/>
        <w:adjustRightInd/>
        <w:snapToGrid/>
        <w:spacing w:after="120"/>
        <w:ind w:left="1134" w:right="1134"/>
        <w:jc w:val="both"/>
        <w:rPr>
          <w:rFonts w:eastAsia="Times New Roman"/>
          <w:lang w:eastAsia="fr-FR"/>
        </w:rPr>
      </w:pPr>
      <w:r w:rsidRPr="0045489A">
        <w:rPr>
          <w:rFonts w:eastAsia="Times New Roman"/>
          <w:lang w:eastAsia="fr-FR"/>
        </w:rPr>
        <w:t>13.</w:t>
      </w:r>
      <w:r w:rsidRPr="0045489A">
        <w:rPr>
          <w:rFonts w:eastAsia="Times New Roman"/>
          <w:lang w:eastAsia="fr-FR"/>
        </w:rPr>
        <w:tab/>
        <w:t>Dans ces trois cas la recherche de l</w:t>
      </w:r>
      <w:r>
        <w:rPr>
          <w:rFonts w:eastAsia="Times New Roman"/>
          <w:lang w:eastAsia="fr-FR"/>
        </w:rPr>
        <w:t>’</w:t>
      </w:r>
      <w:r w:rsidRPr="0045489A">
        <w:rPr>
          <w:rFonts w:eastAsia="Times New Roman"/>
          <w:lang w:eastAsia="fr-FR"/>
        </w:rPr>
        <w:t>emballage adéquat se heurtera à de sérieuses difficultés.</w:t>
      </w:r>
    </w:p>
    <w:p w:rsidR="0045489A" w:rsidRPr="006D61FA" w:rsidRDefault="0045489A" w:rsidP="00790753">
      <w:pPr>
        <w:pStyle w:val="HChG"/>
        <w:rPr>
          <w:lang w:eastAsia="fr-FR"/>
        </w:rPr>
      </w:pPr>
      <w:r w:rsidRPr="00F13B6D">
        <w:rPr>
          <w:lang w:eastAsia="fr-FR"/>
        </w:rPr>
        <w:tab/>
      </w:r>
      <w:r w:rsidRPr="00F13B6D">
        <w:rPr>
          <w:lang w:eastAsia="fr-FR"/>
        </w:rPr>
        <w:tab/>
      </w:r>
      <w:r>
        <w:rPr>
          <w:lang w:eastAsia="fr-FR"/>
        </w:rPr>
        <w:t>Champ d’application</w:t>
      </w:r>
    </w:p>
    <w:p w:rsidR="0045489A" w:rsidRPr="0045489A" w:rsidRDefault="0045489A" w:rsidP="0045489A">
      <w:pPr>
        <w:pStyle w:val="SingleTxtG"/>
        <w:rPr>
          <w:rFonts w:eastAsia="Times New Roman"/>
          <w:lang w:eastAsia="fr-FR"/>
        </w:rPr>
      </w:pPr>
      <w:r w:rsidRPr="0045489A">
        <w:rPr>
          <w:rFonts w:eastAsia="Times New Roman"/>
          <w:lang w:eastAsia="fr-FR"/>
        </w:rPr>
        <w:t>14.</w:t>
      </w:r>
      <w:r w:rsidRPr="0045489A">
        <w:rPr>
          <w:rFonts w:eastAsia="Times New Roman"/>
          <w:lang w:eastAsia="fr-FR"/>
        </w:rPr>
        <w:tab/>
        <w:t>L</w:t>
      </w:r>
      <w:r>
        <w:rPr>
          <w:rFonts w:eastAsia="Times New Roman"/>
          <w:lang w:eastAsia="fr-FR"/>
        </w:rPr>
        <w:t>’</w:t>
      </w:r>
      <w:r w:rsidRPr="0045489A">
        <w:rPr>
          <w:rFonts w:eastAsia="Times New Roman"/>
          <w:lang w:eastAsia="fr-FR"/>
        </w:rPr>
        <w:t>OPTION 1 n</w:t>
      </w:r>
      <w:r>
        <w:rPr>
          <w:rFonts w:eastAsia="Times New Roman"/>
          <w:lang w:eastAsia="fr-FR"/>
        </w:rPr>
        <w:t>’</w:t>
      </w:r>
      <w:r w:rsidRPr="0045489A">
        <w:rPr>
          <w:rFonts w:eastAsia="Times New Roman"/>
          <w:lang w:eastAsia="fr-FR"/>
        </w:rPr>
        <w:t>est applicable que si l</w:t>
      </w:r>
      <w:r>
        <w:rPr>
          <w:rFonts w:eastAsia="Times New Roman"/>
          <w:lang w:eastAsia="fr-FR"/>
        </w:rPr>
        <w:t>’</w:t>
      </w:r>
      <w:r w:rsidRPr="0045489A">
        <w:rPr>
          <w:rFonts w:eastAsia="Times New Roman"/>
          <w:lang w:eastAsia="fr-FR"/>
        </w:rPr>
        <w:t>on transporte des marchandises qui doivent être réfrigérées dans un colis, un wagon ou un conteneur (voir le titre de la section 5.5.3). Toutefois, la disposition spéciale ne s</w:t>
      </w:r>
      <w:r>
        <w:rPr>
          <w:rFonts w:eastAsia="Times New Roman"/>
          <w:lang w:eastAsia="fr-FR"/>
        </w:rPr>
        <w:t>’</w:t>
      </w:r>
      <w:r w:rsidRPr="0045489A">
        <w:rPr>
          <w:rFonts w:eastAsia="Times New Roman"/>
          <w:lang w:eastAsia="fr-FR"/>
        </w:rPr>
        <w:t>applique elle-même qu</w:t>
      </w:r>
      <w:r>
        <w:rPr>
          <w:rFonts w:eastAsia="Times New Roman"/>
          <w:lang w:eastAsia="fr-FR"/>
        </w:rPr>
        <w:t>’</w:t>
      </w:r>
      <w:r w:rsidRPr="0045489A">
        <w:rPr>
          <w:rFonts w:eastAsia="Times New Roman"/>
          <w:lang w:eastAsia="fr-FR"/>
        </w:rPr>
        <w:t>aux colis et pas au transport en citernes ou en citernes portables, car elle renvoie à l</w:t>
      </w:r>
      <w:r>
        <w:rPr>
          <w:rFonts w:eastAsia="Times New Roman"/>
          <w:lang w:eastAsia="fr-FR"/>
        </w:rPr>
        <w:t>’</w:t>
      </w:r>
      <w:r w:rsidRPr="0045489A">
        <w:rPr>
          <w:rFonts w:eastAsia="Times New Roman"/>
          <w:lang w:eastAsia="fr-FR"/>
        </w:rPr>
        <w:t>instruction d</w:t>
      </w:r>
      <w:r>
        <w:rPr>
          <w:rFonts w:eastAsia="Times New Roman"/>
          <w:lang w:eastAsia="fr-FR"/>
        </w:rPr>
        <w:t>’</w:t>
      </w:r>
      <w:r w:rsidRPr="0045489A">
        <w:rPr>
          <w:rFonts w:eastAsia="Times New Roman"/>
          <w:lang w:eastAsia="fr-FR"/>
        </w:rPr>
        <w:t>emballage P203. Il en résulte que le champ d</w:t>
      </w:r>
      <w:r>
        <w:rPr>
          <w:rFonts w:eastAsia="Times New Roman"/>
          <w:lang w:eastAsia="fr-FR"/>
        </w:rPr>
        <w:t>’</w:t>
      </w:r>
      <w:r w:rsidRPr="0045489A">
        <w:rPr>
          <w:rFonts w:eastAsia="Times New Roman"/>
          <w:lang w:eastAsia="fr-FR"/>
        </w:rPr>
        <w:t>application de la disposition spéciale 593 est le même que celui de la section</w:t>
      </w:r>
      <w:r w:rsidR="00790753">
        <w:rPr>
          <w:rFonts w:eastAsia="Times New Roman"/>
          <w:lang w:eastAsia="fr-FR"/>
        </w:rPr>
        <w:t> </w:t>
      </w:r>
      <w:r w:rsidRPr="0045489A">
        <w:rPr>
          <w:rFonts w:eastAsia="Times New Roman"/>
          <w:lang w:eastAsia="fr-FR"/>
        </w:rPr>
        <w:t xml:space="preserve">5.5.3. </w:t>
      </w:r>
    </w:p>
    <w:p w:rsidR="0045489A" w:rsidRPr="00F13B6D" w:rsidRDefault="0045489A" w:rsidP="00790753">
      <w:pPr>
        <w:pStyle w:val="HChG"/>
        <w:rPr>
          <w:lang w:eastAsia="zh-CN"/>
        </w:rPr>
      </w:pPr>
      <w:r w:rsidRPr="00F13B6D">
        <w:rPr>
          <w:lang w:eastAsia="zh-CN"/>
        </w:rPr>
        <w:tab/>
      </w:r>
      <w:r w:rsidRPr="00F13B6D">
        <w:rPr>
          <w:lang w:eastAsia="zh-CN"/>
        </w:rPr>
        <w:tab/>
        <w:t>Analys</w:t>
      </w:r>
      <w:r w:rsidRPr="00495940">
        <w:rPr>
          <w:lang w:eastAsia="zh-CN"/>
        </w:rPr>
        <w:t>e</w:t>
      </w:r>
    </w:p>
    <w:p w:rsidR="0045489A" w:rsidRPr="0045489A" w:rsidRDefault="0045489A" w:rsidP="0045489A">
      <w:pPr>
        <w:pStyle w:val="SingleTxtG"/>
        <w:rPr>
          <w:rFonts w:eastAsia="Times New Roman"/>
          <w:lang w:eastAsia="fr-FR"/>
        </w:rPr>
      </w:pPr>
      <w:r w:rsidRPr="0045489A">
        <w:rPr>
          <w:rFonts w:eastAsia="Times New Roman"/>
          <w:lang w:eastAsia="fr-FR"/>
        </w:rPr>
        <w:t>15.</w:t>
      </w:r>
      <w:r w:rsidRPr="0045489A">
        <w:rPr>
          <w:rFonts w:eastAsia="Times New Roman"/>
          <w:lang w:eastAsia="fr-FR"/>
        </w:rPr>
        <w:tab/>
      </w:r>
      <w:r w:rsidR="00790753">
        <w:rPr>
          <w:rFonts w:eastAsia="Times New Roman"/>
          <w:lang w:eastAsia="fr-FR"/>
        </w:rPr>
        <w:t>À</w:t>
      </w:r>
      <w:r w:rsidRPr="0045489A">
        <w:rPr>
          <w:rFonts w:eastAsia="Times New Roman"/>
          <w:lang w:eastAsia="fr-FR"/>
        </w:rPr>
        <w:t xml:space="preserve"> la lecture de la disposition spéciale 593, deux éléments de conflit apparaissent donc avec la section 5.5.3:</w:t>
      </w:r>
    </w:p>
    <w:p w:rsidR="0045489A" w:rsidRPr="0045489A" w:rsidRDefault="00790753" w:rsidP="0045489A">
      <w:pPr>
        <w:kinsoku/>
        <w:overflowPunct/>
        <w:autoSpaceDE/>
        <w:autoSpaceDN/>
        <w:adjustRightInd/>
        <w:snapToGrid/>
        <w:spacing w:after="120"/>
        <w:ind w:left="2268" w:right="1134" w:hanging="567"/>
        <w:jc w:val="both"/>
        <w:rPr>
          <w:rFonts w:eastAsia="Times New Roman"/>
          <w:lang w:eastAsia="fr-FR"/>
        </w:rPr>
      </w:pPr>
      <w:r>
        <w:rPr>
          <w:rFonts w:eastAsia="Times New Roman"/>
          <w:lang w:eastAsia="fr-FR"/>
        </w:rPr>
        <w:t>–</w:t>
      </w:r>
      <w:r w:rsidR="0045489A" w:rsidRPr="0045489A">
        <w:rPr>
          <w:rFonts w:eastAsia="Times New Roman"/>
          <w:lang w:eastAsia="fr-FR"/>
        </w:rPr>
        <w:tab/>
        <w:t>Il devrait être possible, si le gaz est destiné à la réfrigération, d</w:t>
      </w:r>
      <w:r w:rsidR="0045489A">
        <w:rPr>
          <w:rFonts w:eastAsia="Times New Roman"/>
          <w:lang w:eastAsia="fr-FR"/>
        </w:rPr>
        <w:t>’</w:t>
      </w:r>
      <w:r w:rsidR="0045489A" w:rsidRPr="0045489A">
        <w:rPr>
          <w:rFonts w:eastAsia="Times New Roman"/>
          <w:lang w:eastAsia="fr-FR"/>
        </w:rPr>
        <w:t>appliquer dans tous les cas les conditions spécifiées à la section 5.5.3, que ce soit dans des récipients cryogéniques fermés ou ouverts</w:t>
      </w:r>
      <w:r>
        <w:rPr>
          <w:rFonts w:eastAsia="Times New Roman"/>
          <w:lang w:eastAsia="fr-FR"/>
        </w:rPr>
        <w:t> ;</w:t>
      </w:r>
    </w:p>
    <w:p w:rsidR="0045489A" w:rsidRPr="0045489A" w:rsidRDefault="00790753" w:rsidP="0045489A">
      <w:pPr>
        <w:kinsoku/>
        <w:overflowPunct/>
        <w:autoSpaceDE/>
        <w:autoSpaceDN/>
        <w:adjustRightInd/>
        <w:snapToGrid/>
        <w:spacing w:after="120"/>
        <w:ind w:left="2268" w:right="1134" w:hanging="567"/>
        <w:jc w:val="both"/>
        <w:rPr>
          <w:rFonts w:eastAsia="Times New Roman"/>
          <w:lang w:eastAsia="fr-FR"/>
        </w:rPr>
      </w:pPr>
      <w:r>
        <w:rPr>
          <w:rFonts w:eastAsia="Times New Roman"/>
          <w:lang w:eastAsia="fr-FR"/>
        </w:rPr>
        <w:t>–</w:t>
      </w:r>
      <w:r w:rsidR="0045489A" w:rsidRPr="0045489A">
        <w:rPr>
          <w:rFonts w:eastAsia="Times New Roman"/>
          <w:lang w:eastAsia="fr-FR"/>
        </w:rPr>
        <w:tab/>
        <w:t>Il est difficile de remplir les conditions  de la section 5.5.3 après avoir rempli celles de l</w:t>
      </w:r>
      <w:r w:rsidR="0045489A">
        <w:rPr>
          <w:rFonts w:eastAsia="Times New Roman"/>
          <w:lang w:eastAsia="fr-FR"/>
        </w:rPr>
        <w:t>’</w:t>
      </w:r>
      <w:r w:rsidR="0045489A" w:rsidRPr="0045489A">
        <w:rPr>
          <w:rFonts w:eastAsia="Times New Roman"/>
          <w:lang w:eastAsia="fr-FR"/>
        </w:rPr>
        <w:t>instruction d</w:t>
      </w:r>
      <w:r w:rsidR="0045489A">
        <w:rPr>
          <w:rFonts w:eastAsia="Times New Roman"/>
          <w:lang w:eastAsia="fr-FR"/>
        </w:rPr>
        <w:t>’</w:t>
      </w:r>
      <w:r w:rsidR="0045489A" w:rsidRPr="0045489A">
        <w:rPr>
          <w:rFonts w:eastAsia="Times New Roman"/>
          <w:lang w:eastAsia="fr-FR"/>
        </w:rPr>
        <w:t>emballage P203.</w:t>
      </w:r>
    </w:p>
    <w:p w:rsidR="0045489A" w:rsidRPr="0045489A" w:rsidRDefault="0045489A" w:rsidP="0045489A">
      <w:pPr>
        <w:pStyle w:val="SingleTxtG"/>
        <w:rPr>
          <w:rFonts w:eastAsia="Times New Roman"/>
          <w:lang w:eastAsia="fr-FR"/>
        </w:rPr>
      </w:pPr>
      <w:r w:rsidRPr="0045489A">
        <w:rPr>
          <w:rFonts w:eastAsia="Times New Roman"/>
          <w:lang w:eastAsia="fr-FR"/>
        </w:rPr>
        <w:t>16.</w:t>
      </w:r>
      <w:r w:rsidRPr="0045489A">
        <w:rPr>
          <w:rFonts w:eastAsia="Times New Roman"/>
          <w:lang w:eastAsia="fr-FR"/>
        </w:rPr>
        <w:tab/>
        <w:t>La disposition spéciale 593 et la section 5.5.3 ne sont pas deux séries de conditions entre lesquelles il est possible de choisir celle qu</w:t>
      </w:r>
      <w:r>
        <w:rPr>
          <w:rFonts w:eastAsia="Times New Roman"/>
          <w:lang w:eastAsia="fr-FR"/>
        </w:rPr>
        <w:t>’</w:t>
      </w:r>
      <w:r w:rsidRPr="0045489A">
        <w:rPr>
          <w:rFonts w:eastAsia="Times New Roman"/>
          <w:lang w:eastAsia="fr-FR"/>
        </w:rPr>
        <w:t xml:space="preserve">on veut appliquer, car il existe une référence croisée entre les deux qui fait que la section 5.5.3 est applicable en plus de la disposition spéciale 593. Cela rend la disposition spéciale 593 difficile à appliquer. </w:t>
      </w:r>
    </w:p>
    <w:p w:rsidR="0045489A" w:rsidRPr="006D61FA" w:rsidRDefault="0045489A" w:rsidP="00790753">
      <w:pPr>
        <w:pStyle w:val="HChG"/>
        <w:rPr>
          <w:lang w:eastAsia="zh-CN"/>
        </w:rPr>
      </w:pPr>
      <w:r w:rsidRPr="00F13B6D">
        <w:rPr>
          <w:lang w:eastAsia="zh-CN"/>
        </w:rPr>
        <w:lastRenderedPageBreak/>
        <w:tab/>
      </w:r>
      <w:r w:rsidRPr="00F13B6D">
        <w:rPr>
          <w:lang w:eastAsia="zh-CN"/>
        </w:rPr>
        <w:tab/>
      </w:r>
      <w:r w:rsidRPr="006D61FA">
        <w:rPr>
          <w:lang w:eastAsia="zh-CN"/>
        </w:rPr>
        <w:t>Conclusions</w:t>
      </w:r>
    </w:p>
    <w:p w:rsidR="0045489A" w:rsidRPr="0045489A" w:rsidRDefault="0045489A" w:rsidP="0045489A">
      <w:pPr>
        <w:pStyle w:val="SingleTxtG"/>
        <w:rPr>
          <w:rFonts w:eastAsia="Times New Roman"/>
          <w:lang w:eastAsia="fr-FR"/>
        </w:rPr>
      </w:pPr>
      <w:r w:rsidRPr="0045489A">
        <w:rPr>
          <w:rFonts w:eastAsia="Times New Roman"/>
          <w:lang w:eastAsia="fr-FR"/>
        </w:rPr>
        <w:t>17.</w:t>
      </w:r>
      <w:r w:rsidRPr="0045489A">
        <w:rPr>
          <w:rFonts w:eastAsia="Times New Roman"/>
          <w:lang w:eastAsia="fr-FR"/>
        </w:rPr>
        <w:tab/>
        <w:t>Pour les raisons évoquées plus haut, et surtout à cause du conflit d</w:t>
      </w:r>
      <w:r>
        <w:rPr>
          <w:rFonts w:eastAsia="Times New Roman"/>
          <w:lang w:eastAsia="fr-FR"/>
        </w:rPr>
        <w:t>’</w:t>
      </w:r>
      <w:r w:rsidRPr="0045489A">
        <w:rPr>
          <w:rFonts w:eastAsia="Times New Roman"/>
          <w:lang w:eastAsia="fr-FR"/>
        </w:rPr>
        <w:t>emballage mentionné au paragraphe</w:t>
      </w:r>
      <w:r w:rsidR="00790753">
        <w:rPr>
          <w:rFonts w:eastAsia="Times New Roman"/>
          <w:lang w:eastAsia="fr-FR"/>
        </w:rPr>
        <w:t> </w:t>
      </w:r>
      <w:r w:rsidRPr="0045489A">
        <w:rPr>
          <w:rFonts w:eastAsia="Times New Roman"/>
          <w:lang w:eastAsia="fr-FR"/>
        </w:rPr>
        <w:t>13 ci-dessus, il est hautement improbable qu</w:t>
      </w:r>
      <w:r>
        <w:rPr>
          <w:rFonts w:eastAsia="Times New Roman"/>
          <w:lang w:eastAsia="fr-FR"/>
        </w:rPr>
        <w:t>’</w:t>
      </w:r>
      <w:r w:rsidRPr="0045489A">
        <w:rPr>
          <w:rFonts w:eastAsia="Times New Roman"/>
          <w:lang w:eastAsia="fr-FR"/>
        </w:rPr>
        <w:t>un expéditeur choisisse la possibilité décrite dans l</w:t>
      </w:r>
      <w:r>
        <w:rPr>
          <w:rFonts w:eastAsia="Times New Roman"/>
          <w:lang w:eastAsia="fr-FR"/>
        </w:rPr>
        <w:t>’</w:t>
      </w:r>
      <w:r w:rsidRPr="0045489A">
        <w:rPr>
          <w:rFonts w:eastAsia="Times New Roman"/>
          <w:lang w:eastAsia="fr-FR"/>
        </w:rPr>
        <w:t>OPTION 2 (appliquer la disposition spéciale 593) plutôt que celle de l</w:t>
      </w:r>
      <w:r>
        <w:rPr>
          <w:rFonts w:eastAsia="Times New Roman"/>
          <w:lang w:eastAsia="fr-FR"/>
        </w:rPr>
        <w:t>’</w:t>
      </w:r>
      <w:r w:rsidRPr="0045489A">
        <w:rPr>
          <w:rFonts w:eastAsia="Times New Roman"/>
          <w:lang w:eastAsia="fr-FR"/>
        </w:rPr>
        <w:t>OPTION 1 (appliquer directement la section 5.5.3)</w:t>
      </w:r>
      <w:r w:rsidR="00367978">
        <w:rPr>
          <w:rFonts w:eastAsia="Times New Roman"/>
          <w:lang w:eastAsia="fr-FR"/>
        </w:rPr>
        <w:t> </w:t>
      </w:r>
      <w:r w:rsidRPr="0045489A">
        <w:rPr>
          <w:rFonts w:eastAsia="Times New Roman"/>
          <w:lang w:eastAsia="fr-FR"/>
        </w:rPr>
        <w:t>; de toutes façons le transport se fera de nos jours avec l</w:t>
      </w:r>
      <w:r>
        <w:rPr>
          <w:rFonts w:eastAsia="Times New Roman"/>
          <w:lang w:eastAsia="fr-FR"/>
        </w:rPr>
        <w:t>’</w:t>
      </w:r>
      <w:r w:rsidRPr="0045489A">
        <w:rPr>
          <w:rFonts w:eastAsia="Times New Roman"/>
          <w:lang w:eastAsia="fr-FR"/>
        </w:rPr>
        <w:t>emballage correspondant à la section 5.5.3.</w:t>
      </w:r>
    </w:p>
    <w:p w:rsidR="0045489A" w:rsidRDefault="0045489A" w:rsidP="0045489A">
      <w:pPr>
        <w:pStyle w:val="SingleTxtG"/>
        <w:rPr>
          <w:rFonts w:eastAsia="Times New Roman"/>
          <w:lang w:eastAsia="fr-FR"/>
        </w:rPr>
      </w:pPr>
      <w:r w:rsidRPr="0045489A">
        <w:rPr>
          <w:rFonts w:eastAsia="Times New Roman"/>
          <w:lang w:eastAsia="fr-FR"/>
        </w:rPr>
        <w:t>18.</w:t>
      </w:r>
      <w:r w:rsidRPr="0045489A">
        <w:rPr>
          <w:rFonts w:eastAsia="Times New Roman"/>
          <w:lang w:eastAsia="fr-FR"/>
        </w:rPr>
        <w:tab/>
        <w:t>La disposition spéciale 593 pose des conditions qui s</w:t>
      </w:r>
      <w:r>
        <w:rPr>
          <w:rFonts w:eastAsia="Times New Roman"/>
          <w:lang w:eastAsia="fr-FR"/>
        </w:rPr>
        <w:t>’</w:t>
      </w:r>
      <w:r w:rsidRPr="0045489A">
        <w:rPr>
          <w:rFonts w:eastAsia="Times New Roman"/>
          <w:lang w:eastAsia="fr-FR"/>
        </w:rPr>
        <w:t>ajoutent à celles de la section</w:t>
      </w:r>
      <w:r w:rsidR="00367978">
        <w:rPr>
          <w:rFonts w:eastAsia="Times New Roman"/>
          <w:lang w:eastAsia="fr-FR"/>
        </w:rPr>
        <w:t> </w:t>
      </w:r>
      <w:r w:rsidRPr="0045489A">
        <w:rPr>
          <w:rFonts w:eastAsia="Times New Roman"/>
          <w:lang w:eastAsia="fr-FR"/>
        </w:rPr>
        <w:t>5.5.3 et qui paraissent très difficiles à remplir simultanément. Comme il a été relevé auparavant la disposition spéciale 593 et la section 5.5.3 ne sont pas deux séries de conditions indépendantes entre lesquelles il est possible de choisir celle qu</w:t>
      </w:r>
      <w:r>
        <w:rPr>
          <w:rFonts w:eastAsia="Times New Roman"/>
          <w:lang w:eastAsia="fr-FR"/>
        </w:rPr>
        <w:t>’</w:t>
      </w:r>
      <w:r w:rsidRPr="0045489A">
        <w:rPr>
          <w:rFonts w:eastAsia="Times New Roman"/>
          <w:lang w:eastAsia="fr-FR"/>
        </w:rPr>
        <w:t xml:space="preserve">on veut appliquer, car il existe une référence croisée entre les deux qui fait que la section 5.5.3 est applicable en plus de la disposition spéciale 593. </w:t>
      </w:r>
    </w:p>
    <w:p w:rsidR="0045489A" w:rsidRPr="0045489A" w:rsidRDefault="0045489A" w:rsidP="0045489A">
      <w:pPr>
        <w:pStyle w:val="SingleTxtG"/>
        <w:rPr>
          <w:rFonts w:eastAsia="Times New Roman"/>
          <w:lang w:eastAsia="fr-FR"/>
        </w:rPr>
      </w:pPr>
      <w:r w:rsidRPr="0045489A">
        <w:rPr>
          <w:rFonts w:eastAsia="Times New Roman"/>
          <w:lang w:eastAsia="fr-FR"/>
        </w:rPr>
        <w:t>19.</w:t>
      </w:r>
      <w:r w:rsidRPr="0045489A">
        <w:rPr>
          <w:rFonts w:eastAsia="Times New Roman"/>
          <w:lang w:eastAsia="fr-FR"/>
        </w:rPr>
        <w:tab/>
        <w:t>La disposition spéciale 593 a été introduite avant la section 5.5.3 dans le RID/ADR. Dans sa formulation actuelle, la disposition spéciale 593 ne peut pas être appliquée.</w:t>
      </w:r>
    </w:p>
    <w:p w:rsidR="0045489A" w:rsidRPr="0045489A" w:rsidRDefault="0045489A" w:rsidP="0045489A">
      <w:pPr>
        <w:pStyle w:val="SingleTxtG"/>
        <w:rPr>
          <w:rFonts w:eastAsia="Times New Roman"/>
          <w:lang w:eastAsia="fr-FR"/>
        </w:rPr>
      </w:pPr>
      <w:r w:rsidRPr="0045489A">
        <w:rPr>
          <w:rFonts w:eastAsia="Times New Roman"/>
          <w:lang w:eastAsia="fr-FR"/>
        </w:rPr>
        <w:t>20.</w:t>
      </w:r>
      <w:r w:rsidRPr="0045489A">
        <w:rPr>
          <w:rFonts w:eastAsia="Times New Roman"/>
          <w:lang w:eastAsia="fr-FR"/>
        </w:rPr>
        <w:tab/>
        <w:t>Elle devrait donc être modifiée pour ne comporter qu</w:t>
      </w:r>
      <w:r>
        <w:rPr>
          <w:rFonts w:eastAsia="Times New Roman"/>
          <w:lang w:eastAsia="fr-FR"/>
        </w:rPr>
        <w:t>’</w:t>
      </w:r>
      <w:r w:rsidRPr="0045489A">
        <w:rPr>
          <w:rFonts w:eastAsia="Times New Roman"/>
          <w:lang w:eastAsia="fr-FR"/>
        </w:rPr>
        <w:t>une référence directe à la section</w:t>
      </w:r>
      <w:r w:rsidR="00367978">
        <w:rPr>
          <w:rFonts w:eastAsia="Times New Roman"/>
          <w:lang w:eastAsia="fr-FR"/>
        </w:rPr>
        <w:t> </w:t>
      </w:r>
      <w:r w:rsidRPr="0045489A">
        <w:rPr>
          <w:rFonts w:eastAsia="Times New Roman"/>
          <w:lang w:eastAsia="fr-FR"/>
        </w:rPr>
        <w:t>5.5.3. En outre, l</w:t>
      </w:r>
      <w:r>
        <w:rPr>
          <w:rFonts w:eastAsia="Times New Roman"/>
          <w:lang w:eastAsia="fr-FR"/>
        </w:rPr>
        <w:t>’</w:t>
      </w:r>
      <w:r w:rsidRPr="0045489A">
        <w:rPr>
          <w:rFonts w:eastAsia="Times New Roman"/>
          <w:lang w:eastAsia="fr-FR"/>
        </w:rPr>
        <w:t>Espagne propose de modifier le début de la disposition spéciale</w:t>
      </w:r>
      <w:r w:rsidR="00367978">
        <w:rPr>
          <w:rFonts w:eastAsia="Times New Roman"/>
          <w:lang w:eastAsia="fr-FR"/>
        </w:rPr>
        <w:t> </w:t>
      </w:r>
      <w:r w:rsidRPr="0045489A">
        <w:rPr>
          <w:rFonts w:eastAsia="Times New Roman"/>
          <w:lang w:eastAsia="fr-FR"/>
        </w:rPr>
        <w:t>593 pour aligner le texte sur la formulation utilisée dans la section 5.5.3.</w:t>
      </w:r>
    </w:p>
    <w:p w:rsidR="0045489A" w:rsidRPr="00F13B6D" w:rsidRDefault="0045489A" w:rsidP="00367978">
      <w:pPr>
        <w:pStyle w:val="HChG"/>
        <w:rPr>
          <w:lang w:eastAsia="zh-CN"/>
        </w:rPr>
      </w:pPr>
      <w:r w:rsidRPr="00D9466E">
        <w:rPr>
          <w:lang w:eastAsia="zh-CN"/>
        </w:rPr>
        <w:tab/>
      </w:r>
      <w:r w:rsidRPr="00D9466E">
        <w:rPr>
          <w:lang w:eastAsia="zh-CN"/>
        </w:rPr>
        <w:tab/>
      </w:r>
      <w:r w:rsidRPr="00F13B6D">
        <w:rPr>
          <w:lang w:eastAsia="zh-CN"/>
        </w:rPr>
        <w:t>Propos</w:t>
      </w:r>
      <w:r w:rsidRPr="005B4CD1">
        <w:rPr>
          <w:lang w:eastAsia="zh-CN"/>
        </w:rPr>
        <w:t>ition</w:t>
      </w:r>
      <w:r w:rsidRPr="00F13B6D">
        <w:rPr>
          <w:lang w:eastAsia="zh-CN"/>
        </w:rPr>
        <w:t>s</w:t>
      </w:r>
    </w:p>
    <w:p w:rsidR="0045489A" w:rsidRPr="0045489A" w:rsidRDefault="0045489A" w:rsidP="0045489A">
      <w:pPr>
        <w:pStyle w:val="SingleTxtG"/>
        <w:rPr>
          <w:rFonts w:eastAsiaTheme="minorEastAsia"/>
          <w:lang w:eastAsia="zh-CN"/>
        </w:rPr>
      </w:pPr>
      <w:r w:rsidRPr="0045489A">
        <w:rPr>
          <w:rFonts w:eastAsiaTheme="minorEastAsia"/>
          <w:lang w:eastAsia="zh-CN"/>
        </w:rPr>
        <w:t>21.</w:t>
      </w:r>
      <w:r w:rsidRPr="0045489A">
        <w:rPr>
          <w:rFonts w:eastAsiaTheme="minorEastAsia"/>
          <w:lang w:eastAsia="zh-CN"/>
        </w:rPr>
        <w:tab/>
        <w:t>L</w:t>
      </w:r>
      <w:r>
        <w:rPr>
          <w:rFonts w:eastAsiaTheme="minorEastAsia"/>
          <w:lang w:eastAsia="zh-CN"/>
        </w:rPr>
        <w:t>’</w:t>
      </w:r>
      <w:r w:rsidRPr="0045489A">
        <w:rPr>
          <w:rFonts w:eastAsiaTheme="minorEastAsia"/>
          <w:lang w:eastAsia="zh-CN"/>
        </w:rPr>
        <w:t xml:space="preserve">Espagne propose de modifier la disposition spéciale </w:t>
      </w:r>
      <w:r w:rsidRPr="0045489A">
        <w:rPr>
          <w:rFonts w:eastAsia="Times New Roman"/>
          <w:lang w:eastAsia="fr-FR"/>
        </w:rPr>
        <w:t>593 en supprimant une partie du texte actuel et en modifiant sa formulation pour l</w:t>
      </w:r>
      <w:r>
        <w:rPr>
          <w:rFonts w:eastAsia="Times New Roman"/>
          <w:lang w:eastAsia="fr-FR"/>
        </w:rPr>
        <w:t>’</w:t>
      </w:r>
      <w:r w:rsidRPr="0045489A">
        <w:rPr>
          <w:rFonts w:eastAsia="Times New Roman"/>
          <w:lang w:eastAsia="fr-FR"/>
        </w:rPr>
        <w:t>adapter à celle qui est utilisée dans la section</w:t>
      </w:r>
      <w:r w:rsidR="00367978">
        <w:rPr>
          <w:rFonts w:eastAsia="Times New Roman"/>
          <w:lang w:eastAsia="fr-FR"/>
        </w:rPr>
        <w:t> </w:t>
      </w:r>
      <w:r w:rsidRPr="0045489A">
        <w:rPr>
          <w:rFonts w:eastAsia="Times New Roman"/>
          <w:lang w:eastAsia="fr-FR"/>
        </w:rPr>
        <w:t>5.5.3 et dans d</w:t>
      </w:r>
      <w:r>
        <w:rPr>
          <w:rFonts w:eastAsia="Times New Roman"/>
          <w:lang w:eastAsia="fr-FR"/>
        </w:rPr>
        <w:t>’</w:t>
      </w:r>
      <w:r w:rsidRPr="0045489A">
        <w:rPr>
          <w:rFonts w:eastAsia="Times New Roman"/>
          <w:lang w:eastAsia="fr-FR"/>
        </w:rPr>
        <w:t>autres parties du texte lorsqu</w:t>
      </w:r>
      <w:r>
        <w:rPr>
          <w:rFonts w:eastAsia="Times New Roman"/>
          <w:lang w:eastAsia="fr-FR"/>
        </w:rPr>
        <w:t>’</w:t>
      </w:r>
      <w:r w:rsidRPr="0045489A">
        <w:rPr>
          <w:rFonts w:eastAsia="Times New Roman"/>
          <w:lang w:eastAsia="fr-FR"/>
        </w:rPr>
        <w:t xml:space="preserve">il est question de réfrigération (les éléments nouveaux apparaissent </w:t>
      </w:r>
      <w:r w:rsidRPr="0045489A">
        <w:rPr>
          <w:rFonts w:eastAsia="Times New Roman"/>
          <w:u w:val="single"/>
          <w:lang w:eastAsia="fr-FR"/>
        </w:rPr>
        <w:t>soulignés</w:t>
      </w:r>
      <w:r w:rsidRPr="0045489A">
        <w:rPr>
          <w:rFonts w:eastAsia="Times New Roman"/>
          <w:lang w:eastAsia="fr-FR"/>
        </w:rPr>
        <w:t xml:space="preserve"> et les suppressions </w:t>
      </w:r>
      <w:r w:rsidRPr="0045489A">
        <w:rPr>
          <w:rFonts w:eastAsia="Times New Roman"/>
          <w:strike/>
          <w:lang w:eastAsia="fr-FR"/>
        </w:rPr>
        <w:t>biffées</w:t>
      </w:r>
      <w:r w:rsidRPr="0045489A">
        <w:rPr>
          <w:rFonts w:eastAsia="Times New Roman"/>
          <w:lang w:eastAsia="fr-FR"/>
        </w:rPr>
        <w:t>)</w:t>
      </w:r>
      <w:r w:rsidR="00367978">
        <w:rPr>
          <w:rFonts w:eastAsia="Times New Roman"/>
          <w:lang w:eastAsia="fr-FR"/>
        </w:rPr>
        <w:t> </w:t>
      </w:r>
      <w:r w:rsidRPr="0045489A">
        <w:rPr>
          <w:rFonts w:eastAsia="Times New Roman"/>
          <w:lang w:eastAsia="fr-FR"/>
        </w:rPr>
        <w:t>:</w:t>
      </w:r>
    </w:p>
    <w:p w:rsidR="0045489A" w:rsidRDefault="00367978" w:rsidP="0045489A">
      <w:pPr>
        <w:pStyle w:val="SingleTxtG"/>
        <w:rPr>
          <w:rFonts w:eastAsia="Times New Roman"/>
          <w:lang w:eastAsia="fr-FR"/>
        </w:rPr>
      </w:pPr>
      <w:r>
        <w:rPr>
          <w:rFonts w:eastAsia="Times New Roman"/>
          <w:lang w:eastAsia="fr-FR"/>
        </w:rPr>
        <w:t>« </w:t>
      </w:r>
      <w:r w:rsidR="0045489A" w:rsidRPr="0045489A">
        <w:rPr>
          <w:rFonts w:eastAsia="Times New Roman"/>
          <w:lang w:eastAsia="fr-FR"/>
        </w:rPr>
        <w:t>SP 593</w:t>
      </w:r>
      <w:r>
        <w:rPr>
          <w:rFonts w:eastAsia="Times New Roman"/>
          <w:lang w:eastAsia="fr-FR"/>
        </w:rPr>
        <w:t> </w:t>
      </w:r>
      <w:r w:rsidR="0045489A" w:rsidRPr="0045489A">
        <w:rPr>
          <w:rFonts w:eastAsia="Times New Roman"/>
          <w:lang w:eastAsia="fr-FR"/>
        </w:rPr>
        <w:t xml:space="preserve">: Ce gaz, </w:t>
      </w:r>
      <w:r w:rsidR="0045489A" w:rsidRPr="0045489A">
        <w:rPr>
          <w:rFonts w:eastAsia="Times New Roman"/>
          <w:strike/>
          <w:lang w:eastAsia="fr-FR"/>
        </w:rPr>
        <w:t>conçu pour</w:t>
      </w:r>
      <w:r w:rsidR="0045489A" w:rsidRPr="00367978">
        <w:rPr>
          <w:rFonts w:eastAsia="Times New Roman"/>
          <w:strike/>
          <w:lang w:eastAsia="fr-FR"/>
        </w:rPr>
        <w:t xml:space="preserve"> </w:t>
      </w:r>
      <w:r w:rsidR="0045489A" w:rsidRPr="0045489A">
        <w:rPr>
          <w:rFonts w:eastAsia="Times New Roman"/>
          <w:u w:val="single"/>
          <w:lang w:eastAsia="fr-FR"/>
        </w:rPr>
        <w:t>lorsqu</w:t>
      </w:r>
      <w:r w:rsidR="0045489A">
        <w:rPr>
          <w:rFonts w:eastAsia="Times New Roman"/>
          <w:u w:val="single"/>
          <w:lang w:eastAsia="fr-FR"/>
        </w:rPr>
        <w:t>’</w:t>
      </w:r>
      <w:r w:rsidR="0045489A" w:rsidRPr="0045489A">
        <w:rPr>
          <w:rFonts w:eastAsia="Times New Roman"/>
          <w:u w:val="single"/>
          <w:lang w:eastAsia="fr-FR"/>
        </w:rPr>
        <w:t>il est utilisé pour</w:t>
      </w:r>
      <w:r w:rsidR="0045489A" w:rsidRPr="0045489A">
        <w:rPr>
          <w:rFonts w:eastAsia="Times New Roman"/>
          <w:lang w:eastAsia="fr-FR"/>
        </w:rPr>
        <w:t xml:space="preserve"> le refroidissement </w:t>
      </w:r>
      <w:r w:rsidR="0045489A" w:rsidRPr="0045489A">
        <w:rPr>
          <w:rFonts w:eastAsia="Times New Roman"/>
          <w:u w:val="single"/>
          <w:lang w:eastAsia="fr-FR"/>
        </w:rPr>
        <w:t>ou le conditionnement</w:t>
      </w:r>
      <w:r w:rsidR="0045489A" w:rsidRPr="0045489A">
        <w:rPr>
          <w:rFonts w:eastAsia="Times New Roman"/>
          <w:lang w:eastAsia="fr-FR"/>
        </w:rPr>
        <w:t xml:space="preserve"> par exemple d</w:t>
      </w:r>
      <w:r w:rsidR="0045489A">
        <w:rPr>
          <w:rFonts w:eastAsia="Times New Roman"/>
          <w:lang w:eastAsia="fr-FR"/>
        </w:rPr>
        <w:t>’</w:t>
      </w:r>
      <w:r w:rsidR="0045489A" w:rsidRPr="0045489A">
        <w:rPr>
          <w:rFonts w:eastAsia="Times New Roman"/>
          <w:lang w:eastAsia="fr-FR"/>
        </w:rPr>
        <w:t xml:space="preserve">échantillons médicaux ou biologiques, </w:t>
      </w:r>
      <w:r w:rsidR="0045489A" w:rsidRPr="0045489A">
        <w:rPr>
          <w:rFonts w:eastAsia="Times New Roman"/>
          <w:strike/>
          <w:lang w:eastAsia="fr-FR"/>
        </w:rPr>
        <w:t>lorsqu</w:t>
      </w:r>
      <w:r w:rsidR="0045489A">
        <w:rPr>
          <w:rFonts w:eastAsia="Times New Roman"/>
          <w:strike/>
          <w:lang w:eastAsia="fr-FR"/>
        </w:rPr>
        <w:t>’</w:t>
      </w:r>
      <w:r w:rsidR="0045489A" w:rsidRPr="0045489A">
        <w:rPr>
          <w:rFonts w:eastAsia="Times New Roman"/>
          <w:strike/>
          <w:lang w:eastAsia="fr-FR"/>
        </w:rPr>
        <w:t>il est contenu dans des récipients à double cloison qui satisfont aux dispositions de l</w:t>
      </w:r>
      <w:r w:rsidR="0045489A">
        <w:rPr>
          <w:rFonts w:eastAsia="Times New Roman"/>
          <w:strike/>
          <w:lang w:eastAsia="fr-FR"/>
        </w:rPr>
        <w:t>’</w:t>
      </w:r>
      <w:r w:rsidR="0045489A" w:rsidRPr="0045489A">
        <w:rPr>
          <w:rFonts w:eastAsia="Times New Roman"/>
          <w:strike/>
          <w:lang w:eastAsia="fr-FR"/>
        </w:rPr>
        <w:t>instruction d</w:t>
      </w:r>
      <w:r w:rsidR="0045489A">
        <w:rPr>
          <w:rFonts w:eastAsia="Times New Roman"/>
          <w:strike/>
          <w:lang w:eastAsia="fr-FR"/>
        </w:rPr>
        <w:t>’</w:t>
      </w:r>
      <w:r w:rsidR="0045489A" w:rsidRPr="0045489A">
        <w:rPr>
          <w:rFonts w:eastAsia="Times New Roman"/>
          <w:strike/>
          <w:lang w:eastAsia="fr-FR"/>
        </w:rPr>
        <w:t>emballage P203 6), prescriptions applicables aux récipients cryogéniques ouverts, du 4.1.4.1,</w:t>
      </w:r>
      <w:r w:rsidR="0045489A" w:rsidRPr="00C05450">
        <w:rPr>
          <w:rFonts w:eastAsia="Times New Roman"/>
          <w:strike/>
          <w:lang w:eastAsia="fr-FR"/>
        </w:rPr>
        <w:t xml:space="preserve"> </w:t>
      </w:r>
      <w:r w:rsidR="0045489A" w:rsidRPr="0045489A">
        <w:rPr>
          <w:rFonts w:eastAsia="Times New Roman"/>
          <w:lang w:eastAsia="fr-FR"/>
        </w:rPr>
        <w:t>n</w:t>
      </w:r>
      <w:r w:rsidR="0045489A">
        <w:rPr>
          <w:rFonts w:eastAsia="Times New Roman"/>
          <w:lang w:eastAsia="fr-FR"/>
        </w:rPr>
        <w:t>’</w:t>
      </w:r>
      <w:r w:rsidR="0045489A" w:rsidRPr="0045489A">
        <w:rPr>
          <w:rFonts w:eastAsia="Times New Roman"/>
          <w:lang w:eastAsia="fr-FR"/>
        </w:rPr>
        <w:t>est pas soumis aux prescriptions du RID/ADR excepté tel qu</w:t>
      </w:r>
      <w:r w:rsidR="0045489A">
        <w:rPr>
          <w:rFonts w:eastAsia="Times New Roman"/>
          <w:lang w:eastAsia="fr-FR"/>
        </w:rPr>
        <w:t>’</w:t>
      </w:r>
      <w:r w:rsidR="0045489A" w:rsidRPr="0045489A">
        <w:rPr>
          <w:rFonts w:eastAsia="Times New Roman"/>
          <w:lang w:eastAsia="fr-FR"/>
        </w:rPr>
        <w:t>indiqué au 5.5.3.</w:t>
      </w:r>
      <w:r w:rsidR="00C05450">
        <w:rPr>
          <w:rFonts w:eastAsia="Times New Roman"/>
          <w:lang w:eastAsia="fr-FR"/>
        </w:rPr>
        <w:t> »</w:t>
      </w:r>
      <w:r w:rsidR="0045489A" w:rsidRPr="0045489A">
        <w:rPr>
          <w:rFonts w:eastAsia="Times New Roman"/>
          <w:lang w:eastAsia="fr-FR"/>
        </w:rPr>
        <w:t>.</w:t>
      </w:r>
    </w:p>
    <w:p w:rsidR="00F9573C" w:rsidRPr="0045489A" w:rsidRDefault="0045489A" w:rsidP="0045489A">
      <w:pPr>
        <w:pStyle w:val="SingleTxtG"/>
        <w:spacing w:before="240" w:after="0"/>
        <w:jc w:val="center"/>
        <w:rPr>
          <w:u w:val="single"/>
        </w:rPr>
      </w:pPr>
      <w:r>
        <w:rPr>
          <w:u w:val="single"/>
        </w:rPr>
        <w:tab/>
      </w:r>
      <w:r>
        <w:rPr>
          <w:u w:val="single"/>
        </w:rPr>
        <w:tab/>
      </w:r>
      <w:r>
        <w:rPr>
          <w:u w:val="single"/>
        </w:rPr>
        <w:tab/>
      </w:r>
    </w:p>
    <w:sectPr w:rsidR="00F9573C" w:rsidRPr="0045489A" w:rsidSect="009715D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EBE" w:rsidRDefault="00883EBE" w:rsidP="00F95C08">
      <w:pPr>
        <w:spacing w:line="240" w:lineRule="auto"/>
      </w:pPr>
    </w:p>
  </w:endnote>
  <w:endnote w:type="continuationSeparator" w:id="0">
    <w:p w:rsidR="00883EBE" w:rsidRPr="00AC3823" w:rsidRDefault="00883EBE" w:rsidP="00AC3823">
      <w:pPr>
        <w:pStyle w:val="Footer"/>
      </w:pPr>
    </w:p>
  </w:endnote>
  <w:endnote w:type="continuationNotice" w:id="1">
    <w:p w:rsidR="00883EBE" w:rsidRDefault="00883E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5D3" w:rsidRPr="009715D3" w:rsidRDefault="009715D3" w:rsidP="009715D3">
    <w:pPr>
      <w:pStyle w:val="Footer"/>
      <w:tabs>
        <w:tab w:val="right" w:pos="9638"/>
      </w:tabs>
    </w:pPr>
    <w:r w:rsidRPr="009715D3">
      <w:rPr>
        <w:b/>
        <w:sz w:val="18"/>
      </w:rPr>
      <w:fldChar w:fldCharType="begin"/>
    </w:r>
    <w:r w:rsidRPr="009715D3">
      <w:rPr>
        <w:b/>
        <w:sz w:val="18"/>
      </w:rPr>
      <w:instrText xml:space="preserve"> PAGE  \* MERGEFORMAT </w:instrText>
    </w:r>
    <w:r w:rsidRPr="009715D3">
      <w:rPr>
        <w:b/>
        <w:sz w:val="18"/>
      </w:rPr>
      <w:fldChar w:fldCharType="separate"/>
    </w:r>
    <w:r w:rsidRPr="009715D3">
      <w:rPr>
        <w:b/>
        <w:noProof/>
        <w:sz w:val="18"/>
      </w:rPr>
      <w:t>2</w:t>
    </w:r>
    <w:r w:rsidRPr="009715D3">
      <w:rPr>
        <w:b/>
        <w:sz w:val="18"/>
      </w:rPr>
      <w:fldChar w:fldCharType="end"/>
    </w:r>
    <w:r>
      <w:rPr>
        <w:b/>
        <w:sz w:val="18"/>
      </w:rPr>
      <w:tab/>
    </w:r>
    <w:r>
      <w:t>GE.20-00114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5D3" w:rsidRPr="009715D3" w:rsidRDefault="009715D3" w:rsidP="009715D3">
    <w:pPr>
      <w:pStyle w:val="Footer"/>
      <w:tabs>
        <w:tab w:val="right" w:pos="9638"/>
      </w:tabs>
      <w:rPr>
        <w:b/>
        <w:sz w:val="18"/>
      </w:rPr>
    </w:pPr>
    <w:r>
      <w:t>GE.20-00114</w:t>
    </w:r>
    <w:r>
      <w:tab/>
    </w:r>
    <w:r w:rsidRPr="009715D3">
      <w:rPr>
        <w:b/>
        <w:sz w:val="18"/>
      </w:rPr>
      <w:fldChar w:fldCharType="begin"/>
    </w:r>
    <w:r w:rsidRPr="009715D3">
      <w:rPr>
        <w:b/>
        <w:sz w:val="18"/>
      </w:rPr>
      <w:instrText xml:space="preserve"> PAGE  \* MERGEFORMAT </w:instrText>
    </w:r>
    <w:r w:rsidRPr="009715D3">
      <w:rPr>
        <w:b/>
        <w:sz w:val="18"/>
      </w:rPr>
      <w:fldChar w:fldCharType="separate"/>
    </w:r>
    <w:r w:rsidRPr="009715D3">
      <w:rPr>
        <w:b/>
        <w:noProof/>
        <w:sz w:val="18"/>
      </w:rPr>
      <w:t>3</w:t>
    </w:r>
    <w:r w:rsidRPr="009715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9715D3" w:rsidRDefault="009715D3" w:rsidP="009715D3">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20-00114  (F)    220120    290120</w:t>
    </w:r>
    <w:r>
      <w:rPr>
        <w:sz w:val="20"/>
      </w:rPr>
      <w:br/>
    </w:r>
    <w:r w:rsidRPr="009715D3">
      <w:rPr>
        <w:rFonts w:ascii="C39T30Lfz" w:hAnsi="C39T30Lfz"/>
        <w:sz w:val="56"/>
      </w:rPr>
      <w:t></w:t>
    </w:r>
    <w:r w:rsidRPr="009715D3">
      <w:rPr>
        <w:rFonts w:ascii="C39T30Lfz" w:hAnsi="C39T30Lfz"/>
        <w:sz w:val="56"/>
      </w:rPr>
      <w:t></w:t>
    </w:r>
    <w:r w:rsidRPr="009715D3">
      <w:rPr>
        <w:rFonts w:ascii="C39T30Lfz" w:hAnsi="C39T30Lfz"/>
        <w:sz w:val="56"/>
      </w:rPr>
      <w:t></w:t>
    </w:r>
    <w:r w:rsidRPr="009715D3">
      <w:rPr>
        <w:rFonts w:ascii="C39T30Lfz" w:hAnsi="C39T30Lfz"/>
        <w:sz w:val="56"/>
      </w:rPr>
      <w:t></w:t>
    </w:r>
    <w:r w:rsidRPr="009715D3">
      <w:rPr>
        <w:rFonts w:ascii="C39T30Lfz" w:hAnsi="C39T30Lfz"/>
        <w:sz w:val="56"/>
      </w:rPr>
      <w:t></w:t>
    </w:r>
    <w:r w:rsidRPr="009715D3">
      <w:rPr>
        <w:rFonts w:ascii="C39T30Lfz" w:hAnsi="C39T30Lfz"/>
        <w:sz w:val="56"/>
      </w:rPr>
      <w:t></w:t>
    </w:r>
    <w:r w:rsidRPr="009715D3">
      <w:rPr>
        <w:rFonts w:ascii="C39T30Lfz" w:hAnsi="C39T30Lfz"/>
        <w:sz w:val="56"/>
      </w:rPr>
      <w:t></w:t>
    </w:r>
    <w:r w:rsidRPr="009715D3">
      <w:rPr>
        <w:rFonts w:ascii="C39T30Lfz" w:hAnsi="C39T30Lfz"/>
        <w:sz w:val="56"/>
      </w:rPr>
      <w:t></w:t>
    </w:r>
    <w:r w:rsidRPr="009715D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20/4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4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EBE" w:rsidRPr="00AC3823" w:rsidRDefault="00883EBE" w:rsidP="00AC3823">
      <w:pPr>
        <w:pStyle w:val="Footer"/>
        <w:tabs>
          <w:tab w:val="right" w:pos="2155"/>
        </w:tabs>
        <w:spacing w:after="80" w:line="240" w:lineRule="atLeast"/>
        <w:ind w:left="680"/>
        <w:rPr>
          <w:u w:val="single"/>
        </w:rPr>
      </w:pPr>
      <w:r>
        <w:rPr>
          <w:u w:val="single"/>
        </w:rPr>
        <w:tab/>
      </w:r>
    </w:p>
  </w:footnote>
  <w:footnote w:type="continuationSeparator" w:id="0">
    <w:p w:rsidR="00883EBE" w:rsidRPr="00AC3823" w:rsidRDefault="00883EBE" w:rsidP="00AC3823">
      <w:pPr>
        <w:pStyle w:val="Footer"/>
        <w:tabs>
          <w:tab w:val="right" w:pos="2155"/>
        </w:tabs>
        <w:spacing w:after="80" w:line="240" w:lineRule="atLeast"/>
        <w:ind w:left="680"/>
        <w:rPr>
          <w:u w:val="single"/>
        </w:rPr>
      </w:pPr>
      <w:r>
        <w:rPr>
          <w:u w:val="single"/>
        </w:rPr>
        <w:tab/>
      </w:r>
    </w:p>
  </w:footnote>
  <w:footnote w:type="continuationNotice" w:id="1">
    <w:p w:rsidR="00883EBE" w:rsidRPr="00AC3823" w:rsidRDefault="00883EBE">
      <w:pPr>
        <w:spacing w:line="240" w:lineRule="auto"/>
        <w:rPr>
          <w:sz w:val="2"/>
          <w:szCs w:val="2"/>
        </w:rPr>
      </w:pPr>
    </w:p>
  </w:footnote>
  <w:footnote w:id="2">
    <w:p w:rsidR="009715D3" w:rsidRPr="006D1B7F" w:rsidRDefault="009715D3" w:rsidP="00003968">
      <w:pPr>
        <w:pStyle w:val="FootnoteText"/>
        <w:rPr>
          <w:szCs w:val="18"/>
        </w:rPr>
      </w:pPr>
      <w:r w:rsidRPr="006D1B7F">
        <w:rPr>
          <w:rStyle w:val="FootnoteReference"/>
        </w:rPr>
        <w:tab/>
      </w:r>
      <w:r w:rsidRPr="006D1B7F">
        <w:rPr>
          <w:rStyle w:val="FootnoteReference"/>
          <w:sz w:val="20"/>
          <w:vertAlign w:val="baseline"/>
        </w:rPr>
        <w:t>*</w:t>
      </w:r>
      <w:r w:rsidRPr="006D1B7F">
        <w:rPr>
          <w:rStyle w:val="FootnoteReference"/>
          <w:sz w:val="20"/>
          <w:vertAlign w:val="baseline"/>
        </w:rPr>
        <w:tab/>
      </w:r>
      <w:r w:rsidR="00003968" w:rsidRPr="006D1B7F">
        <w:rPr>
          <w:szCs w:val="18"/>
        </w:rPr>
        <w:t>2020 (A/74/6 (Sect.</w:t>
      </w:r>
      <w:r w:rsidR="006D1B7F" w:rsidRPr="006D1B7F">
        <w:rPr>
          <w:szCs w:val="18"/>
        </w:rPr>
        <w:t xml:space="preserve"> </w:t>
      </w:r>
      <w:r w:rsidR="00003968" w:rsidRPr="006D1B7F">
        <w:rPr>
          <w:szCs w:val="18"/>
        </w:rPr>
        <w:t xml:space="preserve">20) </w:t>
      </w:r>
      <w:r w:rsidR="006D1B7F" w:rsidRPr="006D1B7F">
        <w:rPr>
          <w:szCs w:val="18"/>
        </w:rPr>
        <w:t>et supplément</w:t>
      </w:r>
      <w:r w:rsidR="00003968" w:rsidRPr="006D1B7F">
        <w:rPr>
          <w:szCs w:val="18"/>
        </w:rPr>
        <w:t xml:space="preserve">, </w:t>
      </w:r>
      <w:r w:rsidR="006D1B7F" w:rsidRPr="006D1B7F">
        <w:rPr>
          <w:szCs w:val="18"/>
        </w:rPr>
        <w:t xml:space="preserve">sous-programme </w:t>
      </w:r>
      <w:r w:rsidR="00003968" w:rsidRPr="006D1B7F">
        <w:rPr>
          <w:szCs w:val="18"/>
        </w:rPr>
        <w:t>2).</w:t>
      </w:r>
    </w:p>
  </w:footnote>
  <w:footnote w:id="3">
    <w:p w:rsidR="009715D3" w:rsidRPr="0045489A" w:rsidRDefault="009715D3" w:rsidP="009715D3">
      <w:pPr>
        <w:pStyle w:val="FootnoteText"/>
        <w:rPr>
          <w:szCs w:val="18"/>
        </w:rPr>
      </w:pPr>
      <w:r w:rsidRPr="006D1B7F">
        <w:rPr>
          <w:rStyle w:val="FootnoteReference"/>
        </w:rPr>
        <w:tab/>
      </w:r>
      <w:r w:rsidRPr="009715D3">
        <w:rPr>
          <w:rStyle w:val="FootnoteReference"/>
          <w:sz w:val="20"/>
          <w:vertAlign w:val="baseline"/>
        </w:rPr>
        <w:t>**</w:t>
      </w:r>
      <w:r>
        <w:rPr>
          <w:rStyle w:val="FootnoteReference"/>
          <w:sz w:val="20"/>
          <w:vertAlign w:val="baseline"/>
        </w:rPr>
        <w:tab/>
      </w:r>
      <w:r w:rsidRPr="0045489A">
        <w:rPr>
          <w:szCs w:val="18"/>
        </w:rPr>
        <w:t>Diffusé par l’Organisation intergouvernementale pour les transports internationaux ferroviaires (OTIF) sous la cote OTIF/RID/RC/2020/40.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5D3" w:rsidRPr="009715D3" w:rsidRDefault="002D0B3B">
    <w:pPr>
      <w:pStyle w:val="Header"/>
    </w:pPr>
    <w:r>
      <w:fldChar w:fldCharType="begin"/>
    </w:r>
    <w:r>
      <w:instrText xml:space="preserve"> TITLE  \* MERGEFORMAT </w:instrText>
    </w:r>
    <w:r>
      <w:fldChar w:fldCharType="separate"/>
    </w:r>
    <w:r w:rsidR="00EB5F56">
      <w:t>ECE/TRANS/WP.15/AC.1/2020/40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5D3" w:rsidRPr="009715D3" w:rsidRDefault="002D0B3B" w:rsidP="009715D3">
    <w:pPr>
      <w:pStyle w:val="Header"/>
      <w:jc w:val="right"/>
    </w:pPr>
    <w:r>
      <w:fldChar w:fldCharType="begin"/>
    </w:r>
    <w:r>
      <w:instrText xml:space="preserve"> TITLE  \* MERGEFORMAT </w:instrText>
    </w:r>
    <w:r>
      <w:fldChar w:fldCharType="separate"/>
    </w:r>
    <w:r w:rsidR="00EB5F56">
      <w:t>ECE/TRANS/WP.15/AC.1/2020/40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ABC390A"/>
    <w:multiLevelType w:val="hybridMultilevel"/>
    <w:tmpl w:val="9DF2BD94"/>
    <w:lvl w:ilvl="0" w:tplc="3C68DD70">
      <w:start w:val="2"/>
      <w:numFmt w:val="bullet"/>
      <w:lvlText w:val="-"/>
      <w:lvlJc w:val="left"/>
      <w:pPr>
        <w:ind w:left="1854" w:hanging="360"/>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2" w15:restartNumberingAfterBreak="0">
    <w:nsid w:val="2E732881"/>
    <w:multiLevelType w:val="hybridMultilevel"/>
    <w:tmpl w:val="4FF6282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BB293B"/>
    <w:multiLevelType w:val="hybridMultilevel"/>
    <w:tmpl w:val="91A4CE72"/>
    <w:lvl w:ilvl="0" w:tplc="78E452BC">
      <w:start w:val="5"/>
      <w:numFmt w:val="bullet"/>
      <w:lvlText w:val="-"/>
      <w:lvlJc w:val="left"/>
      <w:pPr>
        <w:ind w:left="1494" w:hanging="360"/>
      </w:pPr>
      <w:rPr>
        <w:rFonts w:ascii="Times New Roman" w:eastAsia="Times New Roman"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BE"/>
    <w:rsid w:val="00003968"/>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0B3B"/>
    <w:rsid w:val="002D7C93"/>
    <w:rsid w:val="00305801"/>
    <w:rsid w:val="00324DCB"/>
    <w:rsid w:val="00356C49"/>
    <w:rsid w:val="00367978"/>
    <w:rsid w:val="003916DE"/>
    <w:rsid w:val="003B2F6D"/>
    <w:rsid w:val="00421996"/>
    <w:rsid w:val="00441C3B"/>
    <w:rsid w:val="00446FE5"/>
    <w:rsid w:val="00452396"/>
    <w:rsid w:val="0045489A"/>
    <w:rsid w:val="004757CB"/>
    <w:rsid w:val="004837D8"/>
    <w:rsid w:val="004E2EED"/>
    <w:rsid w:val="004E468C"/>
    <w:rsid w:val="005505B7"/>
    <w:rsid w:val="00573BE5"/>
    <w:rsid w:val="00586ED3"/>
    <w:rsid w:val="00596AA9"/>
    <w:rsid w:val="006D1B7F"/>
    <w:rsid w:val="0071601D"/>
    <w:rsid w:val="00790753"/>
    <w:rsid w:val="007A62E6"/>
    <w:rsid w:val="007F20FA"/>
    <w:rsid w:val="0080684C"/>
    <w:rsid w:val="00871C75"/>
    <w:rsid w:val="008776DC"/>
    <w:rsid w:val="00883EBE"/>
    <w:rsid w:val="00894777"/>
    <w:rsid w:val="009142F8"/>
    <w:rsid w:val="009446C0"/>
    <w:rsid w:val="009705C8"/>
    <w:rsid w:val="009715D3"/>
    <w:rsid w:val="009C1CF4"/>
    <w:rsid w:val="009F6B74"/>
    <w:rsid w:val="00A3029F"/>
    <w:rsid w:val="00A30353"/>
    <w:rsid w:val="00AC3823"/>
    <w:rsid w:val="00AE323C"/>
    <w:rsid w:val="00AF0CB5"/>
    <w:rsid w:val="00B00181"/>
    <w:rsid w:val="00B00B0D"/>
    <w:rsid w:val="00B45F2E"/>
    <w:rsid w:val="00B765F7"/>
    <w:rsid w:val="00BA0CA9"/>
    <w:rsid w:val="00C02897"/>
    <w:rsid w:val="00C05450"/>
    <w:rsid w:val="00C97039"/>
    <w:rsid w:val="00D3439C"/>
    <w:rsid w:val="00DA41B5"/>
    <w:rsid w:val="00DB1831"/>
    <w:rsid w:val="00DD3BFD"/>
    <w:rsid w:val="00DF6678"/>
    <w:rsid w:val="00E0299A"/>
    <w:rsid w:val="00E47C04"/>
    <w:rsid w:val="00E85C74"/>
    <w:rsid w:val="00EA6547"/>
    <w:rsid w:val="00EB5F56"/>
    <w:rsid w:val="00EF2E22"/>
    <w:rsid w:val="00F35BAF"/>
    <w:rsid w:val="00F660DF"/>
    <w:rsid w:val="00F73FF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E23DEF-79E2-485F-BC97-7D52356E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5489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1560</Words>
  <Characters>8896</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ECE/TRANS/WP.15/AC.1/2020/40</vt:lpstr>
      <vt:lpstr>ECE/TRANS/WP.15/AC.1/2020/40</vt:lpstr>
    </vt:vector>
  </TitlesOfParts>
  <Company>DCM</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ECE/TRANS/WP.15/AC.1/2020/40</dc:title>
  <dc:subject/>
  <dc:creator>Sandrine CLERE</dc:creator>
  <cp:keywords/>
  <cp:lastModifiedBy>Christine Barrio-Champeau</cp:lastModifiedBy>
  <cp:revision>2</cp:revision>
  <cp:lastPrinted>2020-01-29T12:29:00Z</cp:lastPrinted>
  <dcterms:created xsi:type="dcterms:W3CDTF">2020-01-30T10:18:00Z</dcterms:created>
  <dcterms:modified xsi:type="dcterms:W3CDTF">2020-01-30T10:18:00Z</dcterms:modified>
</cp:coreProperties>
</file>