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BCD5D2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698066" w14:textId="77777777" w:rsidR="00F35BAF" w:rsidRPr="00DB58B5" w:rsidRDefault="00F35BAF" w:rsidP="00354D5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6FC9A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971A01" w14:textId="77777777" w:rsidR="00F35BAF" w:rsidRPr="00DB58B5" w:rsidRDefault="00354D56" w:rsidP="00354D56">
            <w:pPr>
              <w:jc w:val="right"/>
            </w:pPr>
            <w:r w:rsidRPr="00354D56">
              <w:rPr>
                <w:sz w:val="40"/>
              </w:rPr>
              <w:t>ECE</w:t>
            </w:r>
            <w:r>
              <w:t>/TRANS/WP.15/AC.1/2020/34</w:t>
            </w:r>
          </w:p>
        </w:tc>
      </w:tr>
      <w:tr w:rsidR="00F35BAF" w:rsidRPr="00DB58B5" w14:paraId="4520187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7B4AE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BEF926" wp14:editId="476924E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F5606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810DA4" w14:textId="77777777" w:rsidR="00F35BAF" w:rsidRDefault="00354D56" w:rsidP="00C97039">
            <w:pPr>
              <w:spacing w:before="240"/>
            </w:pPr>
            <w:r>
              <w:t>Distr. générale</w:t>
            </w:r>
          </w:p>
          <w:p w14:paraId="65F51089" w14:textId="77777777" w:rsidR="00354D56" w:rsidRDefault="00354D56" w:rsidP="00354D56">
            <w:pPr>
              <w:spacing w:line="240" w:lineRule="exact"/>
            </w:pPr>
            <w:r>
              <w:t>30 décembre 2019</w:t>
            </w:r>
          </w:p>
          <w:p w14:paraId="05884E4F" w14:textId="77777777" w:rsidR="00354D56" w:rsidRDefault="00354D56" w:rsidP="00354D56">
            <w:pPr>
              <w:spacing w:line="240" w:lineRule="exact"/>
            </w:pPr>
            <w:r>
              <w:t>Français</w:t>
            </w:r>
          </w:p>
          <w:p w14:paraId="5930EDD0" w14:textId="77777777" w:rsidR="00354D56" w:rsidRPr="00DB58B5" w:rsidRDefault="00354D56" w:rsidP="00354D56">
            <w:pPr>
              <w:spacing w:line="240" w:lineRule="exact"/>
            </w:pPr>
            <w:r>
              <w:t>Original : russe</w:t>
            </w:r>
          </w:p>
        </w:tc>
      </w:tr>
    </w:tbl>
    <w:p w14:paraId="7B58114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7204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C9CC96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5E68BBF" w14:textId="77777777" w:rsidR="00354D56" w:rsidRPr="009E01B8" w:rsidRDefault="00354D56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88BDB75" w14:textId="77777777" w:rsidR="00354D56" w:rsidRPr="00926E87" w:rsidRDefault="00354D56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C72047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486ECC67" w14:textId="77777777" w:rsidR="00354D56" w:rsidRPr="00126CE6" w:rsidRDefault="00354D56" w:rsidP="00354D56">
      <w:pPr>
        <w:rPr>
          <w:rFonts w:eastAsia="Times New Roman"/>
          <w:lang w:eastAsia="fr-FR"/>
        </w:rPr>
      </w:pPr>
      <w:r w:rsidRPr="00126CE6">
        <w:rPr>
          <w:rFonts w:eastAsia="Times New Roman"/>
          <w:lang w:eastAsia="fr-FR"/>
        </w:rPr>
        <w:t>Berne, 16</w:t>
      </w:r>
      <w:r>
        <w:rPr>
          <w:rFonts w:eastAsia="Times New Roman"/>
          <w:lang w:eastAsia="fr-FR"/>
        </w:rPr>
        <w:t>-</w:t>
      </w:r>
      <w:r w:rsidRPr="00126CE6">
        <w:rPr>
          <w:rFonts w:eastAsia="Times New Roman"/>
          <w:lang w:eastAsia="fr-FR"/>
        </w:rPr>
        <w:t>20 mars 2020</w:t>
      </w:r>
    </w:p>
    <w:p w14:paraId="5DA46E66" w14:textId="77777777" w:rsidR="00354D56" w:rsidRPr="00126CE6" w:rsidRDefault="00354D56" w:rsidP="00354D56">
      <w:pPr>
        <w:rPr>
          <w:rFonts w:eastAsia="Times New Roman"/>
          <w:lang w:eastAsia="fr-FR"/>
        </w:rPr>
      </w:pPr>
      <w:r w:rsidRPr="00126CE6">
        <w:rPr>
          <w:rFonts w:eastAsia="Times New Roman"/>
          <w:lang w:eastAsia="fr-FR"/>
        </w:rPr>
        <w:t>Point 2 de l</w:t>
      </w:r>
      <w:r w:rsidR="00C72047">
        <w:rPr>
          <w:rFonts w:eastAsia="Times New Roman"/>
          <w:lang w:eastAsia="fr-FR"/>
        </w:rPr>
        <w:t>’</w:t>
      </w:r>
      <w:r w:rsidRPr="00126CE6">
        <w:rPr>
          <w:rFonts w:eastAsia="Times New Roman"/>
          <w:lang w:eastAsia="fr-FR"/>
        </w:rPr>
        <w:t>ordre du jour provisoire</w:t>
      </w:r>
    </w:p>
    <w:p w14:paraId="082C16E0" w14:textId="77777777" w:rsidR="00354D56" w:rsidRPr="00126CE6" w:rsidRDefault="00354D56" w:rsidP="00354D56">
      <w:pPr>
        <w:rPr>
          <w:b/>
        </w:rPr>
      </w:pPr>
      <w:r w:rsidRPr="00126CE6">
        <w:rPr>
          <w:rFonts w:eastAsia="Times New Roman"/>
          <w:b/>
          <w:lang w:eastAsia="fr-FR"/>
        </w:rPr>
        <w:t>Citernes</w:t>
      </w:r>
    </w:p>
    <w:p w14:paraId="1E763E5B" w14:textId="77777777" w:rsidR="00354D56" w:rsidRPr="00126CE6" w:rsidRDefault="00354D56" w:rsidP="00354D56">
      <w:pPr>
        <w:pStyle w:val="HChG"/>
      </w:pPr>
      <w:r w:rsidRPr="00126CE6">
        <w:tab/>
      </w:r>
      <w:r w:rsidRPr="00126CE6">
        <w:tab/>
      </w:r>
      <w:r w:rsidRPr="00126CE6">
        <w:rPr>
          <w:lang w:bidi="en-US"/>
        </w:rPr>
        <w:t>Mat</w:t>
      </w:r>
      <w:r>
        <w:rPr>
          <w:lang w:bidi="en-US"/>
        </w:rPr>
        <w:t>é</w:t>
      </w:r>
      <w:r w:rsidRPr="00126CE6">
        <w:rPr>
          <w:lang w:bidi="en-US"/>
        </w:rPr>
        <w:t>ri</w:t>
      </w:r>
      <w:r>
        <w:rPr>
          <w:lang w:bidi="en-US"/>
        </w:rPr>
        <w:t>au des récipients pour le numéro ONU 2031 acide nitrique concentré</w:t>
      </w:r>
      <w:r w:rsidRPr="00126CE6">
        <w:rPr>
          <w:lang w:bidi="en-US"/>
        </w:rPr>
        <w:t xml:space="preserve"> (</w:t>
      </w:r>
      <w:r w:rsidRPr="00971AFA">
        <w:rPr>
          <w:lang w:bidi="en-US"/>
        </w:rPr>
        <w:t xml:space="preserve">contenant plus de </w:t>
      </w:r>
      <w:r>
        <w:rPr>
          <w:lang w:bidi="en-US"/>
        </w:rPr>
        <w:t>70 </w:t>
      </w:r>
      <w:r w:rsidRPr="00971AFA">
        <w:rPr>
          <w:lang w:bidi="en-US"/>
        </w:rPr>
        <w:t>% d</w:t>
      </w:r>
      <w:r w:rsidR="00C72047">
        <w:rPr>
          <w:lang w:bidi="en-US"/>
        </w:rPr>
        <w:t>’</w:t>
      </w:r>
      <w:r w:rsidRPr="00971AFA">
        <w:rPr>
          <w:lang w:bidi="en-US"/>
        </w:rPr>
        <w:t>acide nitrique</w:t>
      </w:r>
      <w:r w:rsidRPr="00126CE6">
        <w:rPr>
          <w:lang w:bidi="en-US"/>
        </w:rPr>
        <w:t>) (</w:t>
      </w:r>
      <w:r>
        <w:rPr>
          <w:lang w:bidi="en-US"/>
        </w:rPr>
        <w:t xml:space="preserve">disposition </w:t>
      </w:r>
      <w:r w:rsidRPr="00126CE6">
        <w:rPr>
          <w:lang w:bidi="en-US"/>
        </w:rPr>
        <w:t>sp</w:t>
      </w:r>
      <w:r>
        <w:rPr>
          <w:lang w:bidi="en-US"/>
        </w:rPr>
        <w:t>é</w:t>
      </w:r>
      <w:r w:rsidRPr="00126CE6">
        <w:rPr>
          <w:lang w:bidi="en-US"/>
        </w:rPr>
        <w:t>cial</w:t>
      </w:r>
      <w:r>
        <w:rPr>
          <w:lang w:bidi="en-US"/>
        </w:rPr>
        <w:t>e</w:t>
      </w:r>
      <w:r w:rsidRPr="00126CE6">
        <w:rPr>
          <w:lang w:bidi="en-US"/>
        </w:rPr>
        <w:t xml:space="preserve"> TC 6 </w:t>
      </w:r>
      <w:r>
        <w:rPr>
          <w:lang w:bidi="en-US"/>
        </w:rPr>
        <w:t xml:space="preserve">de la </w:t>
      </w:r>
      <w:r w:rsidRPr="00126CE6">
        <w:rPr>
          <w:lang w:bidi="en-US"/>
        </w:rPr>
        <w:t>section 6.8.4)</w:t>
      </w:r>
    </w:p>
    <w:p w14:paraId="3942FEA1" w14:textId="77777777" w:rsidR="00F9573C" w:rsidRDefault="00354D56" w:rsidP="00354D56">
      <w:pPr>
        <w:pStyle w:val="H1G"/>
        <w:rPr>
          <w:bCs/>
          <w:sz w:val="18"/>
          <w:vertAlign w:val="superscript"/>
        </w:rPr>
      </w:pPr>
      <w:r w:rsidRPr="00126CE6">
        <w:tab/>
      </w:r>
      <w:r w:rsidRPr="00126CE6">
        <w:tab/>
        <w:t>Communication du Gouvernement de la Fédération de Russie</w:t>
      </w:r>
      <w:r w:rsidRPr="00354D5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354D56">
        <w:rPr>
          <w:bCs/>
          <w:sz w:val="20"/>
          <w:vertAlign w:val="superscript"/>
        </w:rPr>
        <w:t xml:space="preserve">, </w:t>
      </w:r>
      <w:r w:rsidRPr="00354D56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354D56" w14:paraId="5E820DB1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A2F2A99" w14:textId="77777777" w:rsidR="00354D56" w:rsidRDefault="00354D5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354D56" w14:paraId="3C24427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E541E89" w14:textId="77777777" w:rsidR="00354D56" w:rsidRDefault="00354D56" w:rsidP="00354D56">
            <w:pPr>
              <w:pStyle w:val="SingleTxtG"/>
              <w:ind w:left="3402" w:hanging="2268"/>
            </w:pPr>
            <w:r w:rsidRPr="00126CE6">
              <w:rPr>
                <w:b/>
                <w:bCs/>
              </w:rPr>
              <w:t>Résumé analytique</w:t>
            </w:r>
            <w:r w:rsidR="00C72047">
              <w:rPr>
                <w:b/>
                <w:bCs/>
              </w:rPr>
              <w:t> </w:t>
            </w:r>
            <w:r w:rsidRPr="00126CE6">
              <w:rPr>
                <w:b/>
                <w:bCs/>
              </w:rPr>
              <w:t>:</w:t>
            </w:r>
            <w:r w:rsidRPr="00126CE6">
              <w:t xml:space="preserve"> </w:t>
            </w:r>
            <w:r w:rsidRPr="00126CE6">
              <w:tab/>
              <w:t xml:space="preserve">Le présent document a pour but de préciser les prescriptions </w:t>
            </w:r>
            <w:r>
              <w:t xml:space="preserve">concernant le matériau des citernes destinées au transport du numéro ONU 2031 acide nitrique concentré </w:t>
            </w:r>
            <w:r w:rsidRPr="00602349">
              <w:t>(contenant plus de 70</w:t>
            </w:r>
            <w:r w:rsidR="00E25C04">
              <w:t> </w:t>
            </w:r>
            <w:r w:rsidRPr="00602349">
              <w:t>% d</w:t>
            </w:r>
            <w:r w:rsidR="00C72047">
              <w:t>’</w:t>
            </w:r>
            <w:r w:rsidRPr="00602349">
              <w:t>acide nitrique)</w:t>
            </w:r>
            <w:r w:rsidR="00C72047">
              <w:t>.</w:t>
            </w:r>
          </w:p>
        </w:tc>
      </w:tr>
      <w:tr w:rsidR="00354D56" w14:paraId="179867E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615A644" w14:textId="77777777" w:rsidR="00354D56" w:rsidRDefault="00354D56" w:rsidP="00354D56">
            <w:pPr>
              <w:pStyle w:val="SingleTxtG"/>
              <w:ind w:left="3402" w:hanging="2268"/>
            </w:pPr>
            <w:r w:rsidRPr="00126CE6">
              <w:rPr>
                <w:b/>
                <w:bCs/>
              </w:rPr>
              <w:t>Mesure à prendre</w:t>
            </w:r>
            <w:r w:rsidR="00C72047">
              <w:rPr>
                <w:b/>
                <w:bCs/>
              </w:rPr>
              <w:t> </w:t>
            </w:r>
            <w:r w:rsidRPr="00126CE6">
              <w:rPr>
                <w:b/>
                <w:bCs/>
              </w:rPr>
              <w:t>:</w:t>
            </w:r>
            <w:r w:rsidRPr="00126CE6">
              <w:tab/>
            </w:r>
            <w:r>
              <w:t xml:space="preserve">Ajouter à la </w:t>
            </w:r>
            <w:r w:rsidRPr="00602349">
              <w:t>disposition spéciale TC 6 de la section 6.8.4</w:t>
            </w:r>
            <w:r>
              <w:t xml:space="preserve"> une disposition concernant l</w:t>
            </w:r>
            <w:r w:rsidR="00C72047">
              <w:t>’</w:t>
            </w:r>
            <w:r>
              <w:t>utilisation possible d</w:t>
            </w:r>
            <w:r w:rsidR="00C72047">
              <w:t>’</w:t>
            </w:r>
            <w:r>
              <w:t>alliages d</w:t>
            </w:r>
            <w:r w:rsidR="00C72047">
              <w:t>’</w:t>
            </w:r>
            <w:r>
              <w:t xml:space="preserve">aluminium pour la fabrication des chaudières de </w:t>
            </w:r>
            <w:r w:rsidRPr="003D2441">
              <w:t>wagons</w:t>
            </w:r>
            <w:r w:rsidR="00A503F5">
              <w:noBreakHyphen/>
            </w:r>
            <w:r w:rsidRPr="003D2441">
              <w:t>citernes</w:t>
            </w:r>
            <w:r w:rsidRPr="00126CE6">
              <w:t>.</w:t>
            </w:r>
          </w:p>
        </w:tc>
      </w:tr>
      <w:tr w:rsidR="00354D56" w14:paraId="6AE87C9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CD6E3A8" w14:textId="77777777" w:rsidR="00354D56" w:rsidRDefault="00354D56"/>
        </w:tc>
      </w:tr>
    </w:tbl>
    <w:p w14:paraId="7400C7E1" w14:textId="77777777" w:rsidR="00354D56" w:rsidRPr="00E509F1" w:rsidRDefault="00354D56" w:rsidP="00354D56">
      <w:pPr>
        <w:pStyle w:val="HChG"/>
      </w:pPr>
      <w:r>
        <w:tab/>
      </w:r>
      <w:r>
        <w:tab/>
      </w:r>
      <w:r w:rsidRPr="00126CE6">
        <w:t>Introduction</w:t>
      </w:r>
    </w:p>
    <w:p w14:paraId="5D00FBE5" w14:textId="77777777" w:rsidR="00354D56" w:rsidRDefault="00354D56" w:rsidP="00354D56">
      <w:pPr>
        <w:pStyle w:val="SingleTxtG"/>
      </w:pPr>
      <w:r w:rsidRPr="00E509F1">
        <w:t>1.</w:t>
      </w:r>
      <w:r w:rsidRPr="00E509F1">
        <w:tab/>
      </w:r>
      <w:r>
        <w:t>Diverses prescriptions s</w:t>
      </w:r>
      <w:r w:rsidR="00C72047">
        <w:t>’</w:t>
      </w:r>
      <w:r>
        <w:t xml:space="preserve">appliquent au matériau de construction des </w:t>
      </w:r>
      <w:r w:rsidRPr="00E509F1">
        <w:t>chaudières de wagons-citernes</w:t>
      </w:r>
      <w:r>
        <w:t>, des récipients et des citernes mobiles destinés au transport d</w:t>
      </w:r>
      <w:r w:rsidR="00C72047">
        <w:t>’</w:t>
      </w:r>
      <w:r>
        <w:t xml:space="preserve">acide nitrique concentré du numéro ONU 2031 </w:t>
      </w:r>
      <w:r w:rsidRPr="00E509F1">
        <w:t>(contenant plus de 70</w:t>
      </w:r>
      <w:r>
        <w:t> </w:t>
      </w:r>
      <w:r w:rsidRPr="00E509F1">
        <w:t>% d</w:t>
      </w:r>
      <w:r w:rsidR="00C72047">
        <w:t>’</w:t>
      </w:r>
      <w:r w:rsidRPr="00E509F1">
        <w:t>acide nitrique)</w:t>
      </w:r>
      <w:r>
        <w:t>.</w:t>
      </w:r>
      <w:r w:rsidRPr="003F03B2">
        <w:t xml:space="preserve"> </w:t>
      </w:r>
      <w:r>
        <w:t xml:space="preserve">Pour fabriquer la chaudière conformément aux prescriptions actuelles, les constructeurs </w:t>
      </w:r>
      <w:r w:rsidRPr="003F03B2">
        <w:t>de wagons</w:t>
      </w:r>
      <w:r>
        <w:noBreakHyphen/>
      </w:r>
      <w:r w:rsidRPr="003F03B2">
        <w:t>citernes</w:t>
      </w:r>
      <w:r>
        <w:t xml:space="preserve"> doivent utiliser de l</w:t>
      </w:r>
      <w:r w:rsidR="00C72047">
        <w:t>’</w:t>
      </w:r>
      <w:r>
        <w:t>aluminium de pureté égale ou supérieure à 99</w:t>
      </w:r>
      <w:r w:rsidRPr="003F03B2">
        <w:t>,5</w:t>
      </w:r>
      <w:r>
        <w:t> </w:t>
      </w:r>
      <w:r w:rsidRPr="003F03B2">
        <w:t xml:space="preserve">%. </w:t>
      </w:r>
      <w:r>
        <w:t>Un aluminium d</w:t>
      </w:r>
      <w:r w:rsidR="00C72047">
        <w:t>’</w:t>
      </w:r>
      <w:r>
        <w:t xml:space="preserve">une telle pureté a des caractéristiques mécaniques limitées. Cela se traduit par </w:t>
      </w:r>
      <w:r>
        <w:lastRenderedPageBreak/>
        <w:t>une augmentation importante de l</w:t>
      </w:r>
      <w:r w:rsidR="00C72047">
        <w:t>’</w:t>
      </w:r>
      <w:r>
        <w:t>épaisseur des parois de la chaudière du wagon-citerne et donc par un accroissement correspondant de son poids à vide. Dans une telle situation tant les constructeurs que les utilisateurs des wagons-citernes y perdent.</w:t>
      </w:r>
    </w:p>
    <w:p w14:paraId="09CC7575" w14:textId="77777777" w:rsidR="00354D56" w:rsidRPr="00832C5D" w:rsidRDefault="00354D56" w:rsidP="00354D56">
      <w:pPr>
        <w:pStyle w:val="SingleTxtG"/>
      </w:pPr>
      <w:r w:rsidRPr="00516C49">
        <w:t>2.</w:t>
      </w:r>
      <w:r w:rsidRPr="00516C49">
        <w:tab/>
      </w:r>
      <w:r>
        <w:t xml:space="preserve">Pour le transport </w:t>
      </w:r>
      <w:r w:rsidRPr="00516C49">
        <w:t>d</w:t>
      </w:r>
      <w:r w:rsidR="00C72047">
        <w:t>’</w:t>
      </w:r>
      <w:r w:rsidRPr="00516C49">
        <w:t>acide nitrique concentré du numéro ONU 2031 (contenant plus de 70</w:t>
      </w:r>
      <w:r>
        <w:t> </w:t>
      </w:r>
      <w:r w:rsidRPr="00516C49">
        <w:t>% d</w:t>
      </w:r>
      <w:r w:rsidR="00C72047">
        <w:t>’</w:t>
      </w:r>
      <w:r w:rsidRPr="00516C49">
        <w:t>acide nitrique)</w:t>
      </w:r>
      <w:r>
        <w:t xml:space="preserve"> dans des wagons-citernes c</w:t>
      </w:r>
      <w:r w:rsidR="00C72047">
        <w:t>’</w:t>
      </w:r>
      <w:r>
        <w:t xml:space="preserve">est la disposition spéciale </w:t>
      </w:r>
      <w:r w:rsidRPr="00516C49">
        <w:t xml:space="preserve">TC 6 </w:t>
      </w:r>
      <w:r>
        <w:t xml:space="preserve">de la section </w:t>
      </w:r>
      <w:r w:rsidRPr="00516C49">
        <w:t>6.8.4</w:t>
      </w:r>
      <w:r w:rsidRPr="006E333D">
        <w:t xml:space="preserve"> </w:t>
      </w:r>
      <w:r>
        <w:t>qui s</w:t>
      </w:r>
      <w:r w:rsidR="00C72047">
        <w:t>’</w:t>
      </w:r>
      <w:r>
        <w:t>applique</w:t>
      </w:r>
      <w:r w:rsidRPr="00516C49">
        <w:t xml:space="preserve">. </w:t>
      </w:r>
      <w:r>
        <w:t>Il faut en outre respecter les prescriptions de l</w:t>
      </w:r>
      <w:r w:rsidR="00C72047">
        <w:t>’</w:t>
      </w:r>
      <w:r>
        <w:t>instruction</w:t>
      </w:r>
      <w:r w:rsidRPr="00832C5D">
        <w:t xml:space="preserve"> </w:t>
      </w:r>
      <w:r>
        <w:t>d</w:t>
      </w:r>
      <w:r w:rsidR="00C72047">
        <w:t>’</w:t>
      </w:r>
      <w:r>
        <w:t>emballage</w:t>
      </w:r>
      <w:r w:rsidRPr="00832C5D">
        <w:t xml:space="preserve"> </w:t>
      </w:r>
      <w:r>
        <w:t>P</w:t>
      </w:r>
      <w:r w:rsidRPr="00832C5D">
        <w:t xml:space="preserve"> 001</w:t>
      </w:r>
      <w:r>
        <w:t xml:space="preserve"> pour le transport des récipients. </w:t>
      </w:r>
    </w:p>
    <w:p w14:paraId="03C2C740" w14:textId="77777777" w:rsidR="00354D56" w:rsidRPr="00396C43" w:rsidRDefault="00354D56" w:rsidP="00354D56">
      <w:pPr>
        <w:pStyle w:val="SingleTxtG"/>
      </w:pPr>
      <w:r w:rsidRPr="00396C43">
        <w:t>3.</w:t>
      </w:r>
      <w:r w:rsidRPr="00396C43">
        <w:tab/>
      </w:r>
      <w:r>
        <w:t>La</w:t>
      </w:r>
      <w:r w:rsidRPr="00396C43">
        <w:t xml:space="preserve"> </w:t>
      </w:r>
      <w:r>
        <w:t>formulation</w:t>
      </w:r>
      <w:r w:rsidRPr="00396C43">
        <w:t xml:space="preserve"> </w:t>
      </w:r>
      <w:r>
        <w:t>actuelle</w:t>
      </w:r>
      <w:r w:rsidRPr="00396C43">
        <w:t xml:space="preserve"> </w:t>
      </w:r>
      <w:r>
        <w:t>de</w:t>
      </w:r>
      <w:r w:rsidRPr="00396C43">
        <w:t xml:space="preserve"> </w:t>
      </w:r>
      <w:r>
        <w:t>la</w:t>
      </w:r>
      <w:r w:rsidRPr="00396C43">
        <w:t xml:space="preserve"> </w:t>
      </w:r>
      <w:r>
        <w:t>disposition</w:t>
      </w:r>
      <w:r w:rsidRPr="00396C43">
        <w:t xml:space="preserve"> </w:t>
      </w:r>
      <w:r>
        <w:t>sp</w:t>
      </w:r>
      <w:r w:rsidRPr="00396C43">
        <w:t>é</w:t>
      </w:r>
      <w:r>
        <w:t>ciale</w:t>
      </w:r>
      <w:r w:rsidRPr="00396C43">
        <w:t xml:space="preserve"> TC</w:t>
      </w:r>
      <w:r>
        <w:t> </w:t>
      </w:r>
      <w:r w:rsidRPr="00396C43">
        <w:t xml:space="preserve">6 </w:t>
      </w:r>
      <w:r>
        <w:t>de</w:t>
      </w:r>
      <w:r w:rsidRPr="00396C43">
        <w:t xml:space="preserve"> </w:t>
      </w:r>
      <w:r>
        <w:t>la</w:t>
      </w:r>
      <w:r w:rsidRPr="00396C43">
        <w:t xml:space="preserve"> </w:t>
      </w:r>
      <w:r>
        <w:t>section</w:t>
      </w:r>
      <w:r w:rsidRPr="00396C43">
        <w:t xml:space="preserve"> 6.8.4 </w:t>
      </w:r>
      <w:r>
        <w:t>prescrit que si on utilise de l</w:t>
      </w:r>
      <w:r w:rsidR="00C72047">
        <w:t>’</w:t>
      </w:r>
      <w:r>
        <w:t xml:space="preserve">aluminium pour construire des citernes, sa pureté doit être égale ou supérieure à </w:t>
      </w:r>
      <w:r w:rsidRPr="00396C43">
        <w:t>99,5</w:t>
      </w:r>
      <w:r>
        <w:t> </w:t>
      </w:r>
      <w:r w:rsidRPr="00396C43">
        <w:t>% (</w:t>
      </w:r>
      <w:r>
        <w:t xml:space="preserve">mention en </w:t>
      </w:r>
      <w:r w:rsidRPr="00396C43">
        <w:rPr>
          <w:i/>
        </w:rPr>
        <w:t>italiques</w:t>
      </w:r>
      <w:r w:rsidRPr="00396C43">
        <w:t>)</w:t>
      </w:r>
      <w:r w:rsidR="00C72047">
        <w:t> </w:t>
      </w:r>
      <w:r w:rsidRPr="00396C43">
        <w:t>:</w:t>
      </w:r>
    </w:p>
    <w:p w14:paraId="62628923" w14:textId="77777777" w:rsidR="00354D56" w:rsidRPr="00396C43" w:rsidRDefault="00354D56" w:rsidP="00354D56">
      <w:pPr>
        <w:pStyle w:val="SingleTxtG"/>
        <w:tabs>
          <w:tab w:val="left" w:pos="2268"/>
        </w:tabs>
        <w:ind w:left="2268" w:hanging="1134"/>
      </w:pPr>
      <w:r w:rsidRPr="00396C43">
        <w:t>TC</w:t>
      </w:r>
      <w:r>
        <w:t> </w:t>
      </w:r>
      <w:r w:rsidRPr="00396C43">
        <w:t>6</w:t>
      </w:r>
      <w:r w:rsidRPr="00396C43">
        <w:tab/>
        <w:t>Lorsque l</w:t>
      </w:r>
      <w:r w:rsidR="00C72047">
        <w:t>’</w:t>
      </w:r>
      <w:r w:rsidRPr="00396C43">
        <w:t>emploi de l</w:t>
      </w:r>
      <w:r w:rsidR="00C72047">
        <w:t>’</w:t>
      </w:r>
      <w:r w:rsidRPr="00396C43">
        <w:t xml:space="preserve">aluminium est nécessaire pour les citernes, ces citernes </w:t>
      </w:r>
      <w:r w:rsidRPr="00396C43">
        <w:rPr>
          <w:i/>
        </w:rPr>
        <w:t>doivent être construites en aluminium d</w:t>
      </w:r>
      <w:r w:rsidR="00C72047">
        <w:rPr>
          <w:i/>
        </w:rPr>
        <w:t>’</w:t>
      </w:r>
      <w:r w:rsidRPr="00396C43">
        <w:rPr>
          <w:i/>
        </w:rPr>
        <w:t>une pureté égale ou supérieure à 99,5</w:t>
      </w:r>
      <w:r>
        <w:rPr>
          <w:i/>
        </w:rPr>
        <w:t> </w:t>
      </w:r>
      <w:r w:rsidRPr="00396C43">
        <w:rPr>
          <w:i/>
        </w:rPr>
        <w:t>%</w:t>
      </w:r>
      <w:r>
        <w:t> </w:t>
      </w:r>
      <w:r w:rsidRPr="00396C43">
        <w:t>; même lorsque le calcul selon 6.8.2.1.17 donne une valeur supérieure, l</w:t>
      </w:r>
      <w:r w:rsidR="00C72047">
        <w:t>’</w:t>
      </w:r>
      <w:r w:rsidRPr="00396C43">
        <w:t>épaisseur de la paroi n</w:t>
      </w:r>
      <w:r w:rsidR="00C72047">
        <w:t>’</w:t>
      </w:r>
      <w:r w:rsidRPr="00396C43">
        <w:t>a pas besoin d</w:t>
      </w:r>
      <w:r w:rsidR="00C72047">
        <w:t>’</w:t>
      </w:r>
      <w:r w:rsidRPr="00396C43">
        <w:t>être supérieure à 15</w:t>
      </w:r>
      <w:r>
        <w:t xml:space="preserve"> </w:t>
      </w:r>
      <w:r w:rsidRPr="00396C43">
        <w:t>mm.</w:t>
      </w:r>
    </w:p>
    <w:p w14:paraId="7933E7F7" w14:textId="77777777" w:rsidR="00354D56" w:rsidRPr="00123BFB" w:rsidRDefault="00354D56" w:rsidP="00354D56">
      <w:pPr>
        <w:pStyle w:val="SingleTxtG"/>
      </w:pPr>
      <w:r w:rsidRPr="00396C43">
        <w:t>4.</w:t>
      </w:r>
      <w:r w:rsidRPr="00396C43">
        <w:tab/>
      </w:r>
      <w:r>
        <w:t>Les</w:t>
      </w:r>
      <w:r w:rsidRPr="00396C43">
        <w:t xml:space="preserve"> </w:t>
      </w:r>
      <w:r>
        <w:t>prescriptions</w:t>
      </w:r>
      <w:r w:rsidRPr="00396C43">
        <w:t xml:space="preserve"> </w:t>
      </w:r>
      <w:r>
        <w:t>applicables</w:t>
      </w:r>
      <w:r w:rsidRPr="00396C43">
        <w:t xml:space="preserve"> </w:t>
      </w:r>
      <w:r>
        <w:t>aux</w:t>
      </w:r>
      <w:r w:rsidRPr="00396C43">
        <w:t xml:space="preserve"> </w:t>
      </w:r>
      <w:r>
        <w:t>r</w:t>
      </w:r>
      <w:r w:rsidRPr="00396C43">
        <w:t>é</w:t>
      </w:r>
      <w:r>
        <w:t>cipients</w:t>
      </w:r>
      <w:r w:rsidRPr="00396C43">
        <w:t xml:space="preserve"> </w:t>
      </w:r>
      <w:r>
        <w:t xml:space="preserve">lors du transport </w:t>
      </w:r>
      <w:r w:rsidRPr="00396C43">
        <w:t>d</w:t>
      </w:r>
      <w:r w:rsidR="00C72047">
        <w:t>’</w:t>
      </w:r>
      <w:r w:rsidRPr="00396C43">
        <w:t>acide nitrique concentré du numéro ONU 2031</w:t>
      </w:r>
      <w:r>
        <w:t xml:space="preserve"> </w:t>
      </w:r>
      <w:r w:rsidRPr="00396C43">
        <w:t>(contenant plus de 70</w:t>
      </w:r>
      <w:r w:rsidR="00E25C04">
        <w:t> </w:t>
      </w:r>
      <w:r w:rsidRPr="00396C43">
        <w:t>% d</w:t>
      </w:r>
      <w:r w:rsidR="00C72047">
        <w:t>’</w:t>
      </w:r>
      <w:r w:rsidRPr="00396C43">
        <w:t>acide nitrique)</w:t>
      </w:r>
      <w:r>
        <w:t xml:space="preserve"> permettent qu</w:t>
      </w:r>
      <w:r w:rsidR="00C72047">
        <w:t>’</w:t>
      </w:r>
      <w:r>
        <w:t>ils soient fabriqués en alliages d</w:t>
      </w:r>
      <w:r w:rsidR="00C72047">
        <w:t>’</w:t>
      </w:r>
      <w:r>
        <w:t xml:space="preserve">aluminium </w:t>
      </w:r>
      <w:r w:rsidRPr="00396C43">
        <w:t xml:space="preserve">(mention en </w:t>
      </w:r>
      <w:r w:rsidRPr="00396C43">
        <w:rPr>
          <w:i/>
        </w:rPr>
        <w:t>italiques</w:t>
      </w:r>
      <w:r>
        <w:rPr>
          <w:i/>
        </w:rPr>
        <w:t>) </w:t>
      </w:r>
      <w:r w:rsidRPr="00123BFB">
        <w:t>:</w:t>
      </w:r>
    </w:p>
    <w:p w14:paraId="5756F048" w14:textId="77777777" w:rsidR="00354D56" w:rsidRPr="00123BFB" w:rsidRDefault="00354D56" w:rsidP="00354D56">
      <w:pPr>
        <w:pStyle w:val="SingleTxtG"/>
        <w:tabs>
          <w:tab w:val="left" w:pos="2268"/>
        </w:tabs>
        <w:ind w:left="2268" w:hanging="1134"/>
      </w:pPr>
      <w:r w:rsidRPr="00126CE6">
        <w:rPr>
          <w:lang w:val="ru-RU"/>
        </w:rPr>
        <w:t>Р</w:t>
      </w:r>
      <w:r>
        <w:t> </w:t>
      </w:r>
      <w:r w:rsidRPr="00123BFB">
        <w:t>001</w:t>
      </w:r>
      <w:r w:rsidRPr="00123BFB">
        <w:tab/>
      </w:r>
      <w:r>
        <w:t>L</w:t>
      </w:r>
      <w:r w:rsidR="00C72047">
        <w:t>’</w:t>
      </w:r>
      <w:r>
        <w:t>instruction d</w:t>
      </w:r>
      <w:r w:rsidR="00C72047">
        <w:t>’</w:t>
      </w:r>
      <w:r>
        <w:t>emballage autorise l</w:t>
      </w:r>
      <w:r w:rsidR="00C72047">
        <w:t>’</w:t>
      </w:r>
      <w:r>
        <w:t>utilisation de fûts en aluminium et de bidons en aluminium</w:t>
      </w:r>
      <w:r w:rsidRPr="00123BFB">
        <w:t>.</w:t>
      </w:r>
    </w:p>
    <w:p w14:paraId="3D4CD63E" w14:textId="77777777" w:rsidR="00354D56" w:rsidRPr="00123BFB" w:rsidRDefault="00354D56" w:rsidP="00354D56">
      <w:pPr>
        <w:pStyle w:val="SingleTxtG"/>
        <w:tabs>
          <w:tab w:val="left" w:pos="2268"/>
        </w:tabs>
        <w:ind w:left="2268" w:hanging="1134"/>
      </w:pPr>
      <w:r w:rsidRPr="00123BFB">
        <w:t>6.1.4.2</w:t>
      </w:r>
      <w:r w:rsidRPr="00123BFB">
        <w:tab/>
        <w:t xml:space="preserve">Fûts en aluminium </w:t>
      </w:r>
    </w:p>
    <w:p w14:paraId="47C3EB6E" w14:textId="77777777" w:rsidR="00354D56" w:rsidRPr="00847994" w:rsidRDefault="00354D56" w:rsidP="00354D56">
      <w:pPr>
        <w:pStyle w:val="SingleTxtG"/>
        <w:tabs>
          <w:tab w:val="left" w:pos="2268"/>
        </w:tabs>
        <w:ind w:left="2268" w:hanging="1134"/>
      </w:pPr>
      <w:r w:rsidRPr="00123BFB">
        <w:t>6.1.4.2.1</w:t>
      </w:r>
      <w:r w:rsidRPr="00123BFB">
        <w:tab/>
        <w:t xml:space="preserve">La virole et les fonds </w:t>
      </w:r>
      <w:r w:rsidRPr="00847994">
        <w:rPr>
          <w:i/>
        </w:rPr>
        <w:t>doivent être en</w:t>
      </w:r>
      <w:r w:rsidRPr="00123BFB">
        <w:t xml:space="preserve"> aluminium pur à 99</w:t>
      </w:r>
      <w:r w:rsidR="004675F1">
        <w:t> </w:t>
      </w:r>
      <w:r w:rsidRPr="00123BFB">
        <w:t xml:space="preserve">% au moins ou </w:t>
      </w:r>
      <w:r w:rsidRPr="00847994">
        <w:rPr>
          <w:i/>
        </w:rPr>
        <w:t>en alliage d</w:t>
      </w:r>
      <w:r w:rsidR="00C72047">
        <w:rPr>
          <w:i/>
        </w:rPr>
        <w:t>’</w:t>
      </w:r>
      <w:r w:rsidRPr="00847994">
        <w:rPr>
          <w:i/>
        </w:rPr>
        <w:t>aluminium</w:t>
      </w:r>
      <w:r w:rsidRPr="00123BFB">
        <w:t>.</w:t>
      </w:r>
      <w:r w:rsidR="004675F1">
        <w:t xml:space="preserve"> …</w:t>
      </w:r>
    </w:p>
    <w:p w14:paraId="422BABCF" w14:textId="77777777" w:rsidR="00354D56" w:rsidRPr="00847994" w:rsidRDefault="00354D56" w:rsidP="00354D56">
      <w:pPr>
        <w:pStyle w:val="SingleTxtG"/>
        <w:tabs>
          <w:tab w:val="left" w:pos="2268"/>
        </w:tabs>
        <w:ind w:left="2268" w:hanging="1134"/>
      </w:pPr>
      <w:r w:rsidRPr="00847994">
        <w:t>6.1.4.4</w:t>
      </w:r>
      <w:r w:rsidRPr="00847994">
        <w:tab/>
        <w:t xml:space="preserve">Bidons (jerricanes) en acier ou en aluminium </w:t>
      </w:r>
    </w:p>
    <w:p w14:paraId="206AFDAA" w14:textId="77777777" w:rsidR="00354D56" w:rsidRPr="00847994" w:rsidRDefault="00354D56" w:rsidP="00354D56">
      <w:pPr>
        <w:pStyle w:val="SingleTxtG"/>
        <w:tabs>
          <w:tab w:val="left" w:pos="2268"/>
        </w:tabs>
        <w:ind w:left="2268" w:hanging="1134"/>
      </w:pPr>
      <w:r w:rsidRPr="00847994">
        <w:t>6.1.4.4.1</w:t>
      </w:r>
      <w:r w:rsidRPr="00847994">
        <w:tab/>
        <w:t xml:space="preserve">La virole et les fonds </w:t>
      </w:r>
      <w:r w:rsidRPr="00847994">
        <w:rPr>
          <w:i/>
        </w:rPr>
        <w:t>doivent être en</w:t>
      </w:r>
      <w:r w:rsidRPr="00847994">
        <w:t xml:space="preserve"> tôle d</w:t>
      </w:r>
      <w:r w:rsidR="00C72047">
        <w:t>’</w:t>
      </w:r>
      <w:r w:rsidRPr="00847994">
        <w:t>acier, en aluminium pur à 99</w:t>
      </w:r>
      <w:r w:rsidR="004675F1">
        <w:t> </w:t>
      </w:r>
      <w:r w:rsidRPr="00847994">
        <w:t xml:space="preserve">% au moins ou </w:t>
      </w:r>
      <w:r w:rsidRPr="00847994">
        <w:rPr>
          <w:i/>
        </w:rPr>
        <w:t>en alliage d</w:t>
      </w:r>
      <w:r w:rsidR="00C72047">
        <w:rPr>
          <w:i/>
        </w:rPr>
        <w:t>’</w:t>
      </w:r>
      <w:r w:rsidRPr="00847994">
        <w:rPr>
          <w:i/>
        </w:rPr>
        <w:t>aluminium</w:t>
      </w:r>
      <w:r w:rsidRPr="00847994">
        <w:t>. …</w:t>
      </w:r>
    </w:p>
    <w:p w14:paraId="439237F4" w14:textId="77777777" w:rsidR="00354D56" w:rsidRPr="00847994" w:rsidRDefault="00354D56" w:rsidP="00354D56">
      <w:pPr>
        <w:pStyle w:val="SingleTxtG"/>
      </w:pPr>
      <w:r w:rsidRPr="00847994">
        <w:t>5.</w:t>
      </w:r>
      <w:r w:rsidRPr="00847994">
        <w:tab/>
      </w:r>
      <w:r>
        <w:t>La</w:t>
      </w:r>
      <w:r w:rsidRPr="00847994">
        <w:t xml:space="preserve"> </w:t>
      </w:r>
      <w:r>
        <w:t>formulation</w:t>
      </w:r>
      <w:r w:rsidRPr="00847994">
        <w:t xml:space="preserve"> </w:t>
      </w:r>
      <w:r>
        <w:t>actuelle</w:t>
      </w:r>
      <w:r w:rsidRPr="00847994">
        <w:t xml:space="preserve"> </w:t>
      </w:r>
      <w:r>
        <w:t>du</w:t>
      </w:r>
      <w:r w:rsidRPr="00847994">
        <w:t xml:space="preserve"> </w:t>
      </w:r>
      <w:r>
        <w:t>RID ne contient aucune prescription relative au matériau des chaudières des</w:t>
      </w:r>
      <w:r w:rsidRPr="0084799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</w:t>
      </w:r>
      <w:r w:rsidRPr="00847994">
        <w:t>iternes mobiles.</w:t>
      </w:r>
    </w:p>
    <w:p w14:paraId="5B795345" w14:textId="77777777" w:rsidR="00354D56" w:rsidRPr="008F2E64" w:rsidRDefault="00354D56" w:rsidP="00354D56">
      <w:pPr>
        <w:pStyle w:val="HChG"/>
      </w:pPr>
      <w:r w:rsidRPr="00847994">
        <w:tab/>
      </w:r>
      <w:r w:rsidRPr="00847994">
        <w:tab/>
      </w:r>
      <w:r>
        <w:t>Proposition</w:t>
      </w:r>
    </w:p>
    <w:p w14:paraId="587C70C8" w14:textId="77777777" w:rsidR="00354D56" w:rsidRPr="00847994" w:rsidRDefault="00354D56" w:rsidP="00354D56">
      <w:pPr>
        <w:pStyle w:val="SingleTxtG"/>
        <w:rPr>
          <w:rStyle w:val="H1GChar"/>
          <w:b w:val="0"/>
          <w:szCs w:val="24"/>
        </w:rPr>
      </w:pPr>
      <w:r w:rsidRPr="00847994">
        <w:rPr>
          <w:b/>
          <w:bCs/>
          <w:szCs w:val="24"/>
        </w:rPr>
        <w:t>Proposition 1</w:t>
      </w:r>
      <w:r w:rsidRPr="00847994">
        <w:t xml:space="preserve"> (le nouveau texte est indiqué </w:t>
      </w:r>
      <w:r w:rsidRPr="00847994">
        <w:rPr>
          <w:i/>
          <w:u w:val="single"/>
        </w:rPr>
        <w:t>en italique</w:t>
      </w:r>
      <w:r>
        <w:rPr>
          <w:i/>
          <w:u w:val="single"/>
        </w:rPr>
        <w:t>s</w:t>
      </w:r>
      <w:r w:rsidRPr="00847994">
        <w:rPr>
          <w:i/>
          <w:u w:val="single"/>
        </w:rPr>
        <w:t>/souligné</w:t>
      </w:r>
      <w:r w:rsidRPr="00847994">
        <w:t>)</w:t>
      </w:r>
      <w:r>
        <w:t> </w:t>
      </w:r>
      <w:r w:rsidRPr="00847994">
        <w:t>:</w:t>
      </w:r>
    </w:p>
    <w:p w14:paraId="38FF8605" w14:textId="77777777" w:rsidR="00354D56" w:rsidRPr="00F34BB5" w:rsidRDefault="00354D56" w:rsidP="00354D56">
      <w:pPr>
        <w:pStyle w:val="SingleTxtG"/>
        <w:tabs>
          <w:tab w:val="left" w:pos="2268"/>
        </w:tabs>
        <w:ind w:left="2268" w:hanging="1134"/>
        <w:rPr>
          <w:b/>
          <w:bCs/>
          <w:sz w:val="22"/>
          <w:szCs w:val="22"/>
        </w:rPr>
      </w:pPr>
      <w:r w:rsidRPr="00354D56">
        <w:t>TC 6</w:t>
      </w:r>
      <w:r w:rsidRPr="00F34BB5">
        <w:rPr>
          <w:bCs/>
          <w:sz w:val="22"/>
          <w:szCs w:val="22"/>
        </w:rPr>
        <w:tab/>
      </w:r>
      <w:r w:rsidRPr="00354D56">
        <w:t>Lorsque l</w:t>
      </w:r>
      <w:r w:rsidR="00C72047">
        <w:t>’</w:t>
      </w:r>
      <w:r w:rsidRPr="00354D56">
        <w:t>emploi de l</w:t>
      </w:r>
      <w:r w:rsidR="00C72047">
        <w:t>’</w:t>
      </w:r>
      <w:r w:rsidRPr="00354D56">
        <w:t xml:space="preserve">aluminium est nécessaire pour les citernes, ces citernes doivent </w:t>
      </w:r>
      <w:r w:rsidRPr="00354D56">
        <w:rPr>
          <w:i/>
          <w:u w:val="single"/>
        </w:rPr>
        <w:t>être construites en aluminium d</w:t>
      </w:r>
      <w:r w:rsidR="00C72047">
        <w:rPr>
          <w:i/>
          <w:u w:val="single"/>
        </w:rPr>
        <w:t>’</w:t>
      </w:r>
      <w:r w:rsidRPr="00354D56">
        <w:rPr>
          <w:i/>
          <w:u w:val="single"/>
        </w:rPr>
        <w:t>une pureté égale ou supérieure à 99,5</w:t>
      </w:r>
      <w:r>
        <w:rPr>
          <w:i/>
          <w:u w:val="single"/>
        </w:rPr>
        <w:t> </w:t>
      </w:r>
      <w:r w:rsidRPr="00354D56">
        <w:rPr>
          <w:i/>
          <w:u w:val="single"/>
        </w:rPr>
        <w:t>% ou en alliage d</w:t>
      </w:r>
      <w:r w:rsidR="00C72047">
        <w:rPr>
          <w:i/>
          <w:u w:val="single"/>
        </w:rPr>
        <w:t>’</w:t>
      </w:r>
      <w:r w:rsidRPr="00354D56">
        <w:rPr>
          <w:i/>
          <w:u w:val="single"/>
        </w:rPr>
        <w:t>aluminium</w:t>
      </w:r>
      <w:r>
        <w:rPr>
          <w:i/>
          <w:u w:val="single"/>
        </w:rPr>
        <w:t> </w:t>
      </w:r>
      <w:r w:rsidRPr="00354D56">
        <w:t>; même lorsque le calcul selon 6.8.2.1.17 donne une valeur supérieure, l</w:t>
      </w:r>
      <w:r w:rsidR="00C72047">
        <w:t>’</w:t>
      </w:r>
      <w:r w:rsidRPr="00354D56">
        <w:t>épaisseur de la paroi n</w:t>
      </w:r>
      <w:r w:rsidR="00C72047">
        <w:t>’</w:t>
      </w:r>
      <w:r w:rsidRPr="00354D56">
        <w:t>a pas besoin d</w:t>
      </w:r>
      <w:r w:rsidR="00C72047">
        <w:t>’</w:t>
      </w:r>
      <w:r w:rsidRPr="00354D56">
        <w:t>être supérieure à 15 mm.</w:t>
      </w:r>
    </w:p>
    <w:p w14:paraId="3DC52DBB" w14:textId="77777777" w:rsidR="00354D56" w:rsidRPr="008F2E64" w:rsidRDefault="00354D56" w:rsidP="00354D56">
      <w:pPr>
        <w:pStyle w:val="HChG"/>
      </w:pPr>
      <w:r w:rsidRPr="00BD6E5A">
        <w:tab/>
      </w:r>
      <w:r w:rsidRPr="00BD6E5A">
        <w:tab/>
      </w:r>
      <w:r>
        <w:t>Justification</w:t>
      </w:r>
    </w:p>
    <w:p w14:paraId="50783673" w14:textId="77777777" w:rsidR="00354D56" w:rsidRPr="00F34BB5" w:rsidRDefault="00354D56" w:rsidP="00354D56">
      <w:pPr>
        <w:pStyle w:val="SingleTxtG"/>
      </w:pPr>
      <w:r w:rsidRPr="00F34BB5">
        <w:t>6.</w:t>
      </w:r>
      <w:r w:rsidRPr="00F34BB5">
        <w:tab/>
      </w:r>
      <w:r>
        <w:t>Il a été procédé à une</w:t>
      </w:r>
      <w:r w:rsidRPr="00F34BB5">
        <w:t xml:space="preserve"> </w:t>
      </w:r>
      <w:r>
        <w:t>analyse</w:t>
      </w:r>
      <w:r w:rsidRPr="00F34BB5">
        <w:t xml:space="preserve"> </w:t>
      </w:r>
      <w:r>
        <w:t>des</w:t>
      </w:r>
      <w:r w:rsidRPr="00F34BB5">
        <w:t xml:space="preserve"> </w:t>
      </w:r>
      <w:r>
        <w:t>prescriptions</w:t>
      </w:r>
      <w:r w:rsidRPr="00F34BB5">
        <w:t xml:space="preserve"> </w:t>
      </w:r>
      <w:r>
        <w:t>et</w:t>
      </w:r>
      <w:r w:rsidRPr="00F34BB5">
        <w:t xml:space="preserve"> </w:t>
      </w:r>
      <w:r>
        <w:t>recommandations</w:t>
      </w:r>
      <w:r w:rsidRPr="00F34BB5">
        <w:t xml:space="preserve"> </w:t>
      </w:r>
      <w:r>
        <w:t>actuelles</w:t>
      </w:r>
      <w:r w:rsidRPr="00F34BB5">
        <w:t xml:space="preserve"> </w:t>
      </w:r>
      <w:r>
        <w:t>concernant</w:t>
      </w:r>
      <w:r w:rsidRPr="00F34BB5">
        <w:t xml:space="preserve"> </w:t>
      </w:r>
      <w:r>
        <w:t>l</w:t>
      </w:r>
      <w:r w:rsidR="00C72047">
        <w:t>’</w:t>
      </w:r>
      <w:r>
        <w:t>utilisation</w:t>
      </w:r>
      <w:r w:rsidRPr="00F34BB5">
        <w:t xml:space="preserve"> </w:t>
      </w:r>
      <w:r>
        <w:t>de mat</w:t>
      </w:r>
      <w:r w:rsidRPr="00F34BB5">
        <w:t>é</w:t>
      </w:r>
      <w:r>
        <w:t>riaux</w:t>
      </w:r>
      <w:r w:rsidRPr="00F34BB5">
        <w:t xml:space="preserve"> </w:t>
      </w:r>
      <w:r>
        <w:t>pour</w:t>
      </w:r>
      <w:r w:rsidRPr="00F34BB5">
        <w:t xml:space="preserve"> </w:t>
      </w:r>
      <w:r>
        <w:t>l</w:t>
      </w:r>
      <w:r w:rsidR="00C72047">
        <w:t>’</w:t>
      </w:r>
      <w:r>
        <w:t>acide</w:t>
      </w:r>
      <w:r w:rsidRPr="00F34BB5">
        <w:t xml:space="preserve"> </w:t>
      </w:r>
      <w:r>
        <w:t>nitrique</w:t>
      </w:r>
      <w:r w:rsidRPr="00F34BB5">
        <w:t xml:space="preserve"> à </w:t>
      </w:r>
      <w:r>
        <w:t>différentes concentrations</w:t>
      </w:r>
      <w:r w:rsidR="00C72047">
        <w:t> </w:t>
      </w:r>
      <w:r w:rsidRPr="00F34BB5">
        <w:t>:</w:t>
      </w:r>
    </w:p>
    <w:p w14:paraId="2ECDB99D" w14:textId="77777777" w:rsidR="00354D56" w:rsidRPr="0076732C" w:rsidRDefault="00354D56" w:rsidP="00354D56">
      <w:pPr>
        <w:pStyle w:val="Bullet1G"/>
      </w:pPr>
      <w:r w:rsidRPr="006E1709">
        <w:rPr>
          <w:lang w:val="en-US"/>
        </w:rPr>
        <w:t>Bruce D. Craig, David B. Anderson</w:t>
      </w:r>
      <w:r>
        <w:rPr>
          <w:lang w:val="en-US"/>
        </w:rPr>
        <w:t xml:space="preserve">. </w:t>
      </w:r>
      <w:r w:rsidRPr="004675F1">
        <w:rPr>
          <w:i/>
        </w:rPr>
        <w:t>Manuel de données de corrosion</w:t>
      </w:r>
      <w:r w:rsidRPr="0076732C">
        <w:t xml:space="preserve">. ASM International, Materials Park, OH 44073, 1995 </w:t>
      </w:r>
      <w:r w:rsidR="00741E31">
        <w:rPr>
          <w:lang w:val="fr-FR"/>
        </w:rPr>
        <w:t>−</w:t>
      </w:r>
      <w:r w:rsidRPr="0076732C">
        <w:t xml:space="preserve"> p.</w:t>
      </w:r>
      <w:r w:rsidR="004675F1">
        <w:t xml:space="preserve"> </w:t>
      </w:r>
      <w:r w:rsidRPr="0076732C">
        <w:t>990</w:t>
      </w:r>
      <w:r w:rsidR="00E25C04">
        <w:t> </w:t>
      </w:r>
      <w:r w:rsidRPr="0076732C">
        <w:t>;</w:t>
      </w:r>
    </w:p>
    <w:p w14:paraId="25567BBA" w14:textId="77777777" w:rsidR="00354D56" w:rsidRPr="004675F1" w:rsidRDefault="00354D56" w:rsidP="00354D56">
      <w:pPr>
        <w:pStyle w:val="Bullet1G"/>
      </w:pPr>
      <w:r w:rsidRPr="008F2E64">
        <w:t xml:space="preserve">Christian Vargel. </w:t>
      </w:r>
      <w:r w:rsidRPr="004675F1">
        <w:rPr>
          <w:i/>
        </w:rPr>
        <w:t>Corrosion de l</w:t>
      </w:r>
      <w:r w:rsidR="00C72047" w:rsidRPr="004675F1">
        <w:rPr>
          <w:i/>
        </w:rPr>
        <w:t>’</w:t>
      </w:r>
      <w:r w:rsidRPr="004675F1">
        <w:rPr>
          <w:i/>
        </w:rPr>
        <w:t>aluminium</w:t>
      </w:r>
      <w:r w:rsidRPr="0076732C">
        <w:t>. 1</w:t>
      </w:r>
      <w:r w:rsidRPr="004675F1">
        <w:rPr>
          <w:vertAlign w:val="superscript"/>
        </w:rPr>
        <w:t>re</w:t>
      </w:r>
      <w:r w:rsidRPr="0076732C">
        <w:t xml:space="preserve"> édition. </w:t>
      </w:r>
      <w:r w:rsidRPr="004675F1">
        <w:t>2004, 700 p.</w:t>
      </w:r>
      <w:r w:rsidR="00E25C04" w:rsidRPr="004675F1">
        <w:t> </w:t>
      </w:r>
      <w:r w:rsidRPr="004675F1">
        <w:t>;</w:t>
      </w:r>
    </w:p>
    <w:p w14:paraId="01D55130" w14:textId="77777777" w:rsidR="00354D56" w:rsidRPr="008F2E64" w:rsidRDefault="00354D56" w:rsidP="00354D56">
      <w:pPr>
        <w:pStyle w:val="Bullet1G"/>
      </w:pPr>
      <w:r w:rsidRPr="006E1709">
        <w:rPr>
          <w:lang w:val="en-US"/>
        </w:rPr>
        <w:t xml:space="preserve">Cramer, Stephen D., </w:t>
      </w:r>
      <w:r w:rsidRPr="00354D56">
        <w:rPr>
          <w:lang w:val="en-US"/>
        </w:rPr>
        <w:t>Covino</w:t>
      </w:r>
      <w:r w:rsidRPr="006E1709">
        <w:rPr>
          <w:lang w:val="en-US"/>
        </w:rPr>
        <w:t xml:space="preserve">, Bernard S., Jr. </w:t>
      </w:r>
      <w:r w:rsidRPr="0076732C">
        <w:t xml:space="preserve">(Eds.). </w:t>
      </w:r>
      <w:r w:rsidRPr="004675F1">
        <w:rPr>
          <w:i/>
        </w:rPr>
        <w:t xml:space="preserve">Manuel ASM, volume 13C </w:t>
      </w:r>
      <w:r w:rsidR="00741E31" w:rsidRPr="004675F1">
        <w:rPr>
          <w:i/>
        </w:rPr>
        <w:t>− </w:t>
      </w:r>
      <w:r w:rsidRPr="004675F1">
        <w:rPr>
          <w:i/>
        </w:rPr>
        <w:t>Corrosion</w:t>
      </w:r>
      <w:r w:rsidR="00C72047" w:rsidRPr="004675F1">
        <w:rPr>
          <w:i/>
        </w:rPr>
        <w:t> </w:t>
      </w:r>
      <w:r w:rsidRPr="004675F1">
        <w:rPr>
          <w:i/>
        </w:rPr>
        <w:t>: environnements et industries</w:t>
      </w:r>
      <w:r w:rsidRPr="0076732C">
        <w:t xml:space="preserve">. </w:t>
      </w:r>
      <w:r w:rsidRPr="008F2E64">
        <w:t>2006, 1</w:t>
      </w:r>
      <w:r w:rsidR="00FA26A3">
        <w:t> </w:t>
      </w:r>
      <w:r w:rsidRPr="008F2E64">
        <w:t>342 p.</w:t>
      </w:r>
      <w:r w:rsidR="00E25C04">
        <w:t> </w:t>
      </w:r>
      <w:r w:rsidRPr="008F2E64">
        <w:t>;</w:t>
      </w:r>
    </w:p>
    <w:p w14:paraId="6F983DE8" w14:textId="77777777" w:rsidR="00354D56" w:rsidRPr="008F2E64" w:rsidRDefault="00354D56" w:rsidP="00354D56">
      <w:pPr>
        <w:pStyle w:val="Bullet1G"/>
      </w:pPr>
      <w:r w:rsidRPr="008F2E64">
        <w:t xml:space="preserve">J. R. Davis. </w:t>
      </w:r>
      <w:r w:rsidRPr="004675F1">
        <w:rPr>
          <w:i/>
        </w:rPr>
        <w:t>Corrosion de l</w:t>
      </w:r>
      <w:r w:rsidR="00C72047" w:rsidRPr="004675F1">
        <w:rPr>
          <w:i/>
        </w:rPr>
        <w:t>’aluminium</w:t>
      </w:r>
      <w:r w:rsidRPr="004675F1">
        <w:rPr>
          <w:i/>
        </w:rPr>
        <w:t xml:space="preserve"> et des alliages d</w:t>
      </w:r>
      <w:r w:rsidR="00C72047" w:rsidRPr="004675F1">
        <w:rPr>
          <w:i/>
        </w:rPr>
        <w:t>’</w:t>
      </w:r>
      <w:r w:rsidRPr="004675F1">
        <w:rPr>
          <w:i/>
        </w:rPr>
        <w:t>aluminium</w:t>
      </w:r>
      <w:r w:rsidRPr="0076732C">
        <w:t xml:space="preserve">. </w:t>
      </w:r>
      <w:r w:rsidRPr="008F2E64">
        <w:t>ASM International. 1999, 313 p.</w:t>
      </w:r>
      <w:r w:rsidR="00E25C04">
        <w:t> </w:t>
      </w:r>
      <w:r w:rsidRPr="008F2E64">
        <w:t>;</w:t>
      </w:r>
    </w:p>
    <w:p w14:paraId="3E8BD236" w14:textId="77777777" w:rsidR="00354D56" w:rsidRPr="00F34BB5" w:rsidRDefault="00354D56" w:rsidP="00354D56">
      <w:pPr>
        <w:pStyle w:val="Bullet1G"/>
      </w:pPr>
      <w:r w:rsidRPr="00F34BB5">
        <w:lastRenderedPageBreak/>
        <w:t xml:space="preserve">M. B. Altmann, Yu. P. Arbouzov, B. I. Babitchev et autres. </w:t>
      </w:r>
      <w:r w:rsidRPr="004675F1">
        <w:rPr>
          <w:i/>
        </w:rPr>
        <w:t>Alliages d</w:t>
      </w:r>
      <w:r w:rsidR="00C72047" w:rsidRPr="004675F1">
        <w:rPr>
          <w:i/>
        </w:rPr>
        <w:t>’</w:t>
      </w:r>
      <w:r w:rsidRPr="004675F1">
        <w:rPr>
          <w:i/>
        </w:rPr>
        <w:t>aluminium. Utilisation d</w:t>
      </w:r>
      <w:r w:rsidR="00C72047" w:rsidRPr="004675F1">
        <w:rPr>
          <w:i/>
        </w:rPr>
        <w:t>’</w:t>
      </w:r>
      <w:r w:rsidRPr="004675F1">
        <w:rPr>
          <w:i/>
        </w:rPr>
        <w:t>alliages d</w:t>
      </w:r>
      <w:r w:rsidR="00C72047" w:rsidRPr="004675F1">
        <w:rPr>
          <w:i/>
        </w:rPr>
        <w:t>’’</w:t>
      </w:r>
      <w:r w:rsidRPr="004675F1">
        <w:rPr>
          <w:i/>
        </w:rPr>
        <w:t>aluminium</w:t>
      </w:r>
      <w:r w:rsidRPr="00F34BB5">
        <w:t>.</w:t>
      </w:r>
      <w:r>
        <w:t xml:space="preserve"> Guide pratique</w:t>
      </w:r>
      <w:r w:rsidRPr="00F34BB5">
        <w:t xml:space="preserve">. </w:t>
      </w:r>
      <w:r w:rsidR="00741E31">
        <w:rPr>
          <w:lang w:val="fr-FR"/>
        </w:rPr>
        <w:t>−</w:t>
      </w:r>
      <w:r w:rsidRPr="00F34BB5">
        <w:t xml:space="preserve"> </w:t>
      </w:r>
      <w:r w:rsidRPr="00126CE6">
        <w:rPr>
          <w:lang w:val="ru-RU"/>
        </w:rPr>
        <w:t>М</w:t>
      </w:r>
      <w:r w:rsidRPr="00F34BB5">
        <w:t>.</w:t>
      </w:r>
      <w:r w:rsidR="00C72047">
        <w:t> </w:t>
      </w:r>
      <w:r w:rsidRPr="00F34BB5">
        <w:t>: «</w:t>
      </w:r>
      <w:r w:rsidR="00C72047">
        <w:t> </w:t>
      </w:r>
      <w:r>
        <w:t>Metallurgia</w:t>
      </w:r>
      <w:r w:rsidR="00C72047">
        <w:t> </w:t>
      </w:r>
      <w:r w:rsidRPr="00F34BB5">
        <w:t xml:space="preserve">», 1973. </w:t>
      </w:r>
      <w:r w:rsidR="00741E31">
        <w:rPr>
          <w:lang w:val="fr-FR"/>
        </w:rPr>
        <w:t>−</w:t>
      </w:r>
      <w:r w:rsidRPr="00F34BB5">
        <w:t xml:space="preserve"> 408 </w:t>
      </w:r>
      <w:r>
        <w:t>p</w:t>
      </w:r>
      <w:r w:rsidRPr="00F34BB5">
        <w:t>.</w:t>
      </w:r>
      <w:r>
        <w:t> ;</w:t>
      </w:r>
    </w:p>
    <w:p w14:paraId="150C45CD" w14:textId="77777777" w:rsidR="00354D56" w:rsidRPr="00BD1570" w:rsidRDefault="00354D56" w:rsidP="00354D56">
      <w:pPr>
        <w:pStyle w:val="Bullet1G"/>
      </w:pPr>
      <w:r>
        <w:t>V</w:t>
      </w:r>
      <w:r w:rsidRPr="00BD1570">
        <w:t xml:space="preserve">. </w:t>
      </w:r>
      <w:r>
        <w:t>P</w:t>
      </w:r>
      <w:r w:rsidRPr="00BD1570">
        <w:t xml:space="preserve">. </w:t>
      </w:r>
      <w:r>
        <w:t>Barannik</w:t>
      </w:r>
      <w:r w:rsidRPr="00BD1570">
        <w:t xml:space="preserve">. </w:t>
      </w:r>
      <w:r w:rsidRPr="004675F1">
        <w:rPr>
          <w:i/>
        </w:rPr>
        <w:t>Petit manuel de la corrosion (résistance chimique des matériaux)</w:t>
      </w:r>
      <w:r w:rsidRPr="00BD1570">
        <w:t xml:space="preserve">. </w:t>
      </w:r>
      <w:r w:rsidR="00741E31">
        <w:rPr>
          <w:lang w:val="fr-FR"/>
        </w:rPr>
        <w:t>−</w:t>
      </w:r>
      <w:r w:rsidRPr="00BD1570">
        <w:t xml:space="preserve"> </w:t>
      </w:r>
      <w:r w:rsidRPr="00126CE6">
        <w:rPr>
          <w:lang w:val="ru-RU"/>
        </w:rPr>
        <w:t>М</w:t>
      </w:r>
      <w:r w:rsidRPr="00BD1570">
        <w:t>.</w:t>
      </w:r>
      <w:r w:rsidR="00C72047">
        <w:t> </w:t>
      </w:r>
      <w:r w:rsidRPr="00BD1570">
        <w:t xml:space="preserve">: </w:t>
      </w:r>
      <w:r>
        <w:t>Goskhimizdat</w:t>
      </w:r>
      <w:r w:rsidRPr="00BD1570">
        <w:t xml:space="preserve">, 1953. </w:t>
      </w:r>
      <w:r w:rsidR="00741E31">
        <w:rPr>
          <w:lang w:val="fr-FR"/>
        </w:rPr>
        <w:t>−</w:t>
      </w:r>
      <w:r w:rsidRPr="00BD1570">
        <w:t xml:space="preserve"> 456 </w:t>
      </w:r>
      <w:r>
        <w:t>p</w:t>
      </w:r>
      <w:r w:rsidRPr="00BD1570">
        <w:t>.</w:t>
      </w:r>
      <w:r w:rsidR="00C72047">
        <w:t> ;</w:t>
      </w:r>
    </w:p>
    <w:p w14:paraId="12DE7755" w14:textId="77777777" w:rsidR="00354D56" w:rsidRPr="008F2E64" w:rsidRDefault="00354D56" w:rsidP="00354D56">
      <w:pPr>
        <w:pStyle w:val="Bullet1G"/>
      </w:pPr>
      <w:r w:rsidRPr="00BD1570">
        <w:rPr>
          <w:lang w:val="en-US"/>
        </w:rPr>
        <w:t xml:space="preserve">V. M. </w:t>
      </w:r>
      <w:r w:rsidRPr="00354D56">
        <w:rPr>
          <w:lang w:val="en-US"/>
        </w:rPr>
        <w:t>Beletski</w:t>
      </w:r>
      <w:r w:rsidRPr="00BD1570">
        <w:rPr>
          <w:lang w:val="en-US"/>
        </w:rPr>
        <w:t xml:space="preserve">, G. A. Krivov. </w:t>
      </w:r>
      <w:r w:rsidRPr="004675F1">
        <w:rPr>
          <w:i/>
        </w:rPr>
        <w:t>Alliages d</w:t>
      </w:r>
      <w:r w:rsidR="00C72047" w:rsidRPr="004675F1">
        <w:rPr>
          <w:i/>
        </w:rPr>
        <w:t>’</w:t>
      </w:r>
      <w:r w:rsidRPr="004675F1">
        <w:rPr>
          <w:i/>
        </w:rPr>
        <w:t>aluminium (composition, propriétés, technologie, utilisation)</w:t>
      </w:r>
      <w:r w:rsidRPr="00BD1570">
        <w:t xml:space="preserve">. </w:t>
      </w:r>
      <w:r>
        <w:t>Manuel</w:t>
      </w:r>
      <w:r w:rsidRPr="008F2E64">
        <w:t xml:space="preserve">. 2005, 365 </w:t>
      </w:r>
      <w:r>
        <w:t>p</w:t>
      </w:r>
      <w:r w:rsidRPr="008F2E64">
        <w:t>.</w:t>
      </w:r>
      <w:r w:rsidR="00E25C04">
        <w:t> </w:t>
      </w:r>
      <w:r w:rsidRPr="008F2E64">
        <w:t>;</w:t>
      </w:r>
    </w:p>
    <w:p w14:paraId="7B94B1A5" w14:textId="77777777" w:rsidR="00354D56" w:rsidRPr="00BD1570" w:rsidRDefault="00354D56" w:rsidP="00354D56">
      <w:pPr>
        <w:pStyle w:val="Bullet1G"/>
      </w:pPr>
      <w:r>
        <w:t>G</w:t>
      </w:r>
      <w:r w:rsidRPr="008F2E64">
        <w:t xml:space="preserve">. </w:t>
      </w:r>
      <w:r>
        <w:t>Ya</w:t>
      </w:r>
      <w:r w:rsidRPr="008F2E64">
        <w:t xml:space="preserve">. </w:t>
      </w:r>
      <w:r>
        <w:t>Vorobieva</w:t>
      </w:r>
      <w:r w:rsidRPr="00BD1570">
        <w:t xml:space="preserve">. </w:t>
      </w:r>
      <w:r w:rsidRPr="004675F1">
        <w:rPr>
          <w:i/>
        </w:rPr>
        <w:t>Résistance à la corrosion des matériaux dans des milieux chimiques agressifs</w:t>
      </w:r>
      <w:r w:rsidRPr="00BD1570">
        <w:t xml:space="preserve">. </w:t>
      </w:r>
      <w:r w:rsidR="00741E31">
        <w:rPr>
          <w:lang w:val="fr-FR"/>
        </w:rPr>
        <w:t>−</w:t>
      </w:r>
      <w:r w:rsidRPr="00BD1570">
        <w:t xml:space="preserve"> </w:t>
      </w:r>
      <w:r w:rsidRPr="00126CE6">
        <w:rPr>
          <w:lang w:val="ru-RU"/>
        </w:rPr>
        <w:t>М</w:t>
      </w:r>
      <w:r w:rsidRPr="00BD1570">
        <w:t>.</w:t>
      </w:r>
      <w:r w:rsidR="00E25C04">
        <w:t> </w:t>
      </w:r>
      <w:r w:rsidRPr="00BD1570">
        <w:t>: «</w:t>
      </w:r>
      <w:r w:rsidR="00E25C04">
        <w:t> </w:t>
      </w:r>
      <w:r>
        <w:t>Khimia</w:t>
      </w:r>
      <w:r w:rsidR="00E25C04">
        <w:t> </w:t>
      </w:r>
      <w:r w:rsidRPr="00BD1570">
        <w:t xml:space="preserve">», 1975. </w:t>
      </w:r>
      <w:r w:rsidR="00FA26A3">
        <w:rPr>
          <w:lang w:val="fr-FR"/>
        </w:rPr>
        <w:t>−</w:t>
      </w:r>
      <w:r w:rsidRPr="00BD1570">
        <w:t xml:space="preserve"> 816 </w:t>
      </w:r>
      <w:r>
        <w:t>p</w:t>
      </w:r>
      <w:r w:rsidRPr="00BD1570">
        <w:t>.</w:t>
      </w:r>
      <w:r w:rsidR="00C72047">
        <w:t> ;</w:t>
      </w:r>
    </w:p>
    <w:p w14:paraId="127008DF" w14:textId="77777777" w:rsidR="00354D56" w:rsidRPr="008F2E64" w:rsidRDefault="00354D56" w:rsidP="00354D56">
      <w:pPr>
        <w:pStyle w:val="Bullet1G"/>
      </w:pPr>
      <w:r>
        <w:t>V</w:t>
      </w:r>
      <w:r w:rsidRPr="00BD1570">
        <w:t xml:space="preserve">. </w:t>
      </w:r>
      <w:r>
        <w:t>N</w:t>
      </w:r>
      <w:r w:rsidRPr="00BD1570">
        <w:t xml:space="preserve">. </w:t>
      </w:r>
      <w:r>
        <w:t>Dyatlova</w:t>
      </w:r>
      <w:r w:rsidRPr="00BD1570">
        <w:t xml:space="preserve">, </w:t>
      </w:r>
      <w:r>
        <w:t>I</w:t>
      </w:r>
      <w:r w:rsidRPr="00BD1570">
        <w:t xml:space="preserve">. </w:t>
      </w:r>
      <w:r>
        <w:t>M</w:t>
      </w:r>
      <w:r w:rsidRPr="00BD1570">
        <w:t xml:space="preserve">. </w:t>
      </w:r>
      <w:r>
        <w:t>Zolotnitski</w:t>
      </w:r>
      <w:r w:rsidRPr="00BD1570">
        <w:t xml:space="preserve">, </w:t>
      </w:r>
      <w:r>
        <w:t>N</w:t>
      </w:r>
      <w:r w:rsidRPr="00BD1570">
        <w:t xml:space="preserve">. </w:t>
      </w:r>
      <w:r>
        <w:t>A</w:t>
      </w:r>
      <w:r w:rsidRPr="00BD1570">
        <w:t xml:space="preserve">. </w:t>
      </w:r>
      <w:r>
        <w:t>Dolejal</w:t>
      </w:r>
      <w:r w:rsidRPr="00BD1570">
        <w:t xml:space="preserve">. </w:t>
      </w:r>
      <w:r w:rsidRPr="004675F1">
        <w:rPr>
          <w:i/>
        </w:rPr>
        <w:t>Résistance des matériaux à la corrosion chimique</w:t>
      </w:r>
      <w:r w:rsidRPr="00BD1570">
        <w:t xml:space="preserve">. </w:t>
      </w:r>
      <w:r>
        <w:t>Manuel</w:t>
      </w:r>
      <w:r w:rsidRPr="008F2E64">
        <w:t xml:space="preserve"> </w:t>
      </w:r>
      <w:r w:rsidR="00741E31">
        <w:rPr>
          <w:lang w:val="fr-FR"/>
        </w:rPr>
        <w:t>−</w:t>
      </w:r>
      <w:r w:rsidRPr="008F2E64">
        <w:t xml:space="preserve"> </w:t>
      </w:r>
      <w:r w:rsidRPr="00126CE6">
        <w:rPr>
          <w:lang w:val="ru-RU"/>
        </w:rPr>
        <w:t>М</w:t>
      </w:r>
      <w:r w:rsidRPr="008F2E64">
        <w:t>.</w:t>
      </w:r>
      <w:r w:rsidR="00C72047">
        <w:t> </w:t>
      </w:r>
      <w:r w:rsidRPr="008F2E64">
        <w:t xml:space="preserve">: </w:t>
      </w:r>
      <w:r w:rsidRPr="00126CE6">
        <w:rPr>
          <w:lang w:val="ru-RU"/>
        </w:rPr>
        <w:t>МА</w:t>
      </w:r>
      <w:r>
        <w:t>CHGIZ</w:t>
      </w:r>
      <w:r w:rsidRPr="008F2E64">
        <w:t xml:space="preserve">, 1954 </w:t>
      </w:r>
      <w:r w:rsidR="00FA26A3">
        <w:rPr>
          <w:lang w:val="fr-FR"/>
        </w:rPr>
        <w:t>−</w:t>
      </w:r>
      <w:r w:rsidRPr="008F2E64">
        <w:t xml:space="preserve"> 570 </w:t>
      </w:r>
      <w:r>
        <w:t>p</w:t>
      </w:r>
      <w:r w:rsidRPr="008F2E64">
        <w:t>.</w:t>
      </w:r>
      <w:r w:rsidR="00C72047">
        <w:t> ;</w:t>
      </w:r>
    </w:p>
    <w:p w14:paraId="6F110549" w14:textId="77777777" w:rsidR="00354D56" w:rsidRPr="008F2E64" w:rsidRDefault="00354D56" w:rsidP="00354D56">
      <w:pPr>
        <w:pStyle w:val="Bullet1G"/>
      </w:pPr>
      <w:r w:rsidRPr="00354D56">
        <w:rPr>
          <w:lang w:val="en-US"/>
        </w:rPr>
        <w:t xml:space="preserve">A. S. Zoubtchenko, Yu. V. Kachirski. </w:t>
      </w:r>
      <w:r w:rsidRPr="004675F1">
        <w:rPr>
          <w:i/>
        </w:rPr>
        <w:t>Recueil des aciers et des alliages</w:t>
      </w:r>
      <w:r w:rsidRPr="006D2356">
        <w:t xml:space="preserve">. </w:t>
      </w:r>
      <w:r w:rsidRPr="008F2E64">
        <w:t>2014, 1</w:t>
      </w:r>
      <w:r>
        <w:t> </w:t>
      </w:r>
      <w:r w:rsidRPr="008F2E64">
        <w:t>216</w:t>
      </w:r>
      <w:r>
        <w:t> p</w:t>
      </w:r>
      <w:r w:rsidRPr="008F2E64">
        <w:t>.</w:t>
      </w:r>
      <w:r>
        <w:t> </w:t>
      </w:r>
      <w:r w:rsidRPr="008F2E64">
        <w:t>;</w:t>
      </w:r>
    </w:p>
    <w:p w14:paraId="7B04BD26" w14:textId="77777777" w:rsidR="00354D56" w:rsidRPr="006D2356" w:rsidRDefault="00354D56" w:rsidP="00354D56">
      <w:pPr>
        <w:pStyle w:val="Bullet1G"/>
      </w:pPr>
      <w:r w:rsidRPr="008F2E64">
        <w:t xml:space="preserve">Kh. Ratchev, S. Stefanova. </w:t>
      </w:r>
      <w:r w:rsidRPr="004675F1">
        <w:rPr>
          <w:i/>
        </w:rPr>
        <w:t>Manuel de la corrosion</w:t>
      </w:r>
      <w:r w:rsidRPr="008F2E64">
        <w:t xml:space="preserve">. </w:t>
      </w:r>
      <w:r>
        <w:t>Traduit</w:t>
      </w:r>
      <w:r w:rsidRPr="006D2356">
        <w:t xml:space="preserve"> </w:t>
      </w:r>
      <w:r>
        <w:t>du</w:t>
      </w:r>
      <w:r w:rsidRPr="006D2356">
        <w:t xml:space="preserve"> </w:t>
      </w:r>
      <w:r>
        <w:t>bulgare</w:t>
      </w:r>
      <w:r w:rsidRPr="006D2356">
        <w:t xml:space="preserve"> </w:t>
      </w:r>
      <w:r>
        <w:t>par</w:t>
      </w:r>
      <w:r w:rsidRPr="006D2356">
        <w:t xml:space="preserve"> </w:t>
      </w:r>
      <w:r>
        <w:t>S</w:t>
      </w:r>
      <w:r w:rsidRPr="006D2356">
        <w:t xml:space="preserve">. </w:t>
      </w:r>
      <w:r>
        <w:t>I</w:t>
      </w:r>
      <w:r w:rsidRPr="006D2356">
        <w:t xml:space="preserve">. </w:t>
      </w:r>
      <w:r>
        <w:t>Neykovski</w:t>
      </w:r>
      <w:r w:rsidR="00C72047">
        <w:t> </w:t>
      </w:r>
      <w:r w:rsidRPr="006D2356">
        <w:t xml:space="preserve">; </w:t>
      </w:r>
      <w:r>
        <w:t>revu et préfacé par N. I. Issayeva</w:t>
      </w:r>
      <w:r w:rsidRPr="006D2356">
        <w:t xml:space="preserve">. </w:t>
      </w:r>
      <w:r w:rsidR="00741E31">
        <w:rPr>
          <w:lang w:val="fr-FR"/>
        </w:rPr>
        <w:t>−</w:t>
      </w:r>
      <w:r w:rsidRPr="006D2356">
        <w:t xml:space="preserve"> </w:t>
      </w:r>
      <w:r w:rsidRPr="00126CE6">
        <w:rPr>
          <w:lang w:val="ru-RU"/>
        </w:rPr>
        <w:t>М</w:t>
      </w:r>
      <w:r w:rsidRPr="006D2356">
        <w:t>.</w:t>
      </w:r>
      <w:r w:rsidR="00C72047">
        <w:t> </w:t>
      </w:r>
      <w:r w:rsidRPr="006D2356">
        <w:t xml:space="preserve">: </w:t>
      </w:r>
      <w:r w:rsidRPr="00126CE6">
        <w:rPr>
          <w:lang w:val="ru-RU"/>
        </w:rPr>
        <w:t>М</w:t>
      </w:r>
      <w:r>
        <w:t>ir</w:t>
      </w:r>
      <w:r w:rsidRPr="006D2356">
        <w:t xml:space="preserve">, 1982. </w:t>
      </w:r>
      <w:r w:rsidR="00741E31">
        <w:rPr>
          <w:lang w:val="fr-FR"/>
        </w:rPr>
        <w:t>−</w:t>
      </w:r>
      <w:r w:rsidRPr="006D2356">
        <w:t xml:space="preserve"> 520 </w:t>
      </w:r>
      <w:r>
        <w:t>p</w:t>
      </w:r>
      <w:r w:rsidRPr="006D2356">
        <w:t>.</w:t>
      </w:r>
      <w:r>
        <w:t> </w:t>
      </w:r>
      <w:r w:rsidRPr="006D2356">
        <w:t>;</w:t>
      </w:r>
    </w:p>
    <w:p w14:paraId="7FD94FEA" w14:textId="77777777" w:rsidR="00354D56" w:rsidRPr="006D2356" w:rsidRDefault="00354D56" w:rsidP="00354D56">
      <w:pPr>
        <w:pStyle w:val="Bullet1G"/>
      </w:pPr>
      <w:r>
        <w:t>D</w:t>
      </w:r>
      <w:r w:rsidRPr="006D2356">
        <w:t xml:space="preserve">. </w:t>
      </w:r>
      <w:r>
        <w:t>G</w:t>
      </w:r>
      <w:r w:rsidRPr="006D2356">
        <w:t xml:space="preserve">. </w:t>
      </w:r>
      <w:r>
        <w:t xml:space="preserve">Toufanov. </w:t>
      </w:r>
      <w:r w:rsidRPr="004675F1">
        <w:rPr>
          <w:i/>
        </w:rPr>
        <w:t>Résistance à la corrosion des aciers inoxydables, des alliages et des métaux purs</w:t>
      </w:r>
      <w:r w:rsidRPr="006D2356">
        <w:t xml:space="preserve">. </w:t>
      </w:r>
      <w:r>
        <w:t>Manuel</w:t>
      </w:r>
      <w:r w:rsidRPr="006D2356">
        <w:t xml:space="preserve">. </w:t>
      </w:r>
      <w:r w:rsidR="00741E31">
        <w:rPr>
          <w:lang w:val="fr-FR"/>
        </w:rPr>
        <w:t>−</w:t>
      </w:r>
      <w:r w:rsidRPr="006D2356">
        <w:t xml:space="preserve"> </w:t>
      </w:r>
      <w:r w:rsidRPr="00126CE6">
        <w:rPr>
          <w:lang w:val="ru-RU"/>
        </w:rPr>
        <w:t>М</w:t>
      </w:r>
      <w:r w:rsidRPr="006D2356">
        <w:t>.</w:t>
      </w:r>
      <w:r w:rsidR="00C72047">
        <w:t> </w:t>
      </w:r>
      <w:r w:rsidRPr="006D2356">
        <w:t xml:space="preserve">: </w:t>
      </w:r>
      <w:r>
        <w:t>Metallurgia</w:t>
      </w:r>
      <w:r w:rsidRPr="006D2356">
        <w:t xml:space="preserve">, 1990 </w:t>
      </w:r>
      <w:r w:rsidR="00741E31">
        <w:rPr>
          <w:lang w:val="fr-FR"/>
        </w:rPr>
        <w:t>−</w:t>
      </w:r>
      <w:r w:rsidRPr="006D2356">
        <w:t xml:space="preserve"> 320 </w:t>
      </w:r>
      <w:r>
        <w:t>p</w:t>
      </w:r>
      <w:r w:rsidRPr="006D2356">
        <w:t>.</w:t>
      </w:r>
    </w:p>
    <w:p w14:paraId="4EDBC09D" w14:textId="77777777" w:rsidR="00354D56" w:rsidRDefault="00354D56" w:rsidP="00354D56">
      <w:pPr>
        <w:pStyle w:val="SingleTxtG"/>
      </w:pPr>
      <w:r w:rsidRPr="006D2356">
        <w:t>7.</w:t>
      </w:r>
      <w:r w:rsidRPr="006D2356">
        <w:tab/>
      </w:r>
      <w:r w:rsidR="00FA26A3">
        <w:t>À</w:t>
      </w:r>
      <w:r>
        <w:t xml:space="preserve"> la lumière des résultats de cette analyse de la littérature russe et étrangère, on peut souligner ce qui suit :</w:t>
      </w:r>
    </w:p>
    <w:p w14:paraId="5F792392" w14:textId="77777777" w:rsidR="00354D56" w:rsidRPr="00E20067" w:rsidRDefault="00354D56" w:rsidP="00354D56">
      <w:pPr>
        <w:pStyle w:val="Bullet1G"/>
      </w:pPr>
      <w:r>
        <w:t>Pour l</w:t>
      </w:r>
      <w:r w:rsidR="00C72047">
        <w:t>’</w:t>
      </w:r>
      <w:r>
        <w:t>acide nitrique fortement concentré on peut recommander l</w:t>
      </w:r>
      <w:r w:rsidR="00C72047">
        <w:t>’</w:t>
      </w:r>
      <w:r>
        <w:t>aluminium ou des alliages d</w:t>
      </w:r>
      <w:r w:rsidR="00C72047">
        <w:t>’</w:t>
      </w:r>
      <w:r>
        <w:t>aluminium, notamment de types Al</w:t>
      </w:r>
      <w:r w:rsidRPr="00E20067">
        <w:t>-</w:t>
      </w:r>
      <w:r>
        <w:t>Mn</w:t>
      </w:r>
      <w:r w:rsidRPr="00E20067">
        <w:t xml:space="preserve"> </w:t>
      </w:r>
      <w:r>
        <w:t xml:space="preserve">et </w:t>
      </w:r>
      <w:r w:rsidRPr="00E20067">
        <w:t>Al-</w:t>
      </w:r>
      <w:r>
        <w:t>Mg </w:t>
      </w:r>
      <w:r w:rsidRPr="00E20067">
        <w:t>;</w:t>
      </w:r>
    </w:p>
    <w:p w14:paraId="45567E64" w14:textId="77777777" w:rsidR="00354D56" w:rsidRPr="00E20067" w:rsidRDefault="00354D56" w:rsidP="00354D56">
      <w:pPr>
        <w:pStyle w:val="Bullet1G"/>
      </w:pPr>
      <w:r>
        <w:t>Une</w:t>
      </w:r>
      <w:r w:rsidRPr="00E20067">
        <w:t xml:space="preserve"> </w:t>
      </w:r>
      <w:r>
        <w:t>vitesse</w:t>
      </w:r>
      <w:r w:rsidRPr="00E20067">
        <w:t xml:space="preserve"> </w:t>
      </w:r>
      <w:r>
        <w:t>de</w:t>
      </w:r>
      <w:r w:rsidRPr="00E20067">
        <w:t xml:space="preserve"> </w:t>
      </w:r>
      <w:r>
        <w:t>corrosion</w:t>
      </w:r>
      <w:r w:rsidRPr="00E20067">
        <w:t xml:space="preserve"> «</w:t>
      </w:r>
      <w:r>
        <w:t> satisfaisante </w:t>
      </w:r>
      <w:r w:rsidRPr="00E20067">
        <w:t xml:space="preserve">» </w:t>
      </w:r>
      <w:r>
        <w:t>(comparée à celle de l</w:t>
      </w:r>
      <w:r w:rsidR="00C72047">
        <w:t>’</w:t>
      </w:r>
      <w:r>
        <w:t xml:space="preserve">aluminium pur à au moins </w:t>
      </w:r>
      <w:r w:rsidRPr="00E20067">
        <w:t>99,5</w:t>
      </w:r>
      <w:r>
        <w:t> </w:t>
      </w:r>
      <w:r w:rsidRPr="00E20067">
        <w:t xml:space="preserve">%) </w:t>
      </w:r>
      <w:r>
        <w:t>peut être obtenue quand la teneur en aluminium d</w:t>
      </w:r>
      <w:r w:rsidR="00C72047">
        <w:t>’</w:t>
      </w:r>
      <w:r>
        <w:t>un alliage est d</w:t>
      </w:r>
      <w:r w:rsidR="00C72047">
        <w:t>’</w:t>
      </w:r>
      <w:r>
        <w:t xml:space="preserve">au moins </w:t>
      </w:r>
      <w:r w:rsidRPr="00E20067">
        <w:t>91</w:t>
      </w:r>
      <w:r>
        <w:t> </w:t>
      </w:r>
      <w:r w:rsidRPr="00E20067">
        <w:t>%.</w:t>
      </w:r>
    </w:p>
    <w:p w14:paraId="223BA0D1" w14:textId="77777777" w:rsidR="00354D56" w:rsidRPr="004304BE" w:rsidRDefault="00354D56" w:rsidP="00354D56">
      <w:pPr>
        <w:pStyle w:val="SingleTxtG"/>
      </w:pPr>
      <w:r w:rsidRPr="00E20067">
        <w:t>8.</w:t>
      </w:r>
      <w:r w:rsidRPr="00E20067">
        <w:tab/>
      </w:r>
      <w:r>
        <w:t>Des recherches en laboratoire ont été effectuées pour déterminer les vitesses de corrosion des différents alliages d</w:t>
      </w:r>
      <w:r w:rsidR="00C72047">
        <w:t>’</w:t>
      </w:r>
      <w:r>
        <w:t>aluminium dans un milieu contenant 99</w:t>
      </w:r>
      <w:r w:rsidR="00741E31">
        <w:t> </w:t>
      </w:r>
      <w:r>
        <w:t>% d</w:t>
      </w:r>
      <w:r w:rsidR="00C72047">
        <w:t>’</w:t>
      </w:r>
      <w:r>
        <w:t>acide nitrique. À titre de référence on a utilisé de l</w:t>
      </w:r>
      <w:r w:rsidR="00C72047">
        <w:t>’</w:t>
      </w:r>
      <w:r>
        <w:t xml:space="preserve">aluminium de type </w:t>
      </w:r>
      <w:r w:rsidRPr="00126CE6">
        <w:rPr>
          <w:lang w:val="ru-RU"/>
        </w:rPr>
        <w:t>АД</w:t>
      </w:r>
      <w:r w:rsidRPr="00E20067">
        <w:t>0 (</w:t>
      </w:r>
      <w:r>
        <w:t xml:space="preserve">contenant au moins </w:t>
      </w:r>
      <w:r w:rsidRPr="00E20067">
        <w:t>99,5</w:t>
      </w:r>
      <w:r>
        <w:t> </w:t>
      </w:r>
      <w:r w:rsidRPr="00E20067">
        <w:t>%</w:t>
      </w:r>
      <w:r>
        <w:t xml:space="preserve"> d</w:t>
      </w:r>
      <w:r w:rsidR="00C72047">
        <w:t>’</w:t>
      </w:r>
      <w:r>
        <w:t>aluminium</w:t>
      </w:r>
      <w:r w:rsidRPr="00E20067">
        <w:t xml:space="preserve">). </w:t>
      </w:r>
      <w:r>
        <w:t>Les résultats obtenus avec les alliages d</w:t>
      </w:r>
      <w:r w:rsidR="00C72047">
        <w:t>’</w:t>
      </w:r>
      <w:r>
        <w:t xml:space="preserve">aluminium de types </w:t>
      </w:r>
      <w:r w:rsidRPr="006E1709">
        <w:t>Al</w:t>
      </w:r>
      <w:r w:rsidRPr="004304BE">
        <w:t>-</w:t>
      </w:r>
      <w:r w:rsidRPr="006E1709">
        <w:t>Mn</w:t>
      </w:r>
      <w:r w:rsidRPr="004304BE">
        <w:t xml:space="preserve"> </w:t>
      </w:r>
      <w:r>
        <w:t xml:space="preserve">et </w:t>
      </w:r>
      <w:r w:rsidRPr="006E1709">
        <w:t>Al</w:t>
      </w:r>
      <w:r w:rsidRPr="004304BE">
        <w:t>-</w:t>
      </w:r>
      <w:r w:rsidRPr="006E1709">
        <w:t>Mg</w:t>
      </w:r>
      <w:r>
        <w:t xml:space="preserve"> ont confirmé les informations trouvées dans la littérature russe et étrangère. Si</w:t>
      </w:r>
      <w:r w:rsidRPr="004304BE">
        <w:t xml:space="preserve"> </w:t>
      </w:r>
      <w:r>
        <w:t>l</w:t>
      </w:r>
      <w:r w:rsidR="00C72047">
        <w:t>’</w:t>
      </w:r>
      <w:r>
        <w:t>on</w:t>
      </w:r>
      <w:r w:rsidRPr="004304BE">
        <w:t xml:space="preserve"> </w:t>
      </w:r>
      <w:r>
        <w:t>choisit</w:t>
      </w:r>
      <w:r w:rsidRPr="004304BE">
        <w:t xml:space="preserve"> </w:t>
      </w:r>
      <w:r>
        <w:t>bien la composition de l</w:t>
      </w:r>
      <w:r w:rsidR="00C72047">
        <w:t>’</w:t>
      </w:r>
      <w:r>
        <w:t>alliage, sa vitesse de corrosion dans l</w:t>
      </w:r>
      <w:r w:rsidR="00C72047">
        <w:t>’</w:t>
      </w:r>
      <w:r>
        <w:t>acide nitrique fortement concentré peut être comparable à celle de l</w:t>
      </w:r>
      <w:r w:rsidR="00C72047">
        <w:t>’</w:t>
      </w:r>
      <w:r>
        <w:t xml:space="preserve">aluminium de type </w:t>
      </w:r>
      <w:r w:rsidRPr="00126CE6">
        <w:rPr>
          <w:lang w:val="ru-RU"/>
        </w:rPr>
        <w:t>АД</w:t>
      </w:r>
      <w:r w:rsidRPr="004304BE">
        <w:t>0 (</w:t>
      </w:r>
      <w:r>
        <w:t xml:space="preserve">teneur en aluminium égale ou supérieure à </w:t>
      </w:r>
      <w:r w:rsidRPr="004304BE">
        <w:t>99,5</w:t>
      </w:r>
      <w:r>
        <w:t> </w:t>
      </w:r>
      <w:r w:rsidRPr="004304BE">
        <w:t>%)</w:t>
      </w:r>
      <w:r w:rsidR="00E25C04">
        <w:t> </w:t>
      </w:r>
      <w:r w:rsidRPr="004304BE">
        <w:t>:</w:t>
      </w:r>
    </w:p>
    <w:tbl>
      <w:tblPr>
        <w:tblW w:w="3713" w:type="pct"/>
        <w:tblInd w:w="12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5"/>
        <w:gridCol w:w="2920"/>
        <w:gridCol w:w="3237"/>
      </w:tblGrid>
      <w:tr w:rsidR="00354D56" w:rsidRPr="00C214BC" w14:paraId="4CA843AE" w14:textId="77777777" w:rsidTr="00FA26A3">
        <w:trPr>
          <w:trHeight w:val="18"/>
        </w:trPr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52746" w14:textId="77777777" w:rsidR="00354D56" w:rsidRPr="006E1709" w:rsidRDefault="00354D56" w:rsidP="00C9164B">
            <w:pPr>
              <w:rPr>
                <w:b/>
              </w:rPr>
            </w:pPr>
            <w:r>
              <w:rPr>
                <w:b/>
              </w:rPr>
              <w:t>Alliage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08EDB" w14:textId="77777777" w:rsidR="00354D56" w:rsidRPr="006E1709" w:rsidRDefault="00354D56" w:rsidP="00C9164B">
            <w:pPr>
              <w:rPr>
                <w:b/>
              </w:rPr>
            </w:pPr>
            <w:r>
              <w:rPr>
                <w:b/>
              </w:rPr>
              <w:t>Teneur en aluminium</w:t>
            </w:r>
            <w:r w:rsidRPr="006E1709">
              <w:rPr>
                <w:b/>
              </w:rPr>
              <w:t>, %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54D04" w14:textId="77777777" w:rsidR="00354D56" w:rsidRPr="00C214BC" w:rsidRDefault="00354D56" w:rsidP="00C9164B">
            <w:pPr>
              <w:rPr>
                <w:b/>
              </w:rPr>
            </w:pPr>
            <w:r>
              <w:rPr>
                <w:b/>
              </w:rPr>
              <w:t>V</w:t>
            </w:r>
            <w:r w:rsidRPr="00C214BC">
              <w:rPr>
                <w:b/>
              </w:rPr>
              <w:t xml:space="preserve">itesse de corrosion </w:t>
            </w:r>
            <w:r>
              <w:rPr>
                <w:b/>
              </w:rPr>
              <w:t>dans l</w:t>
            </w:r>
            <w:r w:rsidR="00C72047">
              <w:rPr>
                <w:b/>
              </w:rPr>
              <w:t>’</w:t>
            </w:r>
            <w:r>
              <w:rPr>
                <w:b/>
              </w:rPr>
              <w:t>acide nitrique (</w:t>
            </w:r>
            <w:r w:rsidRPr="00C214BC">
              <w:rPr>
                <w:b/>
              </w:rPr>
              <w:t>HNO</w:t>
            </w:r>
            <w:r w:rsidRPr="00C214BC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>)</w:t>
            </w:r>
            <w:r w:rsidRPr="00C214BC">
              <w:rPr>
                <w:b/>
              </w:rPr>
              <w:t xml:space="preserve"> </w:t>
            </w:r>
            <w:r>
              <w:rPr>
                <w:b/>
              </w:rPr>
              <w:t xml:space="preserve">à </w:t>
            </w:r>
            <w:r w:rsidRPr="00C214BC">
              <w:rPr>
                <w:b/>
              </w:rPr>
              <w:t xml:space="preserve">99%, </w:t>
            </w:r>
            <w:r>
              <w:rPr>
                <w:b/>
              </w:rPr>
              <w:t>mm</w:t>
            </w:r>
            <w:r w:rsidRPr="00C214BC">
              <w:rPr>
                <w:b/>
              </w:rPr>
              <w:t>/</w:t>
            </w:r>
            <w:r>
              <w:rPr>
                <w:b/>
              </w:rPr>
              <w:t>an</w:t>
            </w:r>
          </w:p>
        </w:tc>
      </w:tr>
      <w:tr w:rsidR="00354D56" w:rsidRPr="006E1709" w14:paraId="27C1CACE" w14:textId="77777777" w:rsidTr="00FA26A3">
        <w:trPr>
          <w:trHeight w:val="18"/>
        </w:trPr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95103" w14:textId="77777777" w:rsidR="00354D56" w:rsidRPr="006E1709" w:rsidRDefault="00354D56" w:rsidP="00C9164B">
            <w:r w:rsidRPr="006E1709">
              <w:t>А</w:t>
            </w:r>
            <w:r>
              <w:t>D</w:t>
            </w:r>
            <w:r w:rsidRPr="006E1709">
              <w:t>0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5C206" w14:textId="77777777" w:rsidR="00354D56" w:rsidRPr="006E1709" w:rsidRDefault="00354D56" w:rsidP="00C9164B">
            <w:r w:rsidRPr="006E1709">
              <w:t>99,5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1233E" w14:textId="77777777" w:rsidR="00354D56" w:rsidRPr="006E1709" w:rsidRDefault="00354D56" w:rsidP="00C9164B">
            <w:r w:rsidRPr="006E1709">
              <w:t>0,02</w:t>
            </w:r>
          </w:p>
        </w:tc>
      </w:tr>
      <w:tr w:rsidR="00354D56" w:rsidRPr="006E1709" w14:paraId="2E20E427" w14:textId="77777777" w:rsidTr="00FA26A3">
        <w:trPr>
          <w:trHeight w:val="18"/>
        </w:trPr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E0D0A" w14:textId="77777777" w:rsidR="00354D56" w:rsidRPr="006E1709" w:rsidRDefault="00354D56" w:rsidP="00C9164B">
            <w:r w:rsidRPr="006E1709">
              <w:rPr>
                <w:lang w:val="en-US"/>
              </w:rPr>
              <w:t>Al-Mn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7080E" w14:textId="77777777" w:rsidR="00354D56" w:rsidRPr="006E1709" w:rsidRDefault="00354D56" w:rsidP="00C9164B">
            <w:r w:rsidRPr="006E1709">
              <w:t>97,7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CEF9A" w14:textId="77777777" w:rsidR="00354D56" w:rsidRPr="006E1709" w:rsidRDefault="00354D56" w:rsidP="00C9164B">
            <w:r w:rsidRPr="006E1709">
              <w:t>0,02</w:t>
            </w:r>
          </w:p>
        </w:tc>
      </w:tr>
      <w:tr w:rsidR="00354D56" w:rsidRPr="006E1709" w14:paraId="04CFA7F7" w14:textId="77777777" w:rsidTr="00FA26A3">
        <w:trPr>
          <w:trHeight w:val="18"/>
        </w:trPr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DD73A6" w14:textId="77777777" w:rsidR="00354D56" w:rsidRPr="006E1709" w:rsidRDefault="00354D56" w:rsidP="00C9164B">
            <w:r w:rsidRPr="006E1709">
              <w:rPr>
                <w:lang w:val="en-US"/>
              </w:rPr>
              <w:t>Al-Mn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A8C15" w14:textId="77777777" w:rsidR="00354D56" w:rsidRPr="006E1709" w:rsidRDefault="00354D56" w:rsidP="00C9164B">
            <w:r w:rsidRPr="006E1709">
              <w:t>9</w:t>
            </w:r>
            <w:r w:rsidRPr="006E1709">
              <w:rPr>
                <w:lang w:val="en-US"/>
              </w:rPr>
              <w:t>8</w:t>
            </w:r>
            <w:r w:rsidRPr="006E1709">
              <w:t>,</w:t>
            </w:r>
            <w:r w:rsidRPr="006E1709">
              <w:rPr>
                <w:lang w:val="en-US"/>
              </w:rPr>
              <w:t>0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CE73B" w14:textId="77777777" w:rsidR="00354D56" w:rsidRPr="006E1709" w:rsidRDefault="00354D56" w:rsidP="00C9164B">
            <w:r w:rsidRPr="006E1709">
              <w:rPr>
                <w:lang w:val="en-US"/>
              </w:rPr>
              <w:t>0,03</w:t>
            </w:r>
          </w:p>
        </w:tc>
      </w:tr>
      <w:tr w:rsidR="00354D56" w:rsidRPr="006E1709" w14:paraId="5B764B69" w14:textId="77777777" w:rsidTr="00FA26A3">
        <w:trPr>
          <w:trHeight w:val="18"/>
        </w:trPr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B66EE" w14:textId="77777777" w:rsidR="00354D56" w:rsidRPr="006E1709" w:rsidRDefault="00354D56" w:rsidP="00C9164B">
            <w:r w:rsidRPr="006E1709">
              <w:rPr>
                <w:lang w:val="en-US"/>
              </w:rPr>
              <w:t>Al-Mg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874C8" w14:textId="77777777" w:rsidR="00354D56" w:rsidRPr="006E1709" w:rsidRDefault="00354D56" w:rsidP="00C9164B">
            <w:r w:rsidRPr="006E1709">
              <w:rPr>
                <w:lang w:val="en-US"/>
              </w:rPr>
              <w:t>96,7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4D89A" w14:textId="77777777" w:rsidR="00354D56" w:rsidRPr="006E1709" w:rsidRDefault="00354D56" w:rsidP="00C9164B">
            <w:r w:rsidRPr="006E1709">
              <w:rPr>
                <w:lang w:val="en-US"/>
              </w:rPr>
              <w:t>0,04</w:t>
            </w:r>
          </w:p>
        </w:tc>
      </w:tr>
    </w:tbl>
    <w:p w14:paraId="6437CF36" w14:textId="77777777" w:rsidR="00354D56" w:rsidRDefault="00354D56" w:rsidP="00E25C04">
      <w:pPr>
        <w:pStyle w:val="SingleTxtG"/>
        <w:spacing w:before="120"/>
      </w:pPr>
      <w:r w:rsidRPr="0045167E">
        <w:t>9.</w:t>
      </w:r>
      <w:r w:rsidRPr="0045167E">
        <w:tab/>
      </w:r>
      <w:r>
        <w:t>Il</w:t>
      </w:r>
      <w:r w:rsidRPr="0045167E">
        <w:t xml:space="preserve"> </w:t>
      </w:r>
      <w:r>
        <w:t>est</w:t>
      </w:r>
      <w:r w:rsidRPr="0045167E">
        <w:t xml:space="preserve"> </w:t>
      </w:r>
      <w:r>
        <w:t>propos</w:t>
      </w:r>
      <w:r w:rsidRPr="0045167E">
        <w:t>é</w:t>
      </w:r>
      <w:r>
        <w:t xml:space="preserve"> d</w:t>
      </w:r>
      <w:r w:rsidR="00C72047">
        <w:t>’</w:t>
      </w:r>
      <w:r>
        <w:t xml:space="preserve">admettre la possibilité que des </w:t>
      </w:r>
      <w:r w:rsidRPr="0045167E">
        <w:t>chaudières de wagons-citernes</w:t>
      </w:r>
      <w:r>
        <w:t xml:space="preserve"> destinés au transport d</w:t>
      </w:r>
      <w:r w:rsidR="00C72047">
        <w:t>’</w:t>
      </w:r>
      <w:r>
        <w:t xml:space="preserve">acide nitrique </w:t>
      </w:r>
      <w:r w:rsidRPr="000B2431">
        <w:t xml:space="preserve">fortement concentré </w:t>
      </w:r>
      <w:r>
        <w:t xml:space="preserve">du numéro ONU 2031 </w:t>
      </w:r>
      <w:r w:rsidRPr="0045167E">
        <w:t>(contenant plus de 70</w:t>
      </w:r>
      <w:r w:rsidR="00741E31">
        <w:t> </w:t>
      </w:r>
      <w:r w:rsidRPr="0045167E">
        <w:t>% d</w:t>
      </w:r>
      <w:r w:rsidR="00C72047">
        <w:t>’</w:t>
      </w:r>
      <w:r w:rsidRPr="0045167E">
        <w:t>acide nitrique)</w:t>
      </w:r>
      <w:r>
        <w:t xml:space="preserve"> puissent être construites en alliages d</w:t>
      </w:r>
      <w:r w:rsidR="00C72047">
        <w:t>’</w:t>
      </w:r>
      <w:r>
        <w:t>aluminium conformément aux prescriptions applicables aux récipients.</w:t>
      </w:r>
    </w:p>
    <w:p w14:paraId="4C15432D" w14:textId="77777777" w:rsidR="00E25C04" w:rsidRPr="00E25C04" w:rsidRDefault="00E25C04" w:rsidP="00E25C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5C04" w:rsidRPr="00E25C04" w:rsidSect="00354D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D3F6" w14:textId="77777777" w:rsidR="00D87273" w:rsidRDefault="00D87273" w:rsidP="00F95C08">
      <w:pPr>
        <w:spacing w:line="240" w:lineRule="auto"/>
      </w:pPr>
    </w:p>
  </w:endnote>
  <w:endnote w:type="continuationSeparator" w:id="0">
    <w:p w14:paraId="47DAA59F" w14:textId="77777777" w:rsidR="00D87273" w:rsidRPr="00AC3823" w:rsidRDefault="00D87273" w:rsidP="00AC3823">
      <w:pPr>
        <w:pStyle w:val="Footer"/>
      </w:pPr>
    </w:p>
  </w:endnote>
  <w:endnote w:type="continuationNotice" w:id="1">
    <w:p w14:paraId="58B001FD" w14:textId="77777777" w:rsidR="00D87273" w:rsidRDefault="00D872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2A9F" w14:textId="77777777" w:rsidR="00354D56" w:rsidRPr="00354D56" w:rsidRDefault="00354D56" w:rsidP="00354D56">
    <w:pPr>
      <w:pStyle w:val="Footer"/>
      <w:tabs>
        <w:tab w:val="right" w:pos="9638"/>
      </w:tabs>
    </w:pPr>
    <w:r w:rsidRPr="00354D56">
      <w:rPr>
        <w:b/>
        <w:sz w:val="18"/>
      </w:rPr>
      <w:fldChar w:fldCharType="begin"/>
    </w:r>
    <w:r w:rsidRPr="00354D56">
      <w:rPr>
        <w:b/>
        <w:sz w:val="18"/>
      </w:rPr>
      <w:instrText xml:space="preserve"> PAGE  \* MERGEFORMAT </w:instrText>
    </w:r>
    <w:r w:rsidRPr="00354D56">
      <w:rPr>
        <w:b/>
        <w:sz w:val="18"/>
      </w:rPr>
      <w:fldChar w:fldCharType="separate"/>
    </w:r>
    <w:r w:rsidRPr="00354D56">
      <w:rPr>
        <w:b/>
        <w:noProof/>
        <w:sz w:val="18"/>
      </w:rPr>
      <w:t>2</w:t>
    </w:r>
    <w:r w:rsidRPr="00354D56">
      <w:rPr>
        <w:b/>
        <w:sz w:val="18"/>
      </w:rPr>
      <w:fldChar w:fldCharType="end"/>
    </w:r>
    <w:r>
      <w:rPr>
        <w:b/>
        <w:sz w:val="18"/>
      </w:rPr>
      <w:tab/>
    </w:r>
    <w:r>
      <w:t>GE.19-22656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B46D" w14:textId="77777777" w:rsidR="00354D56" w:rsidRPr="00354D56" w:rsidRDefault="00354D56" w:rsidP="00354D56">
    <w:pPr>
      <w:pStyle w:val="Footer"/>
      <w:tabs>
        <w:tab w:val="right" w:pos="9638"/>
      </w:tabs>
      <w:rPr>
        <w:b/>
        <w:sz w:val="18"/>
      </w:rPr>
    </w:pPr>
    <w:r>
      <w:t>GE.19-22656</w:t>
    </w:r>
    <w:r>
      <w:tab/>
    </w:r>
    <w:r w:rsidRPr="00354D56">
      <w:rPr>
        <w:b/>
        <w:sz w:val="18"/>
      </w:rPr>
      <w:fldChar w:fldCharType="begin"/>
    </w:r>
    <w:r w:rsidRPr="00354D56">
      <w:rPr>
        <w:b/>
        <w:sz w:val="18"/>
      </w:rPr>
      <w:instrText xml:space="preserve"> PAGE  \* MERGEFORMAT </w:instrText>
    </w:r>
    <w:r w:rsidRPr="00354D56">
      <w:rPr>
        <w:b/>
        <w:sz w:val="18"/>
      </w:rPr>
      <w:fldChar w:fldCharType="separate"/>
    </w:r>
    <w:r w:rsidRPr="00354D56">
      <w:rPr>
        <w:b/>
        <w:noProof/>
        <w:sz w:val="18"/>
      </w:rPr>
      <w:t>3</w:t>
    </w:r>
    <w:r w:rsidRPr="00354D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DE03" w14:textId="77777777" w:rsidR="007F20FA" w:rsidRPr="00354D56" w:rsidRDefault="00354D56" w:rsidP="00354D5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3578DA7" wp14:editId="30E22D4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19-22656  (F)</w:t>
    </w:r>
    <w:r w:rsidR="00E25C04">
      <w:rPr>
        <w:sz w:val="20"/>
      </w:rPr>
      <w:t xml:space="preserve">    170120    230120</w:t>
    </w:r>
    <w:r>
      <w:rPr>
        <w:sz w:val="20"/>
      </w:rPr>
      <w:br/>
    </w:r>
    <w:r w:rsidRPr="00354D56">
      <w:rPr>
        <w:rFonts w:ascii="C39T30Lfz" w:hAnsi="C39T30Lfz"/>
        <w:sz w:val="56"/>
      </w:rPr>
      <w:t></w:t>
    </w:r>
    <w:r w:rsidRPr="00354D56">
      <w:rPr>
        <w:rFonts w:ascii="C39T30Lfz" w:hAnsi="C39T30Lfz"/>
        <w:sz w:val="56"/>
      </w:rPr>
      <w:t></w:t>
    </w:r>
    <w:r w:rsidRPr="00354D56">
      <w:rPr>
        <w:rFonts w:ascii="C39T30Lfz" w:hAnsi="C39T30Lfz"/>
        <w:sz w:val="56"/>
      </w:rPr>
      <w:t></w:t>
    </w:r>
    <w:r w:rsidRPr="00354D56">
      <w:rPr>
        <w:rFonts w:ascii="C39T30Lfz" w:hAnsi="C39T30Lfz"/>
        <w:sz w:val="56"/>
      </w:rPr>
      <w:t></w:t>
    </w:r>
    <w:r w:rsidRPr="00354D56">
      <w:rPr>
        <w:rFonts w:ascii="C39T30Lfz" w:hAnsi="C39T30Lfz"/>
        <w:sz w:val="56"/>
      </w:rPr>
      <w:t></w:t>
    </w:r>
    <w:r w:rsidRPr="00354D56">
      <w:rPr>
        <w:rFonts w:ascii="C39T30Lfz" w:hAnsi="C39T30Lfz"/>
        <w:sz w:val="56"/>
      </w:rPr>
      <w:t></w:t>
    </w:r>
    <w:r w:rsidRPr="00354D56">
      <w:rPr>
        <w:rFonts w:ascii="C39T30Lfz" w:hAnsi="C39T30Lfz"/>
        <w:sz w:val="56"/>
      </w:rPr>
      <w:t></w:t>
    </w:r>
    <w:r w:rsidRPr="00354D56">
      <w:rPr>
        <w:rFonts w:ascii="C39T30Lfz" w:hAnsi="C39T30Lfz"/>
        <w:sz w:val="56"/>
      </w:rPr>
      <w:t></w:t>
    </w:r>
    <w:r w:rsidRPr="00354D5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AEE4CEA" wp14:editId="430973A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427A" w14:textId="77777777" w:rsidR="00D87273" w:rsidRPr="00AC3823" w:rsidRDefault="00D8727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47AC74" w14:textId="77777777" w:rsidR="00D87273" w:rsidRPr="00AC3823" w:rsidRDefault="00D8727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016314" w14:textId="77777777" w:rsidR="00D87273" w:rsidRPr="00AC3823" w:rsidRDefault="00D87273">
      <w:pPr>
        <w:spacing w:line="240" w:lineRule="auto"/>
        <w:rPr>
          <w:sz w:val="2"/>
          <w:szCs w:val="2"/>
        </w:rPr>
      </w:pPr>
    </w:p>
  </w:footnote>
  <w:footnote w:id="2">
    <w:p w14:paraId="5CA7259C" w14:textId="77777777" w:rsidR="00354D56" w:rsidRPr="00354D56" w:rsidRDefault="00354D56">
      <w:pPr>
        <w:pStyle w:val="FootnoteText"/>
      </w:pPr>
      <w:r>
        <w:rPr>
          <w:rStyle w:val="FootnoteReference"/>
        </w:rPr>
        <w:tab/>
      </w:r>
      <w:r w:rsidRPr="00354D5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F4DC7">
        <w:t>Conformément au programme de travail du Comité des transports intérieurs pour la période 2018</w:t>
      </w:r>
      <w:r w:rsidR="00E25C04">
        <w:noBreakHyphen/>
      </w:r>
      <w:r w:rsidRPr="002F4DC7">
        <w:t>2019 (</w:t>
      </w:r>
      <w:r>
        <w:t>ECE</w:t>
      </w:r>
      <w:r w:rsidRPr="002F4DC7">
        <w:t>/</w:t>
      </w:r>
      <w:r>
        <w:t>TRANS</w:t>
      </w:r>
      <w:r w:rsidRPr="002F4DC7">
        <w:t>/</w:t>
      </w:r>
      <w:r>
        <w:t>WP</w:t>
      </w:r>
      <w:r w:rsidRPr="002F4DC7">
        <w:t xml:space="preserve">.15/237, </w:t>
      </w:r>
      <w:r>
        <w:t>annexe V</w:t>
      </w:r>
      <w:r w:rsidRPr="002F4DC7">
        <w:t xml:space="preserve"> (9.2)).</w:t>
      </w:r>
    </w:p>
  </w:footnote>
  <w:footnote w:id="3">
    <w:p w14:paraId="135ABE3F" w14:textId="77777777" w:rsidR="00354D56" w:rsidRPr="00354D56" w:rsidRDefault="00354D56">
      <w:pPr>
        <w:pStyle w:val="FootnoteText"/>
      </w:pPr>
      <w:r>
        <w:rPr>
          <w:rStyle w:val="FootnoteReference"/>
        </w:rPr>
        <w:tab/>
      </w:r>
      <w:r w:rsidRPr="00354D5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492E6B">
        <w:t>Diffusé</w:t>
      </w:r>
      <w:r w:rsidR="00FA26A3">
        <w:t>e</w:t>
      </w:r>
      <w:r w:rsidRPr="00492E6B">
        <w:t xml:space="preserve"> par l</w:t>
      </w:r>
      <w:r w:rsidR="00C72047">
        <w:t>’</w:t>
      </w:r>
      <w:r w:rsidRPr="00492E6B">
        <w:t xml:space="preserve">Organisation intergouvernementale pour les transports internationaux ferroviaires (OTIF) sous la cote </w:t>
      </w:r>
      <w:r>
        <w:t>OTIF</w:t>
      </w:r>
      <w:r w:rsidRPr="00492E6B">
        <w:t>/</w:t>
      </w:r>
      <w:r>
        <w:t>RID</w:t>
      </w:r>
      <w:r w:rsidRPr="00492E6B">
        <w:t>/</w:t>
      </w:r>
      <w:r>
        <w:t>RC</w:t>
      </w:r>
      <w:r w:rsidRPr="00492E6B">
        <w:t>/2020/3</w:t>
      </w:r>
      <w:r>
        <w:t>4</w:t>
      </w:r>
      <w:r w:rsidRPr="00492E6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7187" w14:textId="41889268" w:rsidR="00354D56" w:rsidRPr="00354D56" w:rsidRDefault="00B65C6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0E46">
      <w:t>ECE/TRANS/WP.15/AC.1/2020/34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8AA1" w14:textId="6392D373" w:rsidR="00354D56" w:rsidRPr="00354D56" w:rsidRDefault="00B65C6C" w:rsidP="00354D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0E46">
      <w:t>ECE/TRANS/WP.15/AC.1/2020/34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73"/>
    <w:rsid w:val="00017F94"/>
    <w:rsid w:val="00023842"/>
    <w:rsid w:val="00030E46"/>
    <w:rsid w:val="000334F9"/>
    <w:rsid w:val="00045FEB"/>
    <w:rsid w:val="0007796D"/>
    <w:rsid w:val="000B7790"/>
    <w:rsid w:val="00111F2F"/>
    <w:rsid w:val="0014365E"/>
    <w:rsid w:val="00143C66"/>
    <w:rsid w:val="00176178"/>
    <w:rsid w:val="00190683"/>
    <w:rsid w:val="001F525A"/>
    <w:rsid w:val="00223272"/>
    <w:rsid w:val="0024779E"/>
    <w:rsid w:val="00257168"/>
    <w:rsid w:val="002744B8"/>
    <w:rsid w:val="002832AC"/>
    <w:rsid w:val="002D7C93"/>
    <w:rsid w:val="00305801"/>
    <w:rsid w:val="00354D56"/>
    <w:rsid w:val="003916DE"/>
    <w:rsid w:val="00421996"/>
    <w:rsid w:val="00441C3B"/>
    <w:rsid w:val="00446FE5"/>
    <w:rsid w:val="00452396"/>
    <w:rsid w:val="004675F1"/>
    <w:rsid w:val="004837D8"/>
    <w:rsid w:val="004E2EED"/>
    <w:rsid w:val="004E468C"/>
    <w:rsid w:val="005505B7"/>
    <w:rsid w:val="00573BE5"/>
    <w:rsid w:val="00586ED3"/>
    <w:rsid w:val="00596AA9"/>
    <w:rsid w:val="006C413F"/>
    <w:rsid w:val="0071601D"/>
    <w:rsid w:val="00741E31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503F5"/>
    <w:rsid w:val="00AC3823"/>
    <w:rsid w:val="00AE323C"/>
    <w:rsid w:val="00AF0CB5"/>
    <w:rsid w:val="00B00181"/>
    <w:rsid w:val="00B00B0D"/>
    <w:rsid w:val="00B45F2E"/>
    <w:rsid w:val="00B65C6C"/>
    <w:rsid w:val="00B765F7"/>
    <w:rsid w:val="00BA0CA9"/>
    <w:rsid w:val="00C02897"/>
    <w:rsid w:val="00C72047"/>
    <w:rsid w:val="00C97039"/>
    <w:rsid w:val="00D3439C"/>
    <w:rsid w:val="00D87273"/>
    <w:rsid w:val="00DB1831"/>
    <w:rsid w:val="00DD3BFD"/>
    <w:rsid w:val="00DF6678"/>
    <w:rsid w:val="00E0299A"/>
    <w:rsid w:val="00E25C04"/>
    <w:rsid w:val="00E85C74"/>
    <w:rsid w:val="00EA6547"/>
    <w:rsid w:val="00EF2E22"/>
    <w:rsid w:val="00F35BAF"/>
    <w:rsid w:val="00F660DF"/>
    <w:rsid w:val="00F94664"/>
    <w:rsid w:val="00F9573C"/>
    <w:rsid w:val="00F95C08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5470B"/>
  <w15:docId w15:val="{27275285-772B-4258-B4BB-E88357CF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54D5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354D5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ECE/TRANS/WP.15/AC.1/2020/34</vt:lpstr>
      <vt:lpstr>ECE/TRANS/WP.15/AC.1/2020/34</vt:lpstr>
    </vt:vector>
  </TitlesOfParts>
  <Company>DCM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ECE/TRANS/WP.15/AC.1/2020/34</dc:title>
  <dc:subject/>
  <dc:creator>Julien OKRZESIK</dc:creator>
  <cp:keywords/>
  <cp:lastModifiedBy>Christine Barrio-Champeau</cp:lastModifiedBy>
  <cp:revision>2</cp:revision>
  <cp:lastPrinted>2020-01-23T11:31:00Z</cp:lastPrinted>
  <dcterms:created xsi:type="dcterms:W3CDTF">2020-01-23T12:33:00Z</dcterms:created>
  <dcterms:modified xsi:type="dcterms:W3CDTF">2020-01-23T12:33:00Z</dcterms:modified>
</cp:coreProperties>
</file>