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033C3B" w:rsidP="00033C3B">
            <w:pPr>
              <w:suppressAutoHyphens w:val="0"/>
              <w:spacing w:after="20"/>
              <w:jc w:val="right"/>
            </w:pPr>
            <w:r w:rsidRPr="00033C3B">
              <w:rPr>
                <w:sz w:val="40"/>
              </w:rPr>
              <w:t>ECE</w:t>
            </w:r>
            <w:r>
              <w:t>/TRANS/WP.15/AC.1/2020/34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fr-CH" w:eastAsia="fr-CH"/>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33C3B" w:rsidP="00033C3B">
            <w:pPr>
              <w:spacing w:before="240"/>
            </w:pPr>
            <w:r>
              <w:t>Distr.: General</w:t>
            </w:r>
          </w:p>
          <w:p w:rsidR="00033C3B" w:rsidRDefault="00033C3B" w:rsidP="00033C3B">
            <w:pPr>
              <w:suppressAutoHyphens w:val="0"/>
            </w:pPr>
            <w:r>
              <w:t>30 December 2019</w:t>
            </w:r>
          </w:p>
          <w:p w:rsidR="00033C3B" w:rsidRDefault="00033C3B" w:rsidP="00033C3B">
            <w:pPr>
              <w:suppressAutoHyphens w:val="0"/>
            </w:pPr>
            <w:r>
              <w:t>English</w:t>
            </w:r>
          </w:p>
          <w:p w:rsidR="00033C3B" w:rsidRDefault="00033C3B" w:rsidP="00033C3B">
            <w:pPr>
              <w:suppressAutoHyphens w:val="0"/>
            </w:pPr>
            <w:r>
              <w:t>Original: Russian</w:t>
            </w:r>
          </w:p>
        </w:tc>
      </w:tr>
    </w:tbl>
    <w:p w:rsidR="009C6CA8" w:rsidRDefault="009C6CA8">
      <w:pPr>
        <w:spacing w:before="120"/>
        <w:rPr>
          <w:b/>
          <w:sz w:val="28"/>
          <w:szCs w:val="28"/>
        </w:rPr>
      </w:pPr>
      <w:r>
        <w:rPr>
          <w:b/>
          <w:sz w:val="28"/>
          <w:szCs w:val="28"/>
        </w:rPr>
        <w:t>Economic Commission for Europe</w:t>
      </w:r>
    </w:p>
    <w:p w:rsidR="009C6CA8" w:rsidRDefault="009C6CA8">
      <w:pPr>
        <w:spacing w:before="120"/>
        <w:rPr>
          <w:sz w:val="28"/>
          <w:szCs w:val="28"/>
        </w:rPr>
      </w:pPr>
      <w:r>
        <w:rPr>
          <w:sz w:val="28"/>
          <w:szCs w:val="28"/>
        </w:rPr>
        <w:t>Inland Transport Committee</w:t>
      </w:r>
    </w:p>
    <w:p w:rsidR="009C6CA8" w:rsidRDefault="009C6CA8">
      <w:pPr>
        <w:spacing w:before="120"/>
        <w:rPr>
          <w:b/>
          <w:sz w:val="24"/>
          <w:szCs w:val="24"/>
        </w:rPr>
      </w:pPr>
      <w:r w:rsidRPr="009C6CA8">
        <w:rPr>
          <w:b/>
          <w:sz w:val="24"/>
          <w:szCs w:val="24"/>
        </w:rPr>
        <w:t>Working Party on the Transport of Dangerous Goods</w:t>
      </w:r>
    </w:p>
    <w:p w:rsidR="00033C3B" w:rsidRPr="009C6CA8" w:rsidRDefault="00033C3B" w:rsidP="009C6CA8">
      <w:pPr>
        <w:spacing w:before="120"/>
        <w:rPr>
          <w:b/>
          <w:bCs/>
        </w:rPr>
      </w:pPr>
      <w:r w:rsidRPr="009C6CA8">
        <w:rPr>
          <w:b/>
          <w:bCs/>
        </w:rPr>
        <w:t xml:space="preserve">Joint Meeting of the RID Committee of Experts and the </w:t>
      </w:r>
      <w:r w:rsidRPr="009C6CA8">
        <w:rPr>
          <w:b/>
          <w:bCs/>
        </w:rPr>
        <w:br/>
        <w:t>Working Party on the Transport of Dangerous Goods</w:t>
      </w:r>
    </w:p>
    <w:p w:rsidR="00033C3B" w:rsidRPr="00C9318B" w:rsidRDefault="00033C3B" w:rsidP="00033C3B">
      <w:r w:rsidRPr="00C9318B">
        <w:t>Bern, 16–20 March 2020</w:t>
      </w:r>
    </w:p>
    <w:p w:rsidR="00033C3B" w:rsidRPr="00C9318B" w:rsidRDefault="00033C3B" w:rsidP="00033C3B">
      <w:r w:rsidRPr="00C9318B">
        <w:t>Item 2 of the provisional agenda</w:t>
      </w:r>
    </w:p>
    <w:p w:rsidR="00033C3B" w:rsidRPr="009C6CA8" w:rsidRDefault="00033C3B" w:rsidP="00033C3B">
      <w:pPr>
        <w:rPr>
          <w:b/>
          <w:bCs/>
        </w:rPr>
      </w:pPr>
      <w:r w:rsidRPr="009C6CA8">
        <w:rPr>
          <w:b/>
          <w:bCs/>
        </w:rPr>
        <w:t>Tanks</w:t>
      </w:r>
    </w:p>
    <w:p w:rsidR="00033C3B" w:rsidRPr="00C9318B" w:rsidRDefault="00033C3B" w:rsidP="009C6CA8">
      <w:pPr>
        <w:pStyle w:val="HChG"/>
      </w:pPr>
      <w:r w:rsidRPr="00C9318B">
        <w:tab/>
      </w:r>
      <w:r w:rsidRPr="00C9318B">
        <w:tab/>
        <w:t>Material used in vessels carrying UN No. 2031, concentrated nitric acid (with more than 70% nitric acid) (special provision TC 6 of section 6.8.4)</w:t>
      </w:r>
    </w:p>
    <w:p w:rsidR="00033C3B" w:rsidRPr="00C9318B" w:rsidRDefault="00033C3B" w:rsidP="009C6CA8">
      <w:pPr>
        <w:pStyle w:val="H1G"/>
      </w:pPr>
      <w:r w:rsidRPr="00C9318B">
        <w:tab/>
      </w:r>
      <w:r w:rsidRPr="00C9318B">
        <w:tab/>
        <w:t>Transmitted by the Government of the Russian Federation</w:t>
      </w:r>
      <w:r w:rsidRPr="007D2F19">
        <w:rPr>
          <w:b w:val="0"/>
          <w:bCs/>
          <w:sz w:val="20"/>
          <w:szCs w:val="16"/>
        </w:rPr>
        <w:footnoteReference w:customMarkFollows="1" w:id="1"/>
        <w:t>*</w:t>
      </w:r>
      <w:r w:rsidRPr="007D2F19">
        <w:rPr>
          <w:b w:val="0"/>
          <w:bCs/>
          <w:position w:val="8"/>
          <w:sz w:val="20"/>
          <w:szCs w:val="16"/>
        </w:rPr>
        <w:t>,</w:t>
      </w:r>
      <w:r w:rsidR="007D2F19" w:rsidRPr="007D2F19">
        <w:rPr>
          <w:b w:val="0"/>
          <w:bCs/>
          <w:sz w:val="20"/>
          <w:szCs w:val="16"/>
        </w:rPr>
        <w:t xml:space="preserve"> </w:t>
      </w:r>
      <w:r w:rsidRPr="007D2F19">
        <w:rPr>
          <w:b w:val="0"/>
          <w:bCs/>
          <w:sz w:val="20"/>
          <w:szCs w:val="16"/>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29"/>
      </w:tblGrid>
      <w:tr w:rsidR="00033C3B" w:rsidRPr="00EB2C90" w:rsidTr="00C9318B">
        <w:trPr>
          <w:jc w:val="center"/>
        </w:trPr>
        <w:tc>
          <w:tcPr>
            <w:tcW w:w="9637" w:type="dxa"/>
            <w:shd w:val="clear" w:color="auto" w:fill="auto"/>
          </w:tcPr>
          <w:p w:rsidR="00033C3B" w:rsidRPr="00EB2C90" w:rsidRDefault="00033C3B" w:rsidP="00C9318B">
            <w:pPr>
              <w:spacing w:before="240" w:after="120"/>
              <w:ind w:left="255"/>
              <w:rPr>
                <w:i/>
                <w:sz w:val="24"/>
              </w:rPr>
            </w:pPr>
            <w:bookmarkStart w:id="1" w:name="_Hlk29215406"/>
            <w:r w:rsidRPr="00EB2C90">
              <w:rPr>
                <w:i/>
                <w:sz w:val="24"/>
              </w:rPr>
              <w:t>Summary</w:t>
            </w:r>
          </w:p>
        </w:tc>
      </w:tr>
      <w:tr w:rsidR="009C6CA8" w:rsidRPr="00EB2C90" w:rsidTr="00C9318B">
        <w:trPr>
          <w:jc w:val="center"/>
        </w:trPr>
        <w:tc>
          <w:tcPr>
            <w:tcW w:w="9637" w:type="dxa"/>
            <w:shd w:val="clear" w:color="auto" w:fill="auto"/>
          </w:tcPr>
          <w:p w:rsidR="009C6CA8" w:rsidRPr="00C042BA" w:rsidRDefault="009C6CA8" w:rsidP="007D2F19">
            <w:pPr>
              <w:pStyle w:val="SingleTxtG"/>
              <w:tabs>
                <w:tab w:val="left" w:pos="3667"/>
              </w:tabs>
              <w:ind w:left="3667" w:hanging="2533"/>
              <w:jc w:val="left"/>
              <w:rPr>
                <w:rStyle w:val="Hyperlink"/>
                <w:color w:val="000000" w:themeColor="text1"/>
                <w:u w:val="none"/>
              </w:rPr>
            </w:pPr>
            <w:r w:rsidRPr="007D2F19">
              <w:rPr>
                <w:rStyle w:val="Hyperlink"/>
                <w:b/>
                <w:bCs/>
                <w:color w:val="000000" w:themeColor="text1"/>
                <w:u w:val="none"/>
              </w:rPr>
              <w:t>Executive summary:</w:t>
            </w:r>
            <w:r w:rsidRPr="00C042BA">
              <w:rPr>
                <w:rStyle w:val="Hyperlink"/>
                <w:color w:val="000000" w:themeColor="text1"/>
                <w:u w:val="none"/>
              </w:rPr>
              <w:tab/>
              <w:t>The purpose of this document is to clarify the requirements for the material used in tanks for the transport of UN No. 2031, concentrated nitric acid (with more than 70% nitric acid).</w:t>
            </w:r>
          </w:p>
        </w:tc>
      </w:tr>
      <w:tr w:rsidR="009C6CA8" w:rsidRPr="00EB2C90" w:rsidTr="00C9318B">
        <w:trPr>
          <w:jc w:val="center"/>
        </w:trPr>
        <w:tc>
          <w:tcPr>
            <w:tcW w:w="9637" w:type="dxa"/>
            <w:shd w:val="clear" w:color="auto" w:fill="auto"/>
          </w:tcPr>
          <w:p w:rsidR="009C6CA8" w:rsidRPr="00C042BA" w:rsidRDefault="009C6CA8" w:rsidP="007D2F19">
            <w:pPr>
              <w:pStyle w:val="SingleTxtG"/>
              <w:tabs>
                <w:tab w:val="left" w:pos="3667"/>
              </w:tabs>
              <w:ind w:left="3667" w:hanging="2533"/>
              <w:jc w:val="left"/>
              <w:rPr>
                <w:rStyle w:val="Hyperlink"/>
                <w:color w:val="000000" w:themeColor="text1"/>
                <w:u w:val="none"/>
              </w:rPr>
            </w:pPr>
            <w:r w:rsidRPr="007D2F19">
              <w:rPr>
                <w:rStyle w:val="Hyperlink"/>
                <w:b/>
                <w:bCs/>
                <w:color w:val="000000" w:themeColor="text1"/>
                <w:u w:val="none"/>
              </w:rPr>
              <w:t>Proposed decision:</w:t>
            </w:r>
            <w:r w:rsidRPr="00C042BA">
              <w:rPr>
                <w:rStyle w:val="Hyperlink"/>
                <w:color w:val="000000" w:themeColor="text1"/>
                <w:u w:val="none"/>
              </w:rPr>
              <w:tab/>
              <w:t>Add to special provision TC 6 of section 6.8.4 a requirement that aluminium alloys may be used for the production of tank-wagon tanks.</w:t>
            </w:r>
          </w:p>
        </w:tc>
      </w:tr>
      <w:tr w:rsidR="009C6CA8" w:rsidRPr="00EB2C90" w:rsidTr="00C9318B">
        <w:trPr>
          <w:jc w:val="center"/>
        </w:trPr>
        <w:tc>
          <w:tcPr>
            <w:tcW w:w="9637" w:type="dxa"/>
            <w:shd w:val="clear" w:color="auto" w:fill="auto"/>
          </w:tcPr>
          <w:p w:rsidR="009C6CA8" w:rsidRPr="00EB2C90" w:rsidRDefault="009C6CA8" w:rsidP="009C6CA8"/>
        </w:tc>
      </w:tr>
    </w:tbl>
    <w:bookmarkEnd w:id="1"/>
    <w:p w:rsidR="009C6CA8" w:rsidRPr="00C9318B" w:rsidRDefault="009C6CA8" w:rsidP="00E83FF0">
      <w:pPr>
        <w:pStyle w:val="HChG"/>
      </w:pPr>
      <w:r w:rsidRPr="00C9318B">
        <w:tab/>
      </w:r>
      <w:r w:rsidRPr="00C9318B">
        <w:tab/>
        <w:t>Introduction</w:t>
      </w:r>
    </w:p>
    <w:p w:rsidR="009C6CA8" w:rsidRPr="00C9318B" w:rsidRDefault="009C6CA8" w:rsidP="00E83FF0">
      <w:pPr>
        <w:pStyle w:val="SingleTxtG"/>
      </w:pPr>
      <w:r w:rsidRPr="00C9318B">
        <w:t>1.</w:t>
      </w:r>
      <w:r w:rsidRPr="00C9318B">
        <w:tab/>
        <w:t xml:space="preserve">For the transport of UN No. 2031, concentrated nitric acid (with more than 70% nitric acid), different requirements for the tank material apply to tank-wagons, tank-containers and portable tanks. Tank-wagon producers are to use aluminium not less than 99.5% pure for the production of the tanks in accordance with existing requirements. The mechanical performance of aluminium of such purity is low. This leads to a significant increase in the tank wall thickness of the tank-wagon and consequently to an increase in the </w:t>
      </w:r>
      <w:r w:rsidRPr="00C9318B">
        <w:lastRenderedPageBreak/>
        <w:t>tare weight of the tank-wagon. This puts producers and users of tank-wagons in a losing situation.</w:t>
      </w:r>
    </w:p>
    <w:p w:rsidR="009C6CA8" w:rsidRPr="00C9318B" w:rsidRDefault="009C6CA8" w:rsidP="00E83FF0">
      <w:pPr>
        <w:pStyle w:val="SingleTxtG"/>
      </w:pPr>
      <w:r w:rsidRPr="00C9318B">
        <w:t>2.</w:t>
      </w:r>
      <w:r w:rsidRPr="00C9318B">
        <w:tab/>
        <w:t>The carriage of UN No. 2031, concentrated nitric acid (with more than 70% nitric acid), is governed by special provision TC 6 of section 6.8.4. Containers are to be carried in accordance with the requirements of packing instructions P 001.</w:t>
      </w:r>
    </w:p>
    <w:p w:rsidR="009C6CA8" w:rsidRPr="00C9318B" w:rsidRDefault="009C6CA8" w:rsidP="00E83FF0">
      <w:pPr>
        <w:pStyle w:val="SingleTxtG"/>
      </w:pPr>
      <w:r w:rsidRPr="00C9318B">
        <w:t>3.</w:t>
      </w:r>
      <w:r w:rsidRPr="00C9318B">
        <w:tab/>
        <w:t>The current wording of the special provision TC 6, section 6.8.4, requires that, when aluminium is used for tanks, such tanks are to be made of aluminium not less than 99.5% pure (</w:t>
      </w:r>
      <w:r w:rsidRPr="00825107">
        <w:rPr>
          <w:i/>
          <w:iCs/>
        </w:rPr>
        <w:t>emphasis</w:t>
      </w:r>
      <w:r w:rsidRPr="00C9318B">
        <w:t xml:space="preserve"> added to the relevant reference below).</w:t>
      </w:r>
    </w:p>
    <w:p w:rsidR="009C6CA8" w:rsidRPr="00C9318B" w:rsidRDefault="009C6CA8" w:rsidP="00810F30">
      <w:pPr>
        <w:pStyle w:val="SingleTxtG"/>
        <w:tabs>
          <w:tab w:val="left" w:pos="2268"/>
        </w:tabs>
        <w:ind w:left="2268" w:hanging="1134"/>
      </w:pPr>
      <w:r w:rsidRPr="00C9318B">
        <w:t>TC 6</w:t>
      </w:r>
      <w:r w:rsidRPr="00C9318B">
        <w:tab/>
        <w:t xml:space="preserve">Where the use of aluminium is necessary for tanks, such tanks </w:t>
      </w:r>
      <w:r w:rsidRPr="00825107">
        <w:rPr>
          <w:i/>
          <w:iCs/>
        </w:rPr>
        <w:t>shall be made of aluminium not less than 99.5% pure</w:t>
      </w:r>
      <w:r w:rsidRPr="00C9318B">
        <w:t>; the wall thickness need not exceed 15 mm even where calculation in accordance with 6.8.2.1.17 gives a higher value.</w:t>
      </w:r>
    </w:p>
    <w:p w:rsidR="009C6CA8" w:rsidRPr="00C9318B" w:rsidRDefault="009C6CA8" w:rsidP="00E83FF0">
      <w:pPr>
        <w:pStyle w:val="SingleTxtG"/>
      </w:pPr>
      <w:r w:rsidRPr="00C9318B">
        <w:t>4.</w:t>
      </w:r>
      <w:r w:rsidRPr="00C9318B">
        <w:tab/>
        <w:t>The existing requirements for packagings for the carriage of UN No. 2031, concentrated nitric acid (with more than 70% nitric acid)</w:t>
      </w:r>
      <w:r w:rsidR="00C77CD3">
        <w:t>,</w:t>
      </w:r>
      <w:r w:rsidRPr="00C9318B">
        <w:t xml:space="preserve"> allow for the possibility of packagings made of aluminium alloys (</w:t>
      </w:r>
      <w:r w:rsidRPr="009026BE">
        <w:rPr>
          <w:i/>
          <w:iCs/>
        </w:rPr>
        <w:t>emphasis</w:t>
      </w:r>
      <w:r w:rsidRPr="00C9318B">
        <w:t xml:space="preserve"> added to the relevant references below):</w:t>
      </w:r>
    </w:p>
    <w:p w:rsidR="009C6CA8" w:rsidRPr="00C9318B" w:rsidRDefault="009C6CA8" w:rsidP="00810F30">
      <w:pPr>
        <w:pStyle w:val="SingleTxtG"/>
        <w:tabs>
          <w:tab w:val="left" w:pos="2268"/>
        </w:tabs>
        <w:ind w:left="2268" w:hanging="1134"/>
      </w:pPr>
      <w:r w:rsidRPr="00C9318B">
        <w:t>P 001</w:t>
      </w:r>
      <w:r w:rsidRPr="00C9318B">
        <w:tab/>
        <w:t>The packing instruction allows the use of aluminium drums and aluminium jerricans.</w:t>
      </w:r>
    </w:p>
    <w:p w:rsidR="009C6CA8" w:rsidRPr="00C9318B" w:rsidRDefault="009C6CA8" w:rsidP="00810F30">
      <w:pPr>
        <w:pStyle w:val="SingleTxtG"/>
        <w:tabs>
          <w:tab w:val="left" w:pos="2268"/>
        </w:tabs>
        <w:ind w:left="2268" w:hanging="1134"/>
      </w:pPr>
      <w:r w:rsidRPr="00C9318B">
        <w:t>6.1.4.2</w:t>
      </w:r>
      <w:r w:rsidRPr="00C9318B">
        <w:tab/>
        <w:t>Aluminium drums.</w:t>
      </w:r>
    </w:p>
    <w:p w:rsidR="009C6CA8" w:rsidRPr="00C9318B" w:rsidRDefault="009C6CA8" w:rsidP="00810F30">
      <w:pPr>
        <w:pStyle w:val="SingleTxtG"/>
        <w:tabs>
          <w:tab w:val="left" w:pos="2268"/>
        </w:tabs>
        <w:ind w:left="2268" w:hanging="1134"/>
      </w:pPr>
      <w:r w:rsidRPr="00C9318B">
        <w:t>6.1.4.2.1</w:t>
      </w:r>
      <w:r w:rsidRPr="00C9318B">
        <w:tab/>
        <w:t xml:space="preserve">Body and heads </w:t>
      </w:r>
      <w:r w:rsidRPr="009026BE">
        <w:rPr>
          <w:i/>
          <w:iCs/>
        </w:rPr>
        <w:t>shall be constructed</w:t>
      </w:r>
      <w:r w:rsidRPr="00C9318B">
        <w:t xml:space="preserve"> of aluminium at least 99% pure or </w:t>
      </w:r>
      <w:r w:rsidRPr="009026BE">
        <w:rPr>
          <w:i/>
          <w:iCs/>
        </w:rPr>
        <w:t>of an aluminium base alloy</w:t>
      </w:r>
      <w:r w:rsidRPr="00C9318B">
        <w:t xml:space="preserve">. </w:t>
      </w:r>
    </w:p>
    <w:p w:rsidR="009C6CA8" w:rsidRPr="00C9318B" w:rsidRDefault="009C6CA8" w:rsidP="00810F30">
      <w:pPr>
        <w:pStyle w:val="SingleTxtG"/>
        <w:tabs>
          <w:tab w:val="left" w:pos="2268"/>
        </w:tabs>
        <w:ind w:left="2268" w:hanging="1134"/>
      </w:pPr>
      <w:r w:rsidRPr="00C9318B">
        <w:t>6.1.4.4</w:t>
      </w:r>
      <w:r w:rsidRPr="00C9318B">
        <w:tab/>
        <w:t>Steel or aluminium jerricans.</w:t>
      </w:r>
    </w:p>
    <w:p w:rsidR="009C6CA8" w:rsidRPr="00C9318B" w:rsidRDefault="009C6CA8" w:rsidP="00810F30">
      <w:pPr>
        <w:pStyle w:val="SingleTxtG"/>
        <w:tabs>
          <w:tab w:val="left" w:pos="2268"/>
        </w:tabs>
        <w:ind w:left="2268" w:hanging="1134"/>
      </w:pPr>
      <w:r w:rsidRPr="00C9318B">
        <w:t>6.1.4.4.1</w:t>
      </w:r>
      <w:r w:rsidRPr="00C9318B">
        <w:tab/>
        <w:t xml:space="preserve">Body and heads </w:t>
      </w:r>
      <w:r w:rsidRPr="009026BE">
        <w:rPr>
          <w:i/>
          <w:iCs/>
        </w:rPr>
        <w:t>shall be constructed of aluminium</w:t>
      </w:r>
      <w:r w:rsidRPr="00C9318B">
        <w:t xml:space="preserve"> at least 99% pure or </w:t>
      </w:r>
      <w:r w:rsidRPr="009026BE">
        <w:rPr>
          <w:i/>
          <w:iCs/>
        </w:rPr>
        <w:t>of an aluminium base alloy</w:t>
      </w:r>
      <w:r w:rsidRPr="00C9318B">
        <w:t xml:space="preserve">. </w:t>
      </w:r>
    </w:p>
    <w:p w:rsidR="009C6CA8" w:rsidRPr="00C9318B" w:rsidRDefault="009C6CA8" w:rsidP="00E83FF0">
      <w:pPr>
        <w:pStyle w:val="SingleTxtG"/>
      </w:pPr>
      <w:r w:rsidRPr="00C9318B">
        <w:t>5.</w:t>
      </w:r>
      <w:r w:rsidRPr="00C9318B">
        <w:tab/>
        <w:t>The existing RID version does not set any requirements for the material used for portable tanks.</w:t>
      </w:r>
    </w:p>
    <w:p w:rsidR="009C6CA8" w:rsidRPr="00C9318B" w:rsidRDefault="009C6CA8" w:rsidP="00810F30">
      <w:pPr>
        <w:pStyle w:val="HChG"/>
      </w:pPr>
      <w:r w:rsidRPr="00C9318B">
        <w:tab/>
      </w:r>
      <w:r w:rsidRPr="00C9318B">
        <w:tab/>
        <w:t>Proposals</w:t>
      </w:r>
    </w:p>
    <w:p w:rsidR="009C6CA8" w:rsidRPr="00C9318B" w:rsidRDefault="009C6CA8" w:rsidP="00E83FF0">
      <w:pPr>
        <w:pStyle w:val="SingleTxtG"/>
      </w:pPr>
      <w:r w:rsidRPr="00810F30">
        <w:rPr>
          <w:b/>
          <w:bCs/>
        </w:rPr>
        <w:t>Proposal 1</w:t>
      </w:r>
      <w:r w:rsidRPr="00C9318B">
        <w:t xml:space="preserve"> (the new wording is indicated in </w:t>
      </w:r>
      <w:r w:rsidRPr="00810F30">
        <w:rPr>
          <w:i/>
          <w:iCs/>
          <w:u w:val="single"/>
        </w:rPr>
        <w:t>underlined italics</w:t>
      </w:r>
      <w:r w:rsidRPr="00C9318B">
        <w:t>):</w:t>
      </w:r>
    </w:p>
    <w:p w:rsidR="009C6CA8" w:rsidRPr="00C9318B" w:rsidRDefault="009C6CA8" w:rsidP="00810F30">
      <w:pPr>
        <w:pStyle w:val="SingleTxtG"/>
        <w:tabs>
          <w:tab w:val="left" w:pos="2268"/>
        </w:tabs>
        <w:ind w:left="2268" w:hanging="1134"/>
      </w:pPr>
      <w:r w:rsidRPr="00C9318B">
        <w:t>TC 6</w:t>
      </w:r>
      <w:r w:rsidRPr="00C9318B">
        <w:tab/>
        <w:t xml:space="preserve">Where the use of aluminium is necessary for tanks, such tanks </w:t>
      </w:r>
      <w:r w:rsidRPr="00810F30">
        <w:rPr>
          <w:i/>
          <w:iCs/>
          <w:u w:val="single"/>
        </w:rPr>
        <w:t>shall be made of aluminium not less than 99% pure or of an aluminium base alloy</w:t>
      </w:r>
      <w:r w:rsidRPr="00C9318B">
        <w:t>; the wall thickness need not exceed 15 mm even where calculation in accordance with 6.8.2.1.17 gives a higher value.</w:t>
      </w:r>
    </w:p>
    <w:p w:rsidR="009C6CA8" w:rsidRPr="00C9318B" w:rsidRDefault="009C6CA8" w:rsidP="00810F30">
      <w:pPr>
        <w:pStyle w:val="HChG"/>
      </w:pPr>
      <w:r w:rsidRPr="00C9318B">
        <w:tab/>
      </w:r>
      <w:r w:rsidRPr="00C9318B">
        <w:tab/>
        <w:t>Justification</w:t>
      </w:r>
    </w:p>
    <w:p w:rsidR="009C6CA8" w:rsidRPr="00C9318B" w:rsidRDefault="009C6CA8" w:rsidP="00E83FF0">
      <w:pPr>
        <w:pStyle w:val="SingleTxtG"/>
      </w:pPr>
      <w:r w:rsidRPr="00C9318B">
        <w:t>6.</w:t>
      </w:r>
      <w:r w:rsidRPr="00C9318B">
        <w:tab/>
        <w:t>An analysis of existing requirements and recommendations on the use of materials for nitric acid of different concentrations was carried out covering the following:</w:t>
      </w:r>
    </w:p>
    <w:p w:rsidR="009C6CA8" w:rsidRPr="00C9318B" w:rsidRDefault="009C6CA8" w:rsidP="00810F30">
      <w:pPr>
        <w:pStyle w:val="Bullet1G"/>
      </w:pPr>
      <w:r w:rsidRPr="00C9318B">
        <w:t xml:space="preserve">Bruce D. Craig and David B. Anderson. </w:t>
      </w:r>
      <w:r w:rsidRPr="000A781D">
        <w:rPr>
          <w:i/>
          <w:iCs/>
        </w:rPr>
        <w:t>Handbook of Corrosion Data</w:t>
      </w:r>
      <w:r w:rsidRPr="00C9318B">
        <w:t>. Materials Park: ASM International, 1995, 990 pp.</w:t>
      </w:r>
    </w:p>
    <w:p w:rsidR="009C6CA8" w:rsidRPr="00C9318B" w:rsidRDefault="009C6CA8" w:rsidP="00810F30">
      <w:pPr>
        <w:pStyle w:val="Bullet1G"/>
      </w:pPr>
      <w:r w:rsidRPr="00C9318B">
        <w:t xml:space="preserve">Christian Vargel. </w:t>
      </w:r>
      <w:r w:rsidRPr="000A781D">
        <w:rPr>
          <w:i/>
          <w:iCs/>
        </w:rPr>
        <w:t>Corrosion of Aluminium</w:t>
      </w:r>
      <w:r w:rsidRPr="00C9318B">
        <w:t>. First edition. 2004, 700 pp.</w:t>
      </w:r>
    </w:p>
    <w:p w:rsidR="009C6CA8" w:rsidRPr="00C9318B" w:rsidRDefault="009C6CA8" w:rsidP="00810F30">
      <w:pPr>
        <w:pStyle w:val="Bullet1G"/>
      </w:pPr>
      <w:r w:rsidRPr="00C9318B">
        <w:t xml:space="preserve">Stephen D. Cramer and Bernard S. Covino, eds. </w:t>
      </w:r>
      <w:r w:rsidRPr="000A781D">
        <w:rPr>
          <w:i/>
          <w:iCs/>
        </w:rPr>
        <w:t>ASM Handbook, Volume 13C: Corrosion – Environments and Industries</w:t>
      </w:r>
      <w:r w:rsidRPr="00C9318B">
        <w:t>. 2006, 1,342 pp.</w:t>
      </w:r>
    </w:p>
    <w:p w:rsidR="009C6CA8" w:rsidRPr="00C9318B" w:rsidRDefault="009C6CA8" w:rsidP="00810F30">
      <w:pPr>
        <w:pStyle w:val="Bullet1G"/>
      </w:pPr>
      <w:r w:rsidRPr="00C9318B">
        <w:t xml:space="preserve">J.R. Davis. </w:t>
      </w:r>
      <w:r w:rsidRPr="000A781D">
        <w:rPr>
          <w:i/>
          <w:iCs/>
        </w:rPr>
        <w:t>Corrosion of Aluminium and Aluminium Alloys</w:t>
      </w:r>
      <w:r w:rsidRPr="00C9318B">
        <w:t>. ASM International. 1999, 313 pp.</w:t>
      </w:r>
    </w:p>
    <w:p w:rsidR="009C6CA8" w:rsidRPr="00C9318B" w:rsidRDefault="009C6CA8" w:rsidP="00810F30">
      <w:pPr>
        <w:pStyle w:val="Bullet1G"/>
      </w:pPr>
      <w:r w:rsidRPr="00C9318B">
        <w:t xml:space="preserve">M.B. Altman, Y.P. Arbuzov, B.I. Babichev et al. </w:t>
      </w:r>
      <w:r w:rsidRPr="000A781D">
        <w:rPr>
          <w:i/>
          <w:iCs/>
        </w:rPr>
        <w:t>Alyuminievye cplavy. Primenenie alyuminievykh splavy</w:t>
      </w:r>
      <w:r w:rsidRPr="00C9318B">
        <w:t xml:space="preserve"> (Aluminium alloys: the use of aluminium alloys). Reference manual. Moscow: Metallurgia, 1973, 408 pp.</w:t>
      </w:r>
    </w:p>
    <w:p w:rsidR="009C6CA8" w:rsidRPr="00C9318B" w:rsidRDefault="009C6CA8" w:rsidP="00810F30">
      <w:pPr>
        <w:pStyle w:val="Bullet1G"/>
      </w:pPr>
      <w:r w:rsidRPr="00C9318B">
        <w:lastRenderedPageBreak/>
        <w:t xml:space="preserve">V.P. Barannik. </w:t>
      </w:r>
      <w:r w:rsidRPr="000A781D">
        <w:rPr>
          <w:i/>
          <w:iCs/>
        </w:rPr>
        <w:t>Kratky spravochnik po korrozii</w:t>
      </w:r>
      <w:r w:rsidRPr="00C9318B">
        <w:t xml:space="preserve"> (Brief guide to corrosion: chemical resistance of materials). Moscow: Goskhimizdat, 1953, 456 pp.</w:t>
      </w:r>
    </w:p>
    <w:p w:rsidR="009C6CA8" w:rsidRPr="00C9318B" w:rsidRDefault="009C6CA8" w:rsidP="00810F30">
      <w:pPr>
        <w:pStyle w:val="Bullet1G"/>
      </w:pPr>
      <w:r w:rsidRPr="00C9318B">
        <w:t xml:space="preserve">V.M. Beletsky and G.A. Krivov </w:t>
      </w:r>
      <w:r w:rsidRPr="006F1130">
        <w:rPr>
          <w:i/>
          <w:iCs/>
        </w:rPr>
        <w:t>Alyuminievye splavy (sostav, svoistva, tekhnologiya, primenenie)</w:t>
      </w:r>
      <w:r w:rsidRPr="00C9318B">
        <w:t xml:space="preserve"> (Aluminium alloys: composition, properties, technology, application). </w:t>
      </w:r>
      <w:r w:rsidRPr="00C77CD3">
        <w:rPr>
          <w:i/>
          <w:iCs/>
        </w:rPr>
        <w:t>Guide</w:t>
      </w:r>
      <w:r w:rsidRPr="00C9318B">
        <w:t>. 2005, 365 pp.</w:t>
      </w:r>
    </w:p>
    <w:p w:rsidR="009C6CA8" w:rsidRPr="00C9318B" w:rsidRDefault="009C6CA8" w:rsidP="00810F30">
      <w:pPr>
        <w:pStyle w:val="Bullet1G"/>
      </w:pPr>
      <w:r w:rsidRPr="00C9318B">
        <w:t xml:space="preserve">G.Y. Vorobieva. </w:t>
      </w:r>
      <w:r w:rsidRPr="006F1130">
        <w:rPr>
          <w:i/>
          <w:iCs/>
        </w:rPr>
        <w:t>Korrozionnaya stoikost materialov v agressivnykh sredakh khimicheskikh proizvodstv</w:t>
      </w:r>
      <w:r w:rsidRPr="00C9318B">
        <w:t xml:space="preserve"> (Corrosion resistance of materials in aggressive chemical industry environments). Moscow: Khimiya, 1975, 816 pp.</w:t>
      </w:r>
    </w:p>
    <w:p w:rsidR="009C6CA8" w:rsidRPr="00C9318B" w:rsidRDefault="009C6CA8" w:rsidP="00810F30">
      <w:pPr>
        <w:pStyle w:val="Bullet1G"/>
      </w:pPr>
      <w:r w:rsidRPr="00C9318B">
        <w:t xml:space="preserve">V.N. Dyatlova, I.M. Zolotnitsky and N.A. Dollezhal. </w:t>
      </w:r>
      <w:r w:rsidRPr="006F1130">
        <w:rPr>
          <w:i/>
          <w:iCs/>
        </w:rPr>
        <w:t>Korrozionnaya i khimicheskaya stoikost materialov</w:t>
      </w:r>
      <w:r w:rsidRPr="00C9318B">
        <w:t xml:space="preserve"> (Corrosion and chemical resistance of materials). </w:t>
      </w:r>
      <w:r w:rsidRPr="006F1130">
        <w:rPr>
          <w:i/>
          <w:iCs/>
        </w:rPr>
        <w:t>Guide</w:t>
      </w:r>
      <w:r w:rsidRPr="00C9318B">
        <w:t>. Moscow: MASHGIZ, 1954, 570 pp.</w:t>
      </w:r>
    </w:p>
    <w:p w:rsidR="009C6CA8" w:rsidRPr="00C9318B" w:rsidRDefault="009C6CA8" w:rsidP="00810F30">
      <w:pPr>
        <w:pStyle w:val="Bullet1G"/>
      </w:pPr>
      <w:r w:rsidRPr="00C9318B">
        <w:t xml:space="preserve">A.S. Zubchenko and Y.V. Kashirsky </w:t>
      </w:r>
      <w:r w:rsidRPr="006F1130">
        <w:rPr>
          <w:i/>
          <w:iCs/>
        </w:rPr>
        <w:t>Marochnik stalei i splavov</w:t>
      </w:r>
      <w:r w:rsidRPr="00C9318B">
        <w:t xml:space="preserve"> (Steel and alloy grade guide). 2014, 1</w:t>
      </w:r>
      <w:r w:rsidR="00C77CD3">
        <w:t>,</w:t>
      </w:r>
      <w:r w:rsidRPr="00C9318B">
        <w:t>216 pp.</w:t>
      </w:r>
    </w:p>
    <w:p w:rsidR="009C6CA8" w:rsidRPr="00C9318B" w:rsidRDefault="009C6CA8" w:rsidP="00810F30">
      <w:pPr>
        <w:pStyle w:val="Bullet1G"/>
      </w:pPr>
      <w:r w:rsidRPr="00C9318B">
        <w:t xml:space="preserve">K. Rachev and S. Stefanova </w:t>
      </w:r>
      <w:r w:rsidRPr="006F1130">
        <w:rPr>
          <w:i/>
          <w:iCs/>
        </w:rPr>
        <w:t>Spravochnik po korrozii</w:t>
      </w:r>
      <w:r w:rsidRPr="00C9318B">
        <w:t xml:space="preserve"> (Guide to corrosion), translated from Bulgarian, S.I. Neikovsky, translator. I.I. Isaev, ed., with a foreword. Moscow: Mir, 1982, 520 pp.</w:t>
      </w:r>
    </w:p>
    <w:p w:rsidR="009C6CA8" w:rsidRPr="00C9318B" w:rsidRDefault="009C6CA8" w:rsidP="00810F30">
      <w:pPr>
        <w:pStyle w:val="Bullet1G"/>
      </w:pPr>
      <w:r w:rsidRPr="00C9318B">
        <w:t xml:space="preserve">D.G. Tufanov </w:t>
      </w:r>
      <w:r w:rsidRPr="001257CC">
        <w:rPr>
          <w:i/>
          <w:iCs/>
        </w:rPr>
        <w:t>Korrozionnaya stoikost nerzhaveyushchikh stalei, splavov i chisykh metallov</w:t>
      </w:r>
      <w:r w:rsidRPr="00C9318B">
        <w:t xml:space="preserve"> (Corrosion resistance of stainless steels, alloys and pure metals). </w:t>
      </w:r>
      <w:r w:rsidRPr="001257CC">
        <w:rPr>
          <w:i/>
          <w:iCs/>
        </w:rPr>
        <w:t>Guide</w:t>
      </w:r>
      <w:r w:rsidRPr="00C9318B">
        <w:t>. Moscow: Metallurgia, 1990, 320 pp.</w:t>
      </w:r>
    </w:p>
    <w:p w:rsidR="009C6CA8" w:rsidRPr="00C9318B" w:rsidRDefault="009C6CA8" w:rsidP="00E83FF0">
      <w:pPr>
        <w:pStyle w:val="SingleTxtG"/>
      </w:pPr>
      <w:r w:rsidRPr="00C9318B">
        <w:t>7.</w:t>
      </w:r>
      <w:r w:rsidRPr="00C9318B">
        <w:tab/>
        <w:t>The following can be pointed out from the analysis of the foregoing Russian and international literature:</w:t>
      </w:r>
    </w:p>
    <w:p w:rsidR="009C6CA8" w:rsidRPr="00C9318B" w:rsidRDefault="009C6CA8" w:rsidP="00C11595">
      <w:pPr>
        <w:pStyle w:val="Bullet1G"/>
      </w:pPr>
      <w:r w:rsidRPr="00C9318B">
        <w:t>Aluminium or aluminium alloys, including the Al-Mn and Al-Mg alloying systems, may be recommended for high concentrations of nitric acid.</w:t>
      </w:r>
    </w:p>
    <w:p w:rsidR="009C6CA8" w:rsidRPr="00C9318B" w:rsidRDefault="009C6CA8" w:rsidP="00C11595">
      <w:pPr>
        <w:pStyle w:val="Bullet1G"/>
      </w:pPr>
      <w:r w:rsidRPr="00C9318B">
        <w:t>A “satisfactory” corrosion rate (comparable to an aluminium purity of at least 99.5%) can be achieved with an aluminium alloy content of at least 91%.</w:t>
      </w:r>
    </w:p>
    <w:p w:rsidR="009C6CA8" w:rsidRPr="00C9318B" w:rsidRDefault="009C6CA8" w:rsidP="00A50B14">
      <w:pPr>
        <w:pStyle w:val="SingleTxtG"/>
        <w:spacing w:after="240"/>
      </w:pPr>
      <w:r w:rsidRPr="00C9318B">
        <w:t>8.</w:t>
      </w:r>
      <w:r w:rsidRPr="00C9318B">
        <w:tab/>
        <w:t>Laboratory studies were carried out to determine the rate of total corrosion of various aluminium alloys in a 99% nitric acid environment. AD0 aluminium (with Al ≥ 99.5%) was used as the reference. The results obtained from the tests on the aluminium alloys from the Al-Mn and Al-Mg alloying systems corroborated the information contained in the Russian and international literature. With proper selection of an alloy (alloying), its corrosion rate in high-concentration nitric acid can be comparable to AD0 aluminium (with Al &gt; 99.5%):</w:t>
      </w:r>
    </w:p>
    <w:tbl>
      <w:tblPr>
        <w:tblW w:w="7370" w:type="dxa"/>
        <w:tblInd w:w="1134"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1153"/>
        <w:gridCol w:w="2911"/>
        <w:gridCol w:w="3306"/>
      </w:tblGrid>
      <w:tr w:rsidR="00C11595" w:rsidRPr="00C11595" w:rsidTr="00C11595">
        <w:trPr>
          <w:trHeight w:val="20"/>
          <w:tblHeader/>
        </w:trPr>
        <w:tc>
          <w:tcPr>
            <w:tcW w:w="782" w:type="pct"/>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rsidR="009C6CA8" w:rsidRPr="00C11595" w:rsidRDefault="009C6CA8" w:rsidP="00C11595">
            <w:pPr>
              <w:pStyle w:val="SingleTxtG"/>
              <w:suppressAutoHyphens w:val="0"/>
              <w:spacing w:before="80" w:after="80" w:line="200" w:lineRule="exact"/>
              <w:ind w:left="0" w:right="113"/>
              <w:jc w:val="left"/>
              <w:rPr>
                <w:i/>
                <w:sz w:val="16"/>
              </w:rPr>
            </w:pPr>
            <w:r w:rsidRPr="00C11595">
              <w:rPr>
                <w:i/>
                <w:sz w:val="16"/>
              </w:rPr>
              <w:t>Alloy</w:t>
            </w:r>
          </w:p>
        </w:tc>
        <w:tc>
          <w:tcPr>
            <w:tcW w:w="1975" w:type="pct"/>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rsidR="009C6CA8" w:rsidRPr="00C11595" w:rsidRDefault="009C6CA8" w:rsidP="00C11595">
            <w:pPr>
              <w:pStyle w:val="SingleTxtG"/>
              <w:suppressAutoHyphens w:val="0"/>
              <w:spacing w:before="80" w:after="80" w:line="200" w:lineRule="exact"/>
              <w:ind w:left="0" w:right="113"/>
              <w:jc w:val="right"/>
              <w:rPr>
                <w:i/>
                <w:sz w:val="16"/>
              </w:rPr>
            </w:pPr>
            <w:r w:rsidRPr="00C11595">
              <w:rPr>
                <w:i/>
                <w:sz w:val="16"/>
              </w:rPr>
              <w:t>Aluminium content (%)</w:t>
            </w:r>
          </w:p>
        </w:tc>
        <w:tc>
          <w:tcPr>
            <w:tcW w:w="2243" w:type="pct"/>
            <w:tcBorders>
              <w:top w:val="single" w:sz="4" w:space="0" w:color="auto"/>
              <w:bottom w:val="single" w:sz="12" w:space="0" w:color="auto"/>
            </w:tcBorders>
            <w:shd w:val="clear" w:color="auto" w:fill="auto"/>
            <w:tcMar>
              <w:top w:w="72" w:type="dxa"/>
              <w:left w:w="144" w:type="dxa"/>
              <w:bottom w:w="72" w:type="dxa"/>
              <w:right w:w="144" w:type="dxa"/>
            </w:tcMar>
            <w:vAlign w:val="bottom"/>
            <w:hideMark/>
          </w:tcPr>
          <w:p w:rsidR="009C6CA8" w:rsidRPr="00C11595" w:rsidRDefault="009C6CA8" w:rsidP="00C11595">
            <w:pPr>
              <w:pStyle w:val="SingleTxtG"/>
              <w:suppressAutoHyphens w:val="0"/>
              <w:spacing w:before="80" w:after="80" w:line="200" w:lineRule="exact"/>
              <w:ind w:left="0" w:right="113"/>
              <w:jc w:val="right"/>
              <w:rPr>
                <w:i/>
                <w:sz w:val="16"/>
              </w:rPr>
            </w:pPr>
            <w:r w:rsidRPr="00C11595">
              <w:rPr>
                <w:i/>
                <w:sz w:val="16"/>
              </w:rPr>
              <w:t>Corrosion rate in 99% HNO3, mm/year</w:t>
            </w:r>
          </w:p>
        </w:tc>
      </w:tr>
      <w:tr w:rsidR="00C11595" w:rsidRPr="00C11595" w:rsidTr="00C11595">
        <w:trPr>
          <w:trHeight w:val="20"/>
        </w:trPr>
        <w:tc>
          <w:tcPr>
            <w:tcW w:w="782" w:type="pct"/>
            <w:tcBorders>
              <w:top w:val="single" w:sz="12" w:space="0" w:color="auto"/>
            </w:tcBorders>
            <w:shd w:val="clear" w:color="auto" w:fill="auto"/>
            <w:tcMar>
              <w:top w:w="72" w:type="dxa"/>
              <w:left w:w="144" w:type="dxa"/>
              <w:bottom w:w="72" w:type="dxa"/>
              <w:right w:w="144" w:type="dxa"/>
            </w:tcMar>
            <w:hideMark/>
          </w:tcPr>
          <w:p w:rsidR="009C6CA8" w:rsidRPr="00C11595" w:rsidRDefault="009C6CA8" w:rsidP="00C11595">
            <w:pPr>
              <w:pStyle w:val="SingleTxtG"/>
              <w:suppressAutoHyphens w:val="0"/>
              <w:spacing w:before="40" w:after="40" w:line="220" w:lineRule="exact"/>
              <w:ind w:left="0" w:right="113"/>
              <w:jc w:val="left"/>
              <w:rPr>
                <w:sz w:val="18"/>
              </w:rPr>
            </w:pPr>
            <w:r w:rsidRPr="00C11595">
              <w:rPr>
                <w:sz w:val="18"/>
              </w:rPr>
              <w:t>AD0</w:t>
            </w:r>
          </w:p>
        </w:tc>
        <w:tc>
          <w:tcPr>
            <w:tcW w:w="1975" w:type="pct"/>
            <w:tcBorders>
              <w:top w:val="single" w:sz="12" w:space="0" w:color="auto"/>
            </w:tcBorders>
            <w:shd w:val="clear" w:color="auto" w:fill="auto"/>
            <w:tcMar>
              <w:top w:w="72" w:type="dxa"/>
              <w:left w:w="144" w:type="dxa"/>
              <w:bottom w:w="72" w:type="dxa"/>
              <w:right w:w="144" w:type="dxa"/>
            </w:tcMar>
            <w:vAlign w:val="bottom"/>
            <w:hideMark/>
          </w:tcPr>
          <w:p w:rsidR="009C6CA8" w:rsidRPr="00C11595" w:rsidRDefault="009C6CA8" w:rsidP="00C11595">
            <w:pPr>
              <w:pStyle w:val="SingleTxtG"/>
              <w:suppressAutoHyphens w:val="0"/>
              <w:spacing w:before="40" w:after="40" w:line="220" w:lineRule="exact"/>
              <w:ind w:left="0" w:right="113"/>
              <w:jc w:val="right"/>
              <w:rPr>
                <w:sz w:val="18"/>
              </w:rPr>
            </w:pPr>
            <w:r w:rsidRPr="00C11595">
              <w:rPr>
                <w:sz w:val="18"/>
              </w:rPr>
              <w:t>99.5</w:t>
            </w:r>
          </w:p>
        </w:tc>
        <w:tc>
          <w:tcPr>
            <w:tcW w:w="2243" w:type="pct"/>
            <w:tcBorders>
              <w:top w:val="single" w:sz="12" w:space="0" w:color="auto"/>
            </w:tcBorders>
            <w:shd w:val="clear" w:color="auto" w:fill="auto"/>
            <w:tcMar>
              <w:top w:w="72" w:type="dxa"/>
              <w:left w:w="144" w:type="dxa"/>
              <w:bottom w:w="72" w:type="dxa"/>
              <w:right w:w="144" w:type="dxa"/>
            </w:tcMar>
            <w:vAlign w:val="bottom"/>
            <w:hideMark/>
          </w:tcPr>
          <w:p w:rsidR="009C6CA8" w:rsidRPr="00C11595" w:rsidRDefault="009C6CA8" w:rsidP="00C11595">
            <w:pPr>
              <w:pStyle w:val="SingleTxtG"/>
              <w:suppressAutoHyphens w:val="0"/>
              <w:spacing w:before="40" w:after="40" w:line="220" w:lineRule="exact"/>
              <w:ind w:left="0" w:right="113"/>
              <w:jc w:val="right"/>
              <w:rPr>
                <w:sz w:val="18"/>
              </w:rPr>
            </w:pPr>
            <w:r w:rsidRPr="00C11595">
              <w:rPr>
                <w:sz w:val="18"/>
              </w:rPr>
              <w:t>0.02</w:t>
            </w:r>
          </w:p>
        </w:tc>
      </w:tr>
      <w:tr w:rsidR="00C11595" w:rsidRPr="00C11595" w:rsidTr="00C11595">
        <w:trPr>
          <w:trHeight w:val="20"/>
        </w:trPr>
        <w:tc>
          <w:tcPr>
            <w:tcW w:w="782" w:type="pct"/>
            <w:shd w:val="clear" w:color="auto" w:fill="auto"/>
            <w:tcMar>
              <w:top w:w="72" w:type="dxa"/>
              <w:left w:w="144" w:type="dxa"/>
              <w:bottom w:w="72" w:type="dxa"/>
              <w:right w:w="144" w:type="dxa"/>
            </w:tcMar>
            <w:hideMark/>
          </w:tcPr>
          <w:p w:rsidR="009C6CA8" w:rsidRPr="00C11595" w:rsidRDefault="009C6CA8" w:rsidP="00C11595">
            <w:pPr>
              <w:pStyle w:val="SingleTxtG"/>
              <w:suppressAutoHyphens w:val="0"/>
              <w:spacing w:before="40" w:after="40" w:line="220" w:lineRule="exact"/>
              <w:ind w:left="0" w:right="113"/>
              <w:jc w:val="left"/>
              <w:rPr>
                <w:sz w:val="18"/>
              </w:rPr>
            </w:pPr>
            <w:r w:rsidRPr="00C11595">
              <w:rPr>
                <w:sz w:val="18"/>
              </w:rPr>
              <w:t>Al-Mn</w:t>
            </w:r>
          </w:p>
        </w:tc>
        <w:tc>
          <w:tcPr>
            <w:tcW w:w="1975" w:type="pct"/>
            <w:shd w:val="clear" w:color="auto" w:fill="auto"/>
            <w:tcMar>
              <w:top w:w="72" w:type="dxa"/>
              <w:left w:w="144" w:type="dxa"/>
              <w:bottom w:w="72" w:type="dxa"/>
              <w:right w:w="144" w:type="dxa"/>
            </w:tcMar>
            <w:vAlign w:val="bottom"/>
            <w:hideMark/>
          </w:tcPr>
          <w:p w:rsidR="009C6CA8" w:rsidRPr="00C11595" w:rsidRDefault="009C6CA8" w:rsidP="00C11595">
            <w:pPr>
              <w:pStyle w:val="SingleTxtG"/>
              <w:suppressAutoHyphens w:val="0"/>
              <w:spacing w:before="40" w:after="40" w:line="220" w:lineRule="exact"/>
              <w:ind w:left="0" w:right="113"/>
              <w:jc w:val="right"/>
              <w:rPr>
                <w:sz w:val="18"/>
              </w:rPr>
            </w:pPr>
            <w:r w:rsidRPr="00C11595">
              <w:rPr>
                <w:sz w:val="18"/>
              </w:rPr>
              <w:t>97.7</w:t>
            </w:r>
          </w:p>
        </w:tc>
        <w:tc>
          <w:tcPr>
            <w:tcW w:w="2243" w:type="pct"/>
            <w:shd w:val="clear" w:color="auto" w:fill="auto"/>
            <w:tcMar>
              <w:top w:w="72" w:type="dxa"/>
              <w:left w:w="144" w:type="dxa"/>
              <w:bottom w:w="72" w:type="dxa"/>
              <w:right w:w="144" w:type="dxa"/>
            </w:tcMar>
            <w:vAlign w:val="bottom"/>
            <w:hideMark/>
          </w:tcPr>
          <w:p w:rsidR="009C6CA8" w:rsidRPr="00C11595" w:rsidRDefault="009C6CA8" w:rsidP="00C11595">
            <w:pPr>
              <w:pStyle w:val="SingleTxtG"/>
              <w:suppressAutoHyphens w:val="0"/>
              <w:spacing w:before="40" w:after="40" w:line="220" w:lineRule="exact"/>
              <w:ind w:left="0" w:right="113"/>
              <w:jc w:val="right"/>
              <w:rPr>
                <w:sz w:val="18"/>
              </w:rPr>
            </w:pPr>
            <w:r w:rsidRPr="00C11595">
              <w:rPr>
                <w:sz w:val="18"/>
              </w:rPr>
              <w:t>0.02</w:t>
            </w:r>
          </w:p>
        </w:tc>
      </w:tr>
      <w:tr w:rsidR="00C11595" w:rsidRPr="00C11595" w:rsidTr="00C11595">
        <w:trPr>
          <w:trHeight w:val="20"/>
        </w:trPr>
        <w:tc>
          <w:tcPr>
            <w:tcW w:w="782" w:type="pct"/>
            <w:shd w:val="clear" w:color="auto" w:fill="auto"/>
            <w:tcMar>
              <w:top w:w="72" w:type="dxa"/>
              <w:left w:w="144" w:type="dxa"/>
              <w:bottom w:w="72" w:type="dxa"/>
              <w:right w:w="144" w:type="dxa"/>
            </w:tcMar>
            <w:hideMark/>
          </w:tcPr>
          <w:p w:rsidR="009C6CA8" w:rsidRPr="00C11595" w:rsidRDefault="009C6CA8" w:rsidP="00C11595">
            <w:pPr>
              <w:pStyle w:val="SingleTxtG"/>
              <w:suppressAutoHyphens w:val="0"/>
              <w:spacing w:before="40" w:after="40" w:line="220" w:lineRule="exact"/>
              <w:ind w:left="0" w:right="113"/>
              <w:jc w:val="left"/>
              <w:rPr>
                <w:sz w:val="18"/>
              </w:rPr>
            </w:pPr>
            <w:r w:rsidRPr="00C11595">
              <w:rPr>
                <w:sz w:val="18"/>
              </w:rPr>
              <w:t>Al-Mn</w:t>
            </w:r>
          </w:p>
        </w:tc>
        <w:tc>
          <w:tcPr>
            <w:tcW w:w="1975" w:type="pct"/>
            <w:shd w:val="clear" w:color="auto" w:fill="auto"/>
            <w:tcMar>
              <w:top w:w="72" w:type="dxa"/>
              <w:left w:w="144" w:type="dxa"/>
              <w:bottom w:w="72" w:type="dxa"/>
              <w:right w:w="144" w:type="dxa"/>
            </w:tcMar>
            <w:vAlign w:val="bottom"/>
            <w:hideMark/>
          </w:tcPr>
          <w:p w:rsidR="009C6CA8" w:rsidRPr="00C11595" w:rsidRDefault="009C6CA8" w:rsidP="00C11595">
            <w:pPr>
              <w:pStyle w:val="SingleTxtG"/>
              <w:suppressAutoHyphens w:val="0"/>
              <w:spacing w:before="40" w:after="40" w:line="220" w:lineRule="exact"/>
              <w:ind w:left="0" w:right="113"/>
              <w:jc w:val="right"/>
              <w:rPr>
                <w:sz w:val="18"/>
              </w:rPr>
            </w:pPr>
            <w:r w:rsidRPr="00C11595">
              <w:rPr>
                <w:sz w:val="18"/>
              </w:rPr>
              <w:t>98.0</w:t>
            </w:r>
          </w:p>
        </w:tc>
        <w:tc>
          <w:tcPr>
            <w:tcW w:w="2243" w:type="pct"/>
            <w:shd w:val="clear" w:color="auto" w:fill="auto"/>
            <w:tcMar>
              <w:top w:w="72" w:type="dxa"/>
              <w:left w:w="144" w:type="dxa"/>
              <w:bottom w:w="72" w:type="dxa"/>
              <w:right w:w="144" w:type="dxa"/>
            </w:tcMar>
            <w:vAlign w:val="bottom"/>
            <w:hideMark/>
          </w:tcPr>
          <w:p w:rsidR="009C6CA8" w:rsidRPr="00C11595" w:rsidRDefault="009C6CA8" w:rsidP="00C11595">
            <w:pPr>
              <w:pStyle w:val="SingleTxtG"/>
              <w:suppressAutoHyphens w:val="0"/>
              <w:spacing w:before="40" w:after="40" w:line="220" w:lineRule="exact"/>
              <w:ind w:left="0" w:right="113"/>
              <w:jc w:val="right"/>
              <w:rPr>
                <w:sz w:val="18"/>
              </w:rPr>
            </w:pPr>
            <w:r w:rsidRPr="00C11595">
              <w:rPr>
                <w:sz w:val="18"/>
              </w:rPr>
              <w:t>0.03</w:t>
            </w:r>
          </w:p>
        </w:tc>
      </w:tr>
      <w:tr w:rsidR="00C11595" w:rsidRPr="00C11595" w:rsidTr="00C11595">
        <w:trPr>
          <w:trHeight w:val="20"/>
        </w:trPr>
        <w:tc>
          <w:tcPr>
            <w:tcW w:w="782" w:type="pct"/>
            <w:shd w:val="clear" w:color="auto" w:fill="auto"/>
            <w:tcMar>
              <w:top w:w="72" w:type="dxa"/>
              <w:left w:w="144" w:type="dxa"/>
              <w:bottom w:w="72" w:type="dxa"/>
              <w:right w:w="144" w:type="dxa"/>
            </w:tcMar>
            <w:hideMark/>
          </w:tcPr>
          <w:p w:rsidR="009C6CA8" w:rsidRPr="00C11595" w:rsidRDefault="009C6CA8" w:rsidP="00340BD7">
            <w:pPr>
              <w:pStyle w:val="SingleTxtG"/>
              <w:suppressAutoHyphens w:val="0"/>
              <w:spacing w:before="40" w:after="40" w:line="220" w:lineRule="exact"/>
              <w:ind w:left="0" w:right="113"/>
              <w:jc w:val="left"/>
              <w:rPr>
                <w:sz w:val="18"/>
              </w:rPr>
            </w:pPr>
            <w:r w:rsidRPr="00C11595">
              <w:rPr>
                <w:sz w:val="18"/>
              </w:rPr>
              <w:t>Al-Mg</w:t>
            </w:r>
          </w:p>
        </w:tc>
        <w:tc>
          <w:tcPr>
            <w:tcW w:w="1975" w:type="pct"/>
            <w:shd w:val="clear" w:color="auto" w:fill="auto"/>
            <w:tcMar>
              <w:top w:w="72" w:type="dxa"/>
              <w:left w:w="144" w:type="dxa"/>
              <w:bottom w:w="72" w:type="dxa"/>
              <w:right w:w="144" w:type="dxa"/>
            </w:tcMar>
            <w:vAlign w:val="bottom"/>
            <w:hideMark/>
          </w:tcPr>
          <w:p w:rsidR="009C6CA8" w:rsidRPr="00C11595" w:rsidRDefault="009C6CA8" w:rsidP="00C11595">
            <w:pPr>
              <w:pStyle w:val="SingleTxtG"/>
              <w:suppressAutoHyphens w:val="0"/>
              <w:spacing w:before="40" w:after="40" w:line="220" w:lineRule="exact"/>
              <w:ind w:left="0" w:right="113"/>
              <w:jc w:val="right"/>
              <w:rPr>
                <w:sz w:val="18"/>
              </w:rPr>
            </w:pPr>
            <w:r w:rsidRPr="00C11595">
              <w:rPr>
                <w:sz w:val="18"/>
              </w:rPr>
              <w:t>96.7</w:t>
            </w:r>
          </w:p>
        </w:tc>
        <w:tc>
          <w:tcPr>
            <w:tcW w:w="2243" w:type="pct"/>
            <w:shd w:val="clear" w:color="auto" w:fill="auto"/>
            <w:tcMar>
              <w:top w:w="72" w:type="dxa"/>
              <w:left w:w="144" w:type="dxa"/>
              <w:bottom w:w="72" w:type="dxa"/>
              <w:right w:w="144" w:type="dxa"/>
            </w:tcMar>
            <w:vAlign w:val="bottom"/>
            <w:hideMark/>
          </w:tcPr>
          <w:p w:rsidR="009C6CA8" w:rsidRPr="00C11595" w:rsidRDefault="009C6CA8" w:rsidP="00C11595">
            <w:pPr>
              <w:pStyle w:val="SingleTxtG"/>
              <w:suppressAutoHyphens w:val="0"/>
              <w:spacing w:before="40" w:after="40" w:line="220" w:lineRule="exact"/>
              <w:ind w:left="0" w:right="113"/>
              <w:jc w:val="right"/>
              <w:rPr>
                <w:sz w:val="18"/>
              </w:rPr>
            </w:pPr>
            <w:r w:rsidRPr="00C11595">
              <w:rPr>
                <w:sz w:val="18"/>
              </w:rPr>
              <w:t>0.04</w:t>
            </w:r>
          </w:p>
        </w:tc>
      </w:tr>
    </w:tbl>
    <w:p w:rsidR="007268F9" w:rsidRDefault="009C6CA8" w:rsidP="00C11595">
      <w:pPr>
        <w:pStyle w:val="SingleTxtG"/>
        <w:spacing w:before="240"/>
      </w:pPr>
      <w:r w:rsidRPr="00C9318B">
        <w:t>9.</w:t>
      </w:r>
      <w:r w:rsidRPr="00C9318B">
        <w:tab/>
        <w:t>It is proposed to allow the possibility of producing tanks of tank-wagons for the carriage of UN No. 2031, strong nitric acid (with more than 70% nitric acid), from aluminium alloys similar to the requirements that apply to packagings.</w:t>
      </w:r>
    </w:p>
    <w:p w:rsidR="001606D0" w:rsidRPr="00342AC8" w:rsidRDefault="001606D0" w:rsidP="001606D0">
      <w:pPr>
        <w:pStyle w:val="SingleTxtG"/>
        <w:spacing w:before="240" w:after="0"/>
        <w:jc w:val="center"/>
      </w:pPr>
      <w:r>
        <w:rPr>
          <w:u w:val="single"/>
        </w:rPr>
        <w:tab/>
      </w:r>
      <w:r>
        <w:rPr>
          <w:u w:val="single"/>
        </w:rPr>
        <w:tab/>
      </w:r>
      <w:r>
        <w:rPr>
          <w:u w:val="single"/>
        </w:rPr>
        <w:tab/>
      </w:r>
    </w:p>
    <w:sectPr w:rsidR="001606D0" w:rsidRPr="00342AC8"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CCD" w:rsidRPr="00FB1744" w:rsidRDefault="00984CCD" w:rsidP="00FB1744">
      <w:pPr>
        <w:pStyle w:val="Footer"/>
      </w:pPr>
    </w:p>
  </w:endnote>
  <w:endnote w:type="continuationSeparator" w:id="0">
    <w:p w:rsidR="00984CCD" w:rsidRPr="00FB1744" w:rsidRDefault="00984CC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C3B" w:rsidRDefault="00033C3B" w:rsidP="00033C3B">
    <w:pPr>
      <w:pStyle w:val="Footer"/>
      <w:tabs>
        <w:tab w:val="right" w:pos="9638"/>
      </w:tabs>
    </w:pPr>
    <w:r w:rsidRPr="00033C3B">
      <w:rPr>
        <w:b/>
        <w:bCs/>
        <w:sz w:val="18"/>
      </w:rPr>
      <w:fldChar w:fldCharType="begin"/>
    </w:r>
    <w:r w:rsidRPr="00033C3B">
      <w:rPr>
        <w:b/>
        <w:bCs/>
        <w:sz w:val="18"/>
      </w:rPr>
      <w:instrText xml:space="preserve"> PAGE  \* MERGEFORMAT </w:instrText>
    </w:r>
    <w:r w:rsidRPr="00033C3B">
      <w:rPr>
        <w:b/>
        <w:bCs/>
        <w:sz w:val="18"/>
      </w:rPr>
      <w:fldChar w:fldCharType="separate"/>
    </w:r>
    <w:r w:rsidRPr="00033C3B">
      <w:rPr>
        <w:b/>
        <w:bCs/>
        <w:noProof/>
        <w:sz w:val="18"/>
      </w:rPr>
      <w:t>2</w:t>
    </w:r>
    <w:r w:rsidRPr="00033C3B">
      <w:rPr>
        <w:b/>
        <w:bCs/>
        <w:sz w:val="18"/>
      </w:rPr>
      <w:fldChar w:fldCharType="end"/>
    </w:r>
    <w:r>
      <w:tab/>
      <w:t>GE.19-22656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C3B" w:rsidRDefault="00033C3B" w:rsidP="00033C3B">
    <w:pPr>
      <w:pStyle w:val="Footer"/>
      <w:tabs>
        <w:tab w:val="right" w:pos="9638"/>
      </w:tabs>
    </w:pPr>
    <w:r>
      <w:t>GE.19-22656</w:t>
    </w:r>
    <w:r>
      <w:tab/>
    </w:r>
    <w:r w:rsidRPr="00033C3B">
      <w:rPr>
        <w:b/>
        <w:bCs/>
        <w:sz w:val="18"/>
      </w:rPr>
      <w:fldChar w:fldCharType="begin"/>
    </w:r>
    <w:r w:rsidRPr="00033C3B">
      <w:rPr>
        <w:b/>
        <w:bCs/>
        <w:sz w:val="18"/>
      </w:rPr>
      <w:instrText xml:space="preserve"> PAGE  \* MERGEFORMAT </w:instrText>
    </w:r>
    <w:r w:rsidRPr="00033C3B">
      <w:rPr>
        <w:b/>
        <w:bCs/>
        <w:sz w:val="18"/>
      </w:rPr>
      <w:fldChar w:fldCharType="separate"/>
    </w:r>
    <w:r w:rsidRPr="00033C3B">
      <w:rPr>
        <w:b/>
        <w:bCs/>
        <w:noProof/>
        <w:sz w:val="18"/>
      </w:rPr>
      <w:t>3</w:t>
    </w:r>
    <w:r w:rsidRPr="00033C3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C3B" w:rsidRDefault="00033C3B">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33C3B" w:rsidRDefault="00033C3B" w:rsidP="00033C3B">
    <w:pPr>
      <w:pStyle w:val="Footer"/>
      <w:rPr>
        <w:sz w:val="20"/>
      </w:rPr>
    </w:pPr>
    <w:r>
      <w:rPr>
        <w:sz w:val="20"/>
      </w:rPr>
      <w:t>GE.19-22656  (E)</w:t>
    </w:r>
    <w:r w:rsidR="00E83FF0">
      <w:rPr>
        <w:sz w:val="20"/>
      </w:rPr>
      <w:t xml:space="preserve">    060120    060120</w:t>
    </w:r>
  </w:p>
  <w:p w:rsidR="00033C3B" w:rsidRPr="00033C3B" w:rsidRDefault="00033C3B" w:rsidP="00033C3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20/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3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CCD" w:rsidRPr="00FB1744" w:rsidRDefault="00984CCD" w:rsidP="00FB1744">
      <w:pPr>
        <w:tabs>
          <w:tab w:val="right" w:pos="2155"/>
        </w:tabs>
        <w:spacing w:after="80" w:line="240" w:lineRule="auto"/>
        <w:ind w:left="680"/>
      </w:pPr>
      <w:r>
        <w:rPr>
          <w:u w:val="single"/>
        </w:rPr>
        <w:tab/>
      </w:r>
    </w:p>
  </w:footnote>
  <w:footnote w:type="continuationSeparator" w:id="0">
    <w:p w:rsidR="00984CCD" w:rsidRPr="00FB1744" w:rsidRDefault="00984CCD" w:rsidP="00FB1744">
      <w:pPr>
        <w:tabs>
          <w:tab w:val="right" w:pos="2155"/>
        </w:tabs>
        <w:spacing w:after="80" w:line="240" w:lineRule="auto"/>
        <w:ind w:left="680"/>
      </w:pPr>
      <w:r>
        <w:rPr>
          <w:u w:val="single"/>
        </w:rPr>
        <w:tab/>
      </w:r>
    </w:p>
  </w:footnote>
  <w:footnote w:id="1">
    <w:p w:rsidR="00033C3B" w:rsidRDefault="00033C3B" w:rsidP="007D2F19">
      <w:pPr>
        <w:pStyle w:val="FootnoteText"/>
        <w:rPr>
          <w:sz w:val="20"/>
        </w:rPr>
      </w:pPr>
      <w:r w:rsidRPr="007D2F19">
        <w:rPr>
          <w:sz w:val="20"/>
          <w:szCs w:val="22"/>
        </w:rPr>
        <w:tab/>
        <w:t>*</w:t>
      </w:r>
      <w:r w:rsidRPr="007D2F19">
        <w:rPr>
          <w:sz w:val="20"/>
          <w:szCs w:val="22"/>
        </w:rPr>
        <w:tab/>
      </w:r>
      <w:r>
        <w:t>In accordance with the programme of work of the Inland Transport Committee for 2018</w:t>
      </w:r>
      <w:r w:rsidR="007D2F19">
        <w:t>–</w:t>
      </w:r>
      <w:r>
        <w:t>2019, (ECE/TRANS/WP.15/237, annex V (9.2)).</w:t>
      </w:r>
    </w:p>
  </w:footnote>
  <w:footnote w:id="2">
    <w:p w:rsidR="00033C3B" w:rsidRDefault="00033C3B" w:rsidP="007D2F19">
      <w:pPr>
        <w:pStyle w:val="FootnoteText"/>
        <w:rPr>
          <w:sz w:val="20"/>
        </w:rPr>
      </w:pPr>
      <w:r w:rsidRPr="007D2F19">
        <w:rPr>
          <w:sz w:val="20"/>
          <w:szCs w:val="22"/>
        </w:rPr>
        <w:tab/>
        <w:t>**</w:t>
      </w:r>
      <w:r w:rsidRPr="007D2F19">
        <w:rPr>
          <w:sz w:val="20"/>
          <w:szCs w:val="22"/>
        </w:rPr>
        <w:tab/>
      </w:r>
      <w:r>
        <w:t>Circulated by the Intergovernmental Organisation for International Carriage by Rail (OTIF) under the symbol OTIF/RID/RC/2020/34.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C3B" w:rsidRDefault="00033C3B" w:rsidP="00033C3B">
    <w:pPr>
      <w:pStyle w:val="Header"/>
    </w:pPr>
    <w:r>
      <w:t>ECE/TRANS/WP.15/AC.1/2020/34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C3B" w:rsidRDefault="00033C3B" w:rsidP="00033C3B">
    <w:pPr>
      <w:pStyle w:val="Header"/>
      <w:jc w:val="right"/>
    </w:pPr>
    <w:r>
      <w:t>ECE/TRANS/WP.15/AC.1/2020/34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CD"/>
    <w:rsid w:val="00033C3B"/>
    <w:rsid w:val="00046E92"/>
    <w:rsid w:val="000A781D"/>
    <w:rsid w:val="000D1B89"/>
    <w:rsid w:val="001170DC"/>
    <w:rsid w:val="001257CC"/>
    <w:rsid w:val="001606D0"/>
    <w:rsid w:val="001F7292"/>
    <w:rsid w:val="00247E2C"/>
    <w:rsid w:val="00296B06"/>
    <w:rsid w:val="002D6C53"/>
    <w:rsid w:val="002F5595"/>
    <w:rsid w:val="00334F6A"/>
    <w:rsid w:val="00340BD7"/>
    <w:rsid w:val="00342AC8"/>
    <w:rsid w:val="003B4550"/>
    <w:rsid w:val="0043448D"/>
    <w:rsid w:val="00461253"/>
    <w:rsid w:val="005042C2"/>
    <w:rsid w:val="00506C12"/>
    <w:rsid w:val="0056599A"/>
    <w:rsid w:val="00587690"/>
    <w:rsid w:val="00597490"/>
    <w:rsid w:val="00671529"/>
    <w:rsid w:val="006F1130"/>
    <w:rsid w:val="00717266"/>
    <w:rsid w:val="007268F9"/>
    <w:rsid w:val="007C52B0"/>
    <w:rsid w:val="007D2F19"/>
    <w:rsid w:val="00810F30"/>
    <w:rsid w:val="00825107"/>
    <w:rsid w:val="008E60C8"/>
    <w:rsid w:val="009026BE"/>
    <w:rsid w:val="009411B4"/>
    <w:rsid w:val="00984CCD"/>
    <w:rsid w:val="009C6CA8"/>
    <w:rsid w:val="009D0139"/>
    <w:rsid w:val="009F5CDC"/>
    <w:rsid w:val="00A429CD"/>
    <w:rsid w:val="00A50B14"/>
    <w:rsid w:val="00A775CF"/>
    <w:rsid w:val="00AB3C7E"/>
    <w:rsid w:val="00B06045"/>
    <w:rsid w:val="00C11595"/>
    <w:rsid w:val="00C35A27"/>
    <w:rsid w:val="00C77CD3"/>
    <w:rsid w:val="00DD0E71"/>
    <w:rsid w:val="00E02C2B"/>
    <w:rsid w:val="00E83FF0"/>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E0AAC1-DD32-4898-894B-1AF2103B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styleId="Hyperlink">
    <w:name w:val="Hyperlink"/>
    <w:basedOn w:val="DefaultParagraphFont"/>
    <w:uiPriority w:val="99"/>
    <w:unhideWhenUsed/>
    <w:rsid w:val="009C6C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F88A-00F4-4AD4-B70A-39DB64F2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ECE/TRANS/WP.15/AC.1/2020/34</vt:lpstr>
    </vt:vector>
  </TitlesOfParts>
  <Company>DCM</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ECE/TRANS/WP.15/AC.1/2020/34</dc:title>
  <dc:subject>1922656</dc:subject>
  <dc:creator>dm</dc:creator>
  <cp:keywords/>
  <dc:description/>
  <cp:lastModifiedBy>Christine Barrio-Champeau</cp:lastModifiedBy>
  <cp:revision>2</cp:revision>
  <cp:lastPrinted>2020-01-06T15:45:00Z</cp:lastPrinted>
  <dcterms:created xsi:type="dcterms:W3CDTF">2020-01-23T12:31:00Z</dcterms:created>
  <dcterms:modified xsi:type="dcterms:W3CDTF">2020-01-23T12:31:00Z</dcterms:modified>
</cp:coreProperties>
</file>