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5E8045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2B557F" w14:textId="77777777" w:rsidR="00F35BAF" w:rsidRPr="00DB58B5" w:rsidRDefault="00F35BAF" w:rsidP="005021D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7BAAD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562C22" w14:textId="77777777" w:rsidR="00F35BAF" w:rsidRPr="00DB58B5" w:rsidRDefault="005021D7" w:rsidP="005021D7">
            <w:pPr>
              <w:jc w:val="right"/>
            </w:pPr>
            <w:r w:rsidRPr="005021D7">
              <w:rPr>
                <w:sz w:val="40"/>
              </w:rPr>
              <w:t>ECE</w:t>
            </w:r>
            <w:r>
              <w:t>/TRANS/WP.15/AC.1/2020/32</w:t>
            </w:r>
          </w:p>
        </w:tc>
      </w:tr>
      <w:tr w:rsidR="00F35BAF" w:rsidRPr="00DB58B5" w14:paraId="725E318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C793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05C7EBF" wp14:editId="777716D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C22DF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6AE693" w14:textId="77777777" w:rsidR="00F35BAF" w:rsidRDefault="005021D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41C80ED" w14:textId="77777777" w:rsidR="005021D7" w:rsidRDefault="005021D7" w:rsidP="005021D7">
            <w:pPr>
              <w:spacing w:line="240" w:lineRule="exact"/>
            </w:pPr>
            <w:r>
              <w:t>30 décembre 2019</w:t>
            </w:r>
          </w:p>
          <w:p w14:paraId="148AD0C1" w14:textId="77777777" w:rsidR="005021D7" w:rsidRDefault="005021D7" w:rsidP="005021D7">
            <w:pPr>
              <w:spacing w:line="240" w:lineRule="exact"/>
            </w:pPr>
            <w:r>
              <w:t>Français</w:t>
            </w:r>
          </w:p>
          <w:p w14:paraId="2C77289F" w14:textId="77777777" w:rsidR="005021D7" w:rsidRPr="00DB58B5" w:rsidRDefault="005021D7" w:rsidP="005021D7">
            <w:pPr>
              <w:spacing w:line="240" w:lineRule="exact"/>
            </w:pPr>
            <w:r>
              <w:t>Original : russe</w:t>
            </w:r>
          </w:p>
        </w:tc>
      </w:tr>
    </w:tbl>
    <w:p w14:paraId="229FED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C6AFEB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FB9ACA8" w14:textId="77777777" w:rsidR="001C0ECA" w:rsidRPr="001C0ECA" w:rsidRDefault="001C0ECA" w:rsidP="001C0ECA">
      <w:pPr>
        <w:kinsoku/>
        <w:overflowPunct/>
        <w:autoSpaceDE/>
        <w:autoSpaceDN/>
        <w:adjustRightInd/>
        <w:snapToGrid/>
        <w:spacing w:before="120" w:after="120"/>
        <w:rPr>
          <w:rFonts w:eastAsia="Times New Roman"/>
          <w:b/>
          <w:sz w:val="24"/>
          <w:szCs w:val="24"/>
          <w:lang w:eastAsia="fr-FR"/>
        </w:rPr>
      </w:pPr>
      <w:r w:rsidRPr="001C0ECA">
        <w:rPr>
          <w:rFonts w:eastAsia="Times New Roman"/>
          <w:b/>
          <w:sz w:val="24"/>
          <w:szCs w:val="24"/>
          <w:lang w:eastAsia="fr-FR"/>
        </w:rPr>
        <w:t>Groupe de travail des transports de marchandises dangereuses</w:t>
      </w:r>
    </w:p>
    <w:p w14:paraId="712199A5" w14:textId="77777777" w:rsidR="001C0ECA" w:rsidRPr="00EE56BD" w:rsidRDefault="001C0ECA" w:rsidP="001C0ECA">
      <w:pPr>
        <w:kinsoku/>
        <w:overflowPunct/>
        <w:autoSpaceDE/>
        <w:autoSpaceDN/>
        <w:adjustRightInd/>
        <w:snapToGrid/>
        <w:rPr>
          <w:rFonts w:eastAsia="Times New Roman"/>
          <w:b/>
          <w:lang w:eastAsia="fr-FR"/>
        </w:rPr>
      </w:pPr>
      <w:r w:rsidRPr="00331D73">
        <w:rPr>
          <w:rFonts w:eastAsia="Times New Roman"/>
          <w:b/>
          <w:lang w:eastAsia="fr-FR"/>
        </w:rPr>
        <w:t>Réunion commune de la Commission d</w:t>
      </w:r>
      <w:r>
        <w:rPr>
          <w:rFonts w:eastAsia="Times New Roman"/>
          <w:b/>
          <w:lang w:eastAsia="fr-FR"/>
        </w:rPr>
        <w:t>’</w:t>
      </w:r>
      <w:r w:rsidRPr="00331D73">
        <w:rPr>
          <w:rFonts w:eastAsia="Times New Roman"/>
          <w:b/>
          <w:lang w:eastAsia="fr-FR"/>
        </w:rPr>
        <w:t xml:space="preserve">experts du RID </w:t>
      </w:r>
      <w:r w:rsidR="0095134E">
        <w:rPr>
          <w:rFonts w:eastAsia="Times New Roman"/>
          <w:b/>
          <w:lang w:eastAsia="fr-FR"/>
        </w:rPr>
        <w:br/>
      </w:r>
      <w:r w:rsidRPr="00331D73">
        <w:rPr>
          <w:rFonts w:eastAsia="Times New Roman"/>
          <w:b/>
          <w:lang w:eastAsia="fr-FR"/>
        </w:rPr>
        <w:t>et du Groupe de travail</w:t>
      </w:r>
      <w:r w:rsidR="0095134E">
        <w:rPr>
          <w:rFonts w:eastAsia="Times New Roman"/>
          <w:b/>
          <w:lang w:eastAsia="fr-FR"/>
        </w:rPr>
        <w:t xml:space="preserve"> </w:t>
      </w:r>
      <w:r w:rsidRPr="00331D73">
        <w:rPr>
          <w:rFonts w:eastAsia="Times New Roman"/>
          <w:b/>
          <w:lang w:eastAsia="fr-FR"/>
        </w:rPr>
        <w:t xml:space="preserve">des transports </w:t>
      </w:r>
      <w:r w:rsidR="0095134E">
        <w:rPr>
          <w:rFonts w:eastAsia="Times New Roman"/>
          <w:b/>
          <w:lang w:eastAsia="fr-FR"/>
        </w:rPr>
        <w:br/>
      </w:r>
      <w:r w:rsidRPr="00331D73">
        <w:rPr>
          <w:rFonts w:eastAsia="Times New Roman"/>
          <w:b/>
          <w:lang w:eastAsia="fr-FR"/>
        </w:rPr>
        <w:t>de marchandises dangereuses</w:t>
      </w:r>
      <w:r>
        <w:rPr>
          <w:rFonts w:eastAsia="Times New Roman"/>
          <w:b/>
          <w:lang w:eastAsia="fr-FR"/>
        </w:rPr>
        <w:t xml:space="preserve"> </w:t>
      </w:r>
    </w:p>
    <w:p w14:paraId="31104F5F" w14:textId="77777777" w:rsidR="001C0ECA" w:rsidRPr="006C5ECF" w:rsidRDefault="001C0ECA" w:rsidP="001C0ECA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6C5ECF">
        <w:rPr>
          <w:rFonts w:eastAsia="Times New Roman"/>
          <w:lang w:eastAsia="fr-FR"/>
        </w:rPr>
        <w:t>Bern</w:t>
      </w:r>
      <w:r>
        <w:rPr>
          <w:rFonts w:eastAsia="Times New Roman"/>
          <w:lang w:eastAsia="fr-FR"/>
        </w:rPr>
        <w:t>e</w:t>
      </w:r>
      <w:r w:rsidRPr="006C5ECF">
        <w:rPr>
          <w:rFonts w:eastAsia="Times New Roman"/>
          <w:lang w:eastAsia="fr-FR"/>
        </w:rPr>
        <w:t>, 16</w:t>
      </w:r>
      <w:r w:rsidR="0095134E">
        <w:rPr>
          <w:rFonts w:eastAsia="Times New Roman"/>
          <w:lang w:eastAsia="fr-FR"/>
        </w:rPr>
        <w:t>-</w:t>
      </w:r>
      <w:r w:rsidRPr="006C5ECF">
        <w:rPr>
          <w:rFonts w:eastAsia="Times New Roman"/>
          <w:lang w:eastAsia="fr-FR"/>
        </w:rPr>
        <w:t xml:space="preserve">20 </w:t>
      </w:r>
      <w:r>
        <w:rPr>
          <w:rFonts w:eastAsia="Times New Roman"/>
          <w:lang w:eastAsia="fr-FR"/>
        </w:rPr>
        <w:t xml:space="preserve">mars </w:t>
      </w:r>
      <w:r w:rsidRPr="006C5ECF">
        <w:rPr>
          <w:rFonts w:eastAsia="Times New Roman"/>
          <w:lang w:eastAsia="fr-FR"/>
        </w:rPr>
        <w:t>2020</w:t>
      </w:r>
    </w:p>
    <w:p w14:paraId="59C1AFE0" w14:textId="77777777" w:rsidR="001C0ECA" w:rsidRPr="00EE56BD" w:rsidRDefault="001C0ECA" w:rsidP="001C0ECA">
      <w:pPr>
        <w:kinsoku/>
        <w:overflowPunct/>
        <w:autoSpaceDE/>
        <w:autoSpaceDN/>
        <w:adjustRightInd/>
        <w:snapToGrid/>
        <w:rPr>
          <w:rFonts w:eastAsia="Times New Roman"/>
          <w:lang w:eastAsia="fr-FR"/>
        </w:rPr>
      </w:pPr>
      <w:r w:rsidRPr="00331D73">
        <w:rPr>
          <w:rFonts w:eastAsia="Times New Roman"/>
          <w:lang w:eastAsia="fr-FR"/>
        </w:rPr>
        <w:t xml:space="preserve">Point </w:t>
      </w:r>
      <w:r>
        <w:rPr>
          <w:rFonts w:eastAsia="Times New Roman"/>
          <w:lang w:eastAsia="fr-FR"/>
        </w:rPr>
        <w:t>2</w:t>
      </w:r>
      <w:r w:rsidRPr="00EE56BD">
        <w:rPr>
          <w:rFonts w:eastAsia="Times New Roman"/>
          <w:lang w:eastAsia="fr-FR"/>
        </w:rPr>
        <w:t xml:space="preserve"> </w:t>
      </w:r>
      <w:r w:rsidRPr="00331D73">
        <w:rPr>
          <w:rFonts w:eastAsia="Times New Roman"/>
          <w:lang w:eastAsia="fr-FR"/>
        </w:rPr>
        <w:t>de l</w:t>
      </w:r>
      <w:r>
        <w:rPr>
          <w:rFonts w:eastAsia="Times New Roman"/>
          <w:lang w:eastAsia="fr-FR"/>
        </w:rPr>
        <w:t>’</w:t>
      </w:r>
      <w:r w:rsidRPr="00331D73">
        <w:rPr>
          <w:rFonts w:eastAsia="Times New Roman"/>
          <w:lang w:eastAsia="fr-FR"/>
        </w:rPr>
        <w:t>ordre du jour provisoire</w:t>
      </w:r>
    </w:p>
    <w:p w14:paraId="7684FF56" w14:textId="77777777" w:rsidR="001C0ECA" w:rsidRPr="003E7332" w:rsidRDefault="001C0ECA" w:rsidP="001C0ECA">
      <w:pPr>
        <w:kinsoku/>
        <w:overflowPunct/>
        <w:autoSpaceDE/>
        <w:autoSpaceDN/>
        <w:adjustRightInd/>
        <w:snapToGrid/>
        <w:spacing w:line="240" w:lineRule="auto"/>
        <w:rPr>
          <w:b/>
        </w:rPr>
      </w:pPr>
      <w:r>
        <w:rPr>
          <w:rFonts w:eastAsia="Times New Roman"/>
          <w:b/>
          <w:lang w:eastAsia="fr-FR"/>
        </w:rPr>
        <w:t>Citernes</w:t>
      </w:r>
    </w:p>
    <w:p w14:paraId="674473B6" w14:textId="77777777" w:rsidR="001C0ECA" w:rsidRPr="008027A6" w:rsidRDefault="001C0ECA" w:rsidP="0095134E">
      <w:pPr>
        <w:pStyle w:val="HChG"/>
      </w:pPr>
      <w:r w:rsidRPr="003E7332">
        <w:tab/>
      </w:r>
      <w:r w:rsidRPr="003E7332">
        <w:tab/>
      </w:r>
      <w:r>
        <w:t xml:space="preserve">Méthode de traitement thermique des matériaux </w:t>
      </w:r>
      <w:r w:rsidR="0095134E">
        <w:br/>
      </w:r>
      <w:r>
        <w:t>p</w:t>
      </w:r>
      <w:r w:rsidRPr="008027A6">
        <w:t xml:space="preserve">our </w:t>
      </w:r>
      <w:r>
        <w:t>la construction de</w:t>
      </w:r>
      <w:r w:rsidRPr="008027A6">
        <w:t>s réservoirs soudé</w:t>
      </w:r>
      <w:r>
        <w:t xml:space="preserve">s </w:t>
      </w:r>
      <w:r w:rsidR="0095134E">
        <w:br/>
      </w:r>
      <w:r>
        <w:t>(</w:t>
      </w:r>
      <w:proofErr w:type="gramStart"/>
      <w:r>
        <w:t>par</w:t>
      </w:r>
      <w:proofErr w:type="gramEnd"/>
      <w:r w:rsidR="0095134E">
        <w:t>. </w:t>
      </w:r>
      <w:r w:rsidRPr="008027A6">
        <w:t>6.8.2.1.10, 6.8.2.1.11</w:t>
      </w:r>
      <w:r>
        <w:t xml:space="preserve"> et</w:t>
      </w:r>
      <w:r w:rsidRPr="008027A6">
        <w:t xml:space="preserve"> 6.8.2.6.1)</w:t>
      </w:r>
    </w:p>
    <w:p w14:paraId="4817F57E" w14:textId="77777777" w:rsidR="001C0ECA" w:rsidRDefault="001C0ECA" w:rsidP="0095134E">
      <w:pPr>
        <w:pStyle w:val="H1G"/>
        <w:rPr>
          <w:rFonts w:eastAsia="Times New Roman"/>
          <w:szCs w:val="24"/>
          <w:lang w:eastAsia="zh-CN"/>
        </w:rPr>
      </w:pPr>
      <w:r w:rsidRPr="008027A6">
        <w:tab/>
      </w:r>
      <w:r w:rsidRPr="008027A6">
        <w:tab/>
      </w:r>
      <w:r w:rsidRPr="00D831D1">
        <w:t xml:space="preserve">Communication du Gouvernement </w:t>
      </w:r>
      <w:r>
        <w:t>de la Fédération de Russie</w:t>
      </w:r>
      <w:r w:rsidRPr="0095134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>
        <w:rPr>
          <w:bCs/>
          <w:vertAlign w:val="superscript"/>
        </w:rPr>
        <w:t>,</w:t>
      </w:r>
      <w:r w:rsidR="00897C03">
        <w:rPr>
          <w:bCs/>
          <w:vertAlign w:val="superscript"/>
        </w:rPr>
        <w:t xml:space="preserve"> </w:t>
      </w:r>
      <w:r w:rsidRPr="0095134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  <w:r w:rsidRPr="00D831D1">
        <w:rPr>
          <w:rFonts w:eastAsia="Times New Roman"/>
          <w:szCs w:val="24"/>
          <w:lang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C0ECA" w:rsidRPr="00B035C7" w14:paraId="41430307" w14:textId="77777777" w:rsidTr="00820141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A31BD96" w14:textId="77777777" w:rsidR="001C0ECA" w:rsidRPr="0095134E" w:rsidRDefault="001C0ECA" w:rsidP="00820141">
            <w:pPr>
              <w:tabs>
                <w:tab w:val="left" w:pos="255"/>
              </w:tabs>
              <w:spacing w:before="240" w:after="120"/>
              <w:rPr>
                <w:sz w:val="24"/>
                <w:szCs w:val="24"/>
              </w:rPr>
            </w:pPr>
            <w:r w:rsidRPr="00CF5CEC">
              <w:tab/>
            </w:r>
            <w:r w:rsidRPr="0095134E">
              <w:rPr>
                <w:i/>
                <w:sz w:val="24"/>
                <w:szCs w:val="24"/>
              </w:rPr>
              <w:t>Résumé</w:t>
            </w:r>
          </w:p>
        </w:tc>
      </w:tr>
      <w:tr w:rsidR="001C0ECA" w:rsidRPr="006933CE" w14:paraId="70C7A54D" w14:textId="77777777" w:rsidTr="0082014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2D7EDB9" w14:textId="77777777" w:rsidR="001C0ECA" w:rsidRPr="006933CE" w:rsidRDefault="001C0ECA" w:rsidP="00820141">
            <w:pPr>
              <w:pStyle w:val="SingleTxtG"/>
              <w:tabs>
                <w:tab w:val="left" w:pos="3677"/>
              </w:tabs>
              <w:ind w:left="3677" w:hanging="2543"/>
            </w:pPr>
            <w:r w:rsidRPr="003E7332">
              <w:rPr>
                <w:b/>
                <w:bCs/>
              </w:rPr>
              <w:t>Résumé analytique</w:t>
            </w:r>
            <w:r w:rsidR="0095134E">
              <w:rPr>
                <w:b/>
                <w:bCs/>
              </w:rPr>
              <w:t> </w:t>
            </w:r>
            <w:r w:rsidRPr="003E7332">
              <w:rPr>
                <w:b/>
                <w:bCs/>
              </w:rPr>
              <w:t>:</w:t>
            </w:r>
            <w:r w:rsidRPr="003E7332">
              <w:t xml:space="preserve"> </w:t>
            </w:r>
            <w:r w:rsidRPr="003E7332">
              <w:tab/>
            </w:r>
            <w:r>
              <w:t>Le</w:t>
            </w:r>
            <w:r w:rsidRPr="003E7332">
              <w:t xml:space="preserve"> </w:t>
            </w:r>
            <w:r>
              <w:t>pr</w:t>
            </w:r>
            <w:r w:rsidRPr="003E7332">
              <w:t>é</w:t>
            </w:r>
            <w:r>
              <w:t>sent</w:t>
            </w:r>
            <w:r w:rsidRPr="003E7332">
              <w:t xml:space="preserve"> </w:t>
            </w:r>
            <w:r>
              <w:t>document</w:t>
            </w:r>
            <w:r w:rsidRPr="003E7332">
              <w:t xml:space="preserve"> </w:t>
            </w:r>
            <w:r>
              <w:t>a pour but de pr</w:t>
            </w:r>
            <w:r w:rsidRPr="003E7332">
              <w:t>é</w:t>
            </w:r>
            <w:r>
              <w:t>ciser</w:t>
            </w:r>
            <w:r w:rsidRPr="003E7332">
              <w:t xml:space="preserve"> </w:t>
            </w:r>
            <w:r>
              <w:t>les</w:t>
            </w:r>
            <w:r w:rsidRPr="003E7332">
              <w:t xml:space="preserve"> </w:t>
            </w:r>
            <w:r>
              <w:t>prescriptions</w:t>
            </w:r>
            <w:r w:rsidRPr="003E7332">
              <w:t xml:space="preserve"> </w:t>
            </w:r>
            <w:r>
              <w:t>des</w:t>
            </w:r>
            <w:r w:rsidRPr="003E7332">
              <w:t xml:space="preserve"> </w:t>
            </w:r>
            <w:r>
              <w:t>paragraphes</w:t>
            </w:r>
            <w:r w:rsidRPr="003E7332">
              <w:t xml:space="preserve"> 6.8.2.1.10 </w:t>
            </w:r>
            <w:r>
              <w:t>et</w:t>
            </w:r>
            <w:r w:rsidR="00862AA5">
              <w:t xml:space="preserve"> </w:t>
            </w:r>
            <w:r w:rsidRPr="003E7332">
              <w:t xml:space="preserve">6.8.2.1.11 </w:t>
            </w:r>
            <w:r>
              <w:t xml:space="preserve">en ce qui concerne les restrictions en matière de procédé de laminage pour la construction </w:t>
            </w:r>
            <w:r w:rsidRPr="006933CE">
              <w:t>des réservoirs soudés</w:t>
            </w:r>
            <w:r>
              <w:t xml:space="preserve"> en acier. La</w:t>
            </w:r>
            <w:r w:rsidRPr="006933CE">
              <w:t xml:space="preserve"> </w:t>
            </w:r>
            <w:r>
              <w:t>pr</w:t>
            </w:r>
            <w:r w:rsidRPr="006933CE">
              <w:t>é</w:t>
            </w:r>
            <w:r>
              <w:t xml:space="preserve">cision apportée permettra d’harmoniser les prescriptions de la </w:t>
            </w:r>
            <w:proofErr w:type="gramStart"/>
            <w:r>
              <w:t xml:space="preserve">norme  </w:t>
            </w:r>
            <w:r w:rsidRPr="006933CE">
              <w:t>EN</w:t>
            </w:r>
            <w:proofErr w:type="gramEnd"/>
            <w:r w:rsidRPr="006933CE">
              <w:t xml:space="preserve"> 13445-2 </w:t>
            </w:r>
            <w:r>
              <w:t>et du RID</w:t>
            </w:r>
            <w:r w:rsidRPr="006933CE">
              <w:t>.</w:t>
            </w:r>
          </w:p>
        </w:tc>
      </w:tr>
      <w:tr w:rsidR="001C0ECA" w:rsidRPr="008103E4" w14:paraId="20D24423" w14:textId="77777777" w:rsidTr="0082014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61D65AC" w14:textId="77777777" w:rsidR="001C0ECA" w:rsidRPr="006933CE" w:rsidRDefault="001C0ECA" w:rsidP="00820141">
            <w:pPr>
              <w:pStyle w:val="SingleTxtG"/>
              <w:tabs>
                <w:tab w:val="left" w:pos="3677"/>
              </w:tabs>
              <w:ind w:left="3677" w:hanging="2543"/>
            </w:pPr>
            <w:r w:rsidRPr="006933CE">
              <w:rPr>
                <w:b/>
                <w:bCs/>
              </w:rPr>
              <w:t>Mesure à prendre</w:t>
            </w:r>
            <w:r w:rsidR="0095134E">
              <w:rPr>
                <w:b/>
                <w:bCs/>
              </w:rPr>
              <w:t> </w:t>
            </w:r>
            <w:r w:rsidRPr="006933CE">
              <w:rPr>
                <w:b/>
                <w:bCs/>
              </w:rPr>
              <w:t>:</w:t>
            </w:r>
            <w:r w:rsidRPr="006933CE">
              <w:tab/>
            </w:r>
            <w:r>
              <w:t>Supprimer</w:t>
            </w:r>
            <w:r w:rsidRPr="006933CE">
              <w:t xml:space="preserve"> </w:t>
            </w:r>
            <w:r>
              <w:t>du</w:t>
            </w:r>
            <w:r w:rsidRPr="006933CE">
              <w:t xml:space="preserve"> </w:t>
            </w:r>
            <w:r>
              <w:t>paragraphe</w:t>
            </w:r>
            <w:r w:rsidRPr="006933CE">
              <w:t xml:space="preserve"> 6.8.2.1.10 </w:t>
            </w:r>
            <w:r>
              <w:t>la</w:t>
            </w:r>
            <w:r w:rsidRPr="006933CE">
              <w:t xml:space="preserve"> </w:t>
            </w:r>
            <w:r>
              <w:t>disposition</w:t>
            </w:r>
            <w:r w:rsidRPr="006933CE">
              <w:t xml:space="preserve"> </w:t>
            </w:r>
            <w:r>
              <w:t>interdisant</w:t>
            </w:r>
            <w:r w:rsidRPr="006933CE">
              <w:t xml:space="preserve"> </w:t>
            </w:r>
            <w:r>
              <w:t>l’utilisation</w:t>
            </w:r>
            <w:r w:rsidRPr="006933CE">
              <w:t xml:space="preserve"> </w:t>
            </w:r>
            <w:r>
              <w:t>d’acier</w:t>
            </w:r>
            <w:r w:rsidRPr="006933CE">
              <w:t xml:space="preserve"> trempé à l</w:t>
            </w:r>
            <w:r>
              <w:t>’</w:t>
            </w:r>
            <w:r w:rsidRPr="006933CE">
              <w:t xml:space="preserve">eau. </w:t>
            </w:r>
            <w:r>
              <w:t xml:space="preserve">Supprimer du paragraphe </w:t>
            </w:r>
            <w:r w:rsidRPr="006933CE">
              <w:t xml:space="preserve">6.8.2.1.11 </w:t>
            </w:r>
            <w:r>
              <w:t xml:space="preserve">la </w:t>
            </w:r>
            <w:r w:rsidRPr="006933CE">
              <w:t>prescri</w:t>
            </w:r>
            <w:r>
              <w:t>p</w:t>
            </w:r>
            <w:r w:rsidRPr="006933CE">
              <w:t>t</w:t>
            </w:r>
            <w:r>
              <w:t>ion d’</w:t>
            </w:r>
            <w:r w:rsidRPr="006933CE">
              <w:t>une limite au rapport Re/</w:t>
            </w:r>
            <w:proofErr w:type="spellStart"/>
            <w:r w:rsidRPr="006933CE">
              <w:t>Rm</w:t>
            </w:r>
            <w:proofErr w:type="spellEnd"/>
            <w:r w:rsidRPr="006933CE">
              <w:t>.</w:t>
            </w:r>
          </w:p>
        </w:tc>
      </w:tr>
      <w:tr w:rsidR="001C0ECA" w:rsidRPr="008103E4" w14:paraId="5C84E149" w14:textId="77777777" w:rsidTr="00820141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D8CC596" w14:textId="77777777" w:rsidR="001C0ECA" w:rsidRPr="006933CE" w:rsidRDefault="001C0ECA" w:rsidP="00820141"/>
        </w:tc>
      </w:tr>
    </w:tbl>
    <w:p w14:paraId="70C38688" w14:textId="77777777" w:rsidR="001C0ECA" w:rsidRPr="008A4B8C" w:rsidRDefault="00862AA5" w:rsidP="001C0ECA">
      <w:pPr>
        <w:pStyle w:val="HChG"/>
        <w:jc w:val="both"/>
      </w:pPr>
      <w:r>
        <w:br w:type="page"/>
      </w:r>
      <w:r w:rsidR="001C0ECA" w:rsidRPr="006933CE">
        <w:lastRenderedPageBreak/>
        <w:tab/>
      </w:r>
      <w:r w:rsidR="001C0ECA" w:rsidRPr="006933CE">
        <w:tab/>
      </w:r>
      <w:r w:rsidR="001C0ECA">
        <w:t>Introduction</w:t>
      </w:r>
    </w:p>
    <w:p w14:paraId="180D0785" w14:textId="77777777" w:rsidR="001C0ECA" w:rsidRPr="006E6E63" w:rsidRDefault="001C0ECA" w:rsidP="00F5157F">
      <w:pPr>
        <w:pStyle w:val="SingleTxtG"/>
        <w:keepNext/>
      </w:pPr>
      <w:r w:rsidRPr="006E6E63">
        <w:t>1.</w:t>
      </w:r>
      <w:r w:rsidRPr="006E6E63">
        <w:tab/>
      </w:r>
      <w:r>
        <w:t>Tel</w:t>
      </w:r>
      <w:r w:rsidRPr="006E6E63">
        <w:t xml:space="preserve"> </w:t>
      </w:r>
      <w:r>
        <w:t>qu’il</w:t>
      </w:r>
      <w:r w:rsidRPr="006E6E63">
        <w:t xml:space="preserve"> </w:t>
      </w:r>
      <w:r>
        <w:t>est</w:t>
      </w:r>
      <w:r w:rsidRPr="006E6E63">
        <w:t xml:space="preserve"> </w:t>
      </w:r>
      <w:r>
        <w:t>actuellement</w:t>
      </w:r>
      <w:r w:rsidRPr="006E6E63">
        <w:t xml:space="preserve"> </w:t>
      </w:r>
      <w:r>
        <w:t>r</w:t>
      </w:r>
      <w:r w:rsidRPr="006E6E63">
        <w:t>é</w:t>
      </w:r>
      <w:r>
        <w:t>dig</w:t>
      </w:r>
      <w:r w:rsidRPr="006E6E63">
        <w:t xml:space="preserve">é, </w:t>
      </w:r>
      <w:r>
        <w:t>le</w:t>
      </w:r>
      <w:r w:rsidRPr="006E6E63">
        <w:t xml:space="preserve"> </w:t>
      </w:r>
      <w:r>
        <w:t>paragraphe</w:t>
      </w:r>
      <w:r w:rsidRPr="006E6E63">
        <w:t xml:space="preserve"> 6.8.2.1.10 </w:t>
      </w:r>
      <w:r>
        <w:t>du</w:t>
      </w:r>
      <w:r w:rsidRPr="006E6E63">
        <w:t xml:space="preserve"> </w:t>
      </w:r>
      <w:r>
        <w:t>RID</w:t>
      </w:r>
      <w:r w:rsidRPr="006E6E63">
        <w:t xml:space="preserve"> </w:t>
      </w:r>
      <w:r>
        <w:t>contient</w:t>
      </w:r>
      <w:r w:rsidRPr="006E6E63">
        <w:t xml:space="preserve"> </w:t>
      </w:r>
      <w:r>
        <w:t>l’interdiction</w:t>
      </w:r>
      <w:r w:rsidRPr="006E6E63">
        <w:t xml:space="preserve"> </w:t>
      </w:r>
      <w:r>
        <w:t>d’utiliser</w:t>
      </w:r>
      <w:r w:rsidRPr="006E6E63">
        <w:t xml:space="preserve"> </w:t>
      </w:r>
      <w:r>
        <w:t>de</w:t>
      </w:r>
      <w:r w:rsidRPr="006E6E63">
        <w:t xml:space="preserve"> l</w:t>
      </w:r>
      <w:r>
        <w:t>’</w:t>
      </w:r>
      <w:r w:rsidRPr="006E6E63">
        <w:t>acier trempé à l</w:t>
      </w:r>
      <w:r>
        <w:t>’</w:t>
      </w:r>
      <w:r w:rsidRPr="006E6E63">
        <w:t>eau (</w:t>
      </w:r>
      <w:r>
        <w:t xml:space="preserve">mentionnée ici pour mémoire en </w:t>
      </w:r>
      <w:r w:rsidRPr="006E6E63">
        <w:rPr>
          <w:i/>
        </w:rPr>
        <w:t>italiques</w:t>
      </w:r>
      <w:r w:rsidRPr="006E6E63">
        <w:t>)</w:t>
      </w:r>
      <w:r w:rsidR="00F5157F">
        <w:t> </w:t>
      </w:r>
      <w:r w:rsidRPr="006E6E63">
        <w:t>:</w:t>
      </w:r>
    </w:p>
    <w:p w14:paraId="46E63363" w14:textId="77777777" w:rsidR="001C0ECA" w:rsidRDefault="001C0ECA" w:rsidP="00F5157F">
      <w:pPr>
        <w:pStyle w:val="SingleTxtG"/>
        <w:ind w:left="2268" w:hanging="1134"/>
      </w:pPr>
      <w:r w:rsidRPr="002F3A44">
        <w:t>6.8.2.1.10</w:t>
      </w:r>
      <w:r w:rsidRPr="002F3A44">
        <w:tab/>
        <w:t>…</w:t>
      </w:r>
      <w:r w:rsidRPr="002F3A44">
        <w:br/>
      </w:r>
      <w:r w:rsidRPr="006E6E63">
        <w:rPr>
          <w:i/>
        </w:rPr>
        <w:t>De l</w:t>
      </w:r>
      <w:r>
        <w:rPr>
          <w:i/>
        </w:rPr>
        <w:t>’</w:t>
      </w:r>
      <w:r w:rsidRPr="006E6E63">
        <w:rPr>
          <w:i/>
        </w:rPr>
        <w:t>acier trempé à l</w:t>
      </w:r>
      <w:r>
        <w:rPr>
          <w:i/>
        </w:rPr>
        <w:t>’</w:t>
      </w:r>
      <w:r w:rsidRPr="006E6E63">
        <w:rPr>
          <w:i/>
        </w:rPr>
        <w:t>eau ne doit pas être utilisé</w:t>
      </w:r>
      <w:r w:rsidRPr="006E6E63">
        <w:t xml:space="preserve"> pour les réservoirs soudés en acier. </w:t>
      </w:r>
      <w:r w:rsidRPr="003F7C86">
        <w:t>…</w:t>
      </w:r>
    </w:p>
    <w:p w14:paraId="084E2E0A" w14:textId="77777777" w:rsidR="001C0ECA" w:rsidRPr="003F7C86" w:rsidRDefault="001C0ECA" w:rsidP="00F5157F">
      <w:pPr>
        <w:pStyle w:val="SingleTxtG"/>
        <w:keepNext/>
      </w:pPr>
      <w:r w:rsidRPr="003F7C86">
        <w:t>2.</w:t>
      </w:r>
      <w:r w:rsidRPr="003F7C86">
        <w:tab/>
      </w:r>
      <w:r>
        <w:t xml:space="preserve">La formulation actuelle du paragraphe </w:t>
      </w:r>
      <w:r w:rsidRPr="003F7C86">
        <w:t xml:space="preserve">6.8.2.1.11 </w:t>
      </w:r>
      <w:r>
        <w:t>prescrit une limite au r</w:t>
      </w:r>
      <w:r w:rsidRPr="003F7C86">
        <w:t>apport Re/</w:t>
      </w:r>
      <w:proofErr w:type="spellStart"/>
      <w:r w:rsidRPr="003F7C86">
        <w:t>Rm</w:t>
      </w:r>
      <w:proofErr w:type="spellEnd"/>
      <w:r w:rsidRPr="003F7C86">
        <w:t xml:space="preserve"> (mentionné</w:t>
      </w:r>
      <w:r>
        <w:t>e</w:t>
      </w:r>
      <w:r w:rsidRPr="003F7C86">
        <w:t xml:space="preserve"> ici pour mémoire en </w:t>
      </w:r>
      <w:r w:rsidRPr="003F7C86">
        <w:rPr>
          <w:i/>
        </w:rPr>
        <w:t>italiques</w:t>
      </w:r>
      <w:r w:rsidRPr="003F7C86">
        <w:t>)</w:t>
      </w:r>
      <w:r w:rsidR="00F5157F">
        <w:t> </w:t>
      </w:r>
      <w:r w:rsidRPr="003F7C86">
        <w:t>:</w:t>
      </w:r>
    </w:p>
    <w:p w14:paraId="3A48FDA4" w14:textId="77777777" w:rsidR="001C0ECA" w:rsidRPr="003F7C86" w:rsidRDefault="001C0ECA" w:rsidP="001C0ECA">
      <w:pPr>
        <w:pStyle w:val="SingleTxtG"/>
        <w:ind w:left="2268" w:hanging="1134"/>
      </w:pPr>
      <w:r w:rsidRPr="002F3A44">
        <w:t>6.8.2.1.11</w:t>
      </w:r>
      <w:r w:rsidRPr="002F3A44">
        <w:tab/>
        <w:t>…</w:t>
      </w:r>
      <w:r w:rsidRPr="002F3A44">
        <w:br/>
      </w:r>
      <w:r w:rsidRPr="003F7C86">
        <w:rPr>
          <w:i/>
        </w:rPr>
        <w:t>Les rapports Re/</w:t>
      </w:r>
      <w:proofErr w:type="spellStart"/>
      <w:r w:rsidRPr="003F7C86">
        <w:rPr>
          <w:i/>
        </w:rPr>
        <w:t>Rm</w:t>
      </w:r>
      <w:proofErr w:type="spellEnd"/>
      <w:r w:rsidRPr="003F7C86">
        <w:rPr>
          <w:i/>
        </w:rPr>
        <w:t xml:space="preserve"> supérieurs à 0,85 ne sont pas admis</w:t>
      </w:r>
      <w:r w:rsidRPr="003F7C86">
        <w:t xml:space="preserve"> pour les aciers utilisés dans la construction de réservoirs soudés</w:t>
      </w:r>
      <w:r>
        <w:t>.</w:t>
      </w:r>
      <w:r w:rsidRPr="003F7C86">
        <w:t xml:space="preserve"> …</w:t>
      </w:r>
    </w:p>
    <w:p w14:paraId="1D374569" w14:textId="77777777" w:rsidR="001C0ECA" w:rsidRDefault="001C0ECA" w:rsidP="00F5157F">
      <w:pPr>
        <w:pStyle w:val="SingleTxtG"/>
        <w:keepNext/>
      </w:pPr>
      <w:r w:rsidRPr="003F7C86">
        <w:t>3.</w:t>
      </w:r>
      <w:r w:rsidRPr="003F7C86">
        <w:tab/>
        <w:t xml:space="preserve">La formulation actuelle du paragraphe 6.8.2.6.1 </w:t>
      </w:r>
      <w:r>
        <w:t xml:space="preserve">fait référence à la norme </w:t>
      </w:r>
      <w:r w:rsidRPr="009D098C">
        <w:t>EN</w:t>
      </w:r>
      <w:r w:rsidRPr="003F7C86">
        <w:t xml:space="preserve"> 14025</w:t>
      </w:r>
      <w:r w:rsidR="00F5157F">
        <w:t> </w:t>
      </w:r>
      <w:r w:rsidRPr="003F7C86">
        <w:t>: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1488"/>
        <w:gridCol w:w="2447"/>
        <w:gridCol w:w="1692"/>
        <w:gridCol w:w="1973"/>
        <w:gridCol w:w="1188"/>
      </w:tblGrid>
      <w:tr w:rsidR="001C0ECA" w:rsidRPr="00E54F8E" w14:paraId="094065C9" w14:textId="77777777" w:rsidTr="00E54F8E">
        <w:trPr>
          <w:trHeight w:val="1197"/>
        </w:trPr>
        <w:tc>
          <w:tcPr>
            <w:tcW w:w="1488" w:type="dxa"/>
            <w:vAlign w:val="center"/>
          </w:tcPr>
          <w:p w14:paraId="6C6E95E6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Référence</w:t>
            </w:r>
          </w:p>
        </w:tc>
        <w:tc>
          <w:tcPr>
            <w:tcW w:w="2447" w:type="dxa"/>
            <w:vAlign w:val="center"/>
          </w:tcPr>
          <w:p w14:paraId="697980B4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sz w:val="18"/>
                <w:szCs w:val="18"/>
              </w:rPr>
              <w:t>Titre du document</w:t>
            </w:r>
          </w:p>
        </w:tc>
        <w:tc>
          <w:tcPr>
            <w:tcW w:w="1692" w:type="dxa"/>
            <w:vAlign w:val="center"/>
          </w:tcPr>
          <w:p w14:paraId="754B65CF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Sous-sections </w:t>
            </w:r>
            <w:r w:rsidR="00E54F8E">
              <w:rPr>
                <w:rFonts w:asciiTheme="majorBidi" w:hAnsiTheme="majorBidi" w:cstheme="majorBidi"/>
                <w:b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b/>
                <w:sz w:val="18"/>
                <w:szCs w:val="18"/>
              </w:rPr>
              <w:t>et paragraphes applicables</w:t>
            </w:r>
          </w:p>
        </w:tc>
        <w:tc>
          <w:tcPr>
            <w:tcW w:w="1973" w:type="dxa"/>
            <w:vAlign w:val="center"/>
          </w:tcPr>
          <w:p w14:paraId="688DB008" w14:textId="77777777" w:rsidR="001C0ECA" w:rsidRPr="00E54F8E" w:rsidRDefault="001C0ECA" w:rsidP="00E54F8E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Applicable pour </w:t>
            </w:r>
            <w:r w:rsid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les nouveaux agréments de type ou pour </w:t>
            </w:r>
            <w:r w:rsid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les renouvellements</w:t>
            </w:r>
          </w:p>
        </w:tc>
        <w:tc>
          <w:tcPr>
            <w:tcW w:w="1188" w:type="dxa"/>
            <w:vAlign w:val="center"/>
          </w:tcPr>
          <w:p w14:paraId="1EA70A3C" w14:textId="77777777" w:rsidR="001C0ECA" w:rsidRPr="00E54F8E" w:rsidRDefault="001C0ECA" w:rsidP="00E54F8E">
            <w:pPr>
              <w:suppressAutoHyphens w:val="0"/>
              <w:kinsoku/>
              <w:overflowPunct/>
              <w:snapToGrid/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Date ultime de retrait des agréments de type existants</w:t>
            </w:r>
          </w:p>
        </w:tc>
      </w:tr>
      <w:tr w:rsidR="001C0ECA" w:rsidRPr="00E54F8E" w14:paraId="116DDA20" w14:textId="77777777" w:rsidTr="00820141">
        <w:trPr>
          <w:trHeight w:val="237"/>
        </w:trPr>
        <w:tc>
          <w:tcPr>
            <w:tcW w:w="1488" w:type="dxa"/>
          </w:tcPr>
          <w:p w14:paraId="068D7629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iCs/>
                <w:sz w:val="18"/>
                <w:szCs w:val="18"/>
              </w:rPr>
              <w:t>(1)</w:t>
            </w:r>
          </w:p>
        </w:tc>
        <w:tc>
          <w:tcPr>
            <w:tcW w:w="2447" w:type="dxa"/>
          </w:tcPr>
          <w:p w14:paraId="7BFAC7D3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(2)</w:t>
            </w:r>
          </w:p>
        </w:tc>
        <w:tc>
          <w:tcPr>
            <w:tcW w:w="1692" w:type="dxa"/>
          </w:tcPr>
          <w:p w14:paraId="5ED0EE0D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(3)</w:t>
            </w:r>
          </w:p>
        </w:tc>
        <w:tc>
          <w:tcPr>
            <w:tcW w:w="1973" w:type="dxa"/>
          </w:tcPr>
          <w:p w14:paraId="10494111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(4)</w:t>
            </w:r>
          </w:p>
        </w:tc>
        <w:tc>
          <w:tcPr>
            <w:tcW w:w="1188" w:type="dxa"/>
          </w:tcPr>
          <w:p w14:paraId="6551E292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(5)</w:t>
            </w:r>
          </w:p>
        </w:tc>
      </w:tr>
      <w:tr w:rsidR="001C0ECA" w:rsidRPr="00E54F8E" w14:paraId="7B5AC2E1" w14:textId="77777777" w:rsidTr="00820141">
        <w:trPr>
          <w:trHeight w:val="237"/>
        </w:trPr>
        <w:tc>
          <w:tcPr>
            <w:tcW w:w="8788" w:type="dxa"/>
            <w:gridSpan w:val="5"/>
          </w:tcPr>
          <w:p w14:paraId="3E55C45C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b/>
                <w:i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b/>
                <w:i/>
                <w:sz w:val="18"/>
                <w:szCs w:val="18"/>
              </w:rPr>
              <w:t>Pour la conception et la construction des citernes</w:t>
            </w:r>
          </w:p>
        </w:tc>
      </w:tr>
      <w:tr w:rsidR="001C0ECA" w:rsidRPr="00E54F8E" w14:paraId="09C4E9B0" w14:textId="77777777" w:rsidTr="00E54F8E">
        <w:trPr>
          <w:trHeight w:val="1185"/>
        </w:trPr>
        <w:tc>
          <w:tcPr>
            <w:tcW w:w="1488" w:type="dxa"/>
          </w:tcPr>
          <w:p w14:paraId="63F31A30" w14:textId="77777777" w:rsidR="001C0ECA" w:rsidRPr="00EA33FD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EN </w:t>
            </w:r>
            <w:proofErr w:type="gramStart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14025:</w:t>
            </w:r>
            <w:proofErr w:type="gramEnd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2003</w:t>
            </w:r>
            <w:r w:rsidR="00EA33FD"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br/>
            </w: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+ AC:2005</w:t>
            </w:r>
          </w:p>
        </w:tc>
        <w:tc>
          <w:tcPr>
            <w:tcW w:w="2447" w:type="dxa"/>
          </w:tcPr>
          <w:p w14:paraId="0040855F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Citernes destinées au transport de matières dangereuses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>−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citernes métalliques sous pression − conception et fabrication</w:t>
            </w:r>
          </w:p>
        </w:tc>
        <w:tc>
          <w:tcPr>
            <w:tcW w:w="1692" w:type="dxa"/>
          </w:tcPr>
          <w:p w14:paraId="4649507F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6.8.2.1</w:t>
            </w:r>
          </w:p>
        </w:tc>
        <w:tc>
          <w:tcPr>
            <w:tcW w:w="1973" w:type="dxa"/>
          </w:tcPr>
          <w:p w14:paraId="05A200D1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Entre le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E54F8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er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 janvier 2005 et le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30 juin 2009</w:t>
            </w:r>
          </w:p>
        </w:tc>
        <w:tc>
          <w:tcPr>
            <w:tcW w:w="1188" w:type="dxa"/>
          </w:tcPr>
          <w:p w14:paraId="33060A46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C0ECA" w:rsidRPr="00E54F8E" w14:paraId="26972FBB" w14:textId="77777777" w:rsidTr="00E54F8E">
        <w:trPr>
          <w:trHeight w:val="1197"/>
        </w:trPr>
        <w:tc>
          <w:tcPr>
            <w:tcW w:w="1488" w:type="dxa"/>
          </w:tcPr>
          <w:p w14:paraId="6245B8A3" w14:textId="77777777" w:rsidR="001C0ECA" w:rsidRPr="00EA33FD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EN </w:t>
            </w:r>
            <w:proofErr w:type="gramStart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14025:</w:t>
            </w:r>
            <w:proofErr w:type="gramEnd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2008</w:t>
            </w:r>
          </w:p>
        </w:tc>
        <w:tc>
          <w:tcPr>
            <w:tcW w:w="2447" w:type="dxa"/>
          </w:tcPr>
          <w:p w14:paraId="27C92BCB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Citernes destinées au transport de matières dangereuses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>−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citernes métalliques sous pression − conception et fabrication</w:t>
            </w:r>
          </w:p>
        </w:tc>
        <w:tc>
          <w:tcPr>
            <w:tcW w:w="1692" w:type="dxa"/>
          </w:tcPr>
          <w:p w14:paraId="6BA1D7C5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6.8.2.1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et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6.8.3.1</w:t>
            </w:r>
          </w:p>
        </w:tc>
        <w:tc>
          <w:tcPr>
            <w:tcW w:w="1973" w:type="dxa"/>
          </w:tcPr>
          <w:p w14:paraId="3ADF9648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Entre le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E54F8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er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 juillet 2009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et le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31 décembre 2016</w:t>
            </w:r>
          </w:p>
        </w:tc>
        <w:tc>
          <w:tcPr>
            <w:tcW w:w="1188" w:type="dxa"/>
          </w:tcPr>
          <w:p w14:paraId="2E95096C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C0ECA" w:rsidRPr="00E54F8E" w14:paraId="5DCBE5C2" w14:textId="77777777" w:rsidTr="00E54F8E">
        <w:trPr>
          <w:trHeight w:val="1185"/>
        </w:trPr>
        <w:tc>
          <w:tcPr>
            <w:tcW w:w="1488" w:type="dxa"/>
          </w:tcPr>
          <w:p w14:paraId="110ED4F4" w14:textId="77777777" w:rsidR="001C0ECA" w:rsidRPr="00EA33FD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EN </w:t>
            </w:r>
            <w:proofErr w:type="gramStart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14025:</w:t>
            </w:r>
            <w:proofErr w:type="gramEnd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2013</w:t>
            </w:r>
          </w:p>
        </w:tc>
        <w:tc>
          <w:tcPr>
            <w:tcW w:w="2447" w:type="dxa"/>
          </w:tcPr>
          <w:p w14:paraId="010C5B14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Citernes destinées au transport de matières dangereuses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>−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citernes métalliques sous pression – conception et fabrication</w:t>
            </w:r>
          </w:p>
        </w:tc>
        <w:tc>
          <w:tcPr>
            <w:tcW w:w="1692" w:type="dxa"/>
          </w:tcPr>
          <w:p w14:paraId="520EB7DA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6.8.2.1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et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6.8.3.1</w:t>
            </w:r>
          </w:p>
        </w:tc>
        <w:tc>
          <w:tcPr>
            <w:tcW w:w="1973" w:type="dxa"/>
          </w:tcPr>
          <w:p w14:paraId="19AFF8C5" w14:textId="77777777" w:rsidR="001C0ECA" w:rsidRPr="00E54F8E" w:rsidRDefault="001C0ECA" w:rsidP="00FC4224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Entre le</w:t>
            </w:r>
            <w:r w:rsidR="00FC422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E54F8E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er</w:t>
            </w:r>
            <w:r w:rsidR="00FC4224" w:rsidRPr="00FC4224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janvier 2015 </w:t>
            </w:r>
            <w:r w:rsidR="00FC4224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et le 31</w:t>
            </w:r>
            <w:r w:rsidR="00FC4224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décembre 2018</w:t>
            </w:r>
          </w:p>
        </w:tc>
        <w:tc>
          <w:tcPr>
            <w:tcW w:w="1188" w:type="dxa"/>
          </w:tcPr>
          <w:p w14:paraId="0EE762F4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C0ECA" w:rsidRPr="00E54F8E" w14:paraId="545AF922" w14:textId="77777777" w:rsidTr="00E54F8E">
        <w:trPr>
          <w:trHeight w:val="1197"/>
        </w:trPr>
        <w:tc>
          <w:tcPr>
            <w:tcW w:w="1488" w:type="dxa"/>
          </w:tcPr>
          <w:p w14:paraId="723A2960" w14:textId="77777777" w:rsidR="001C0ECA" w:rsidRPr="00EA33FD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EN </w:t>
            </w:r>
            <w:proofErr w:type="gramStart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14025:</w:t>
            </w:r>
            <w:proofErr w:type="gramEnd"/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2013</w:t>
            </w:r>
            <w:r w:rsidR="00EA33FD"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br/>
            </w:r>
            <w:r w:rsidRPr="00EA33FD">
              <w:rPr>
                <w:rFonts w:asciiTheme="majorBidi" w:hAnsiTheme="majorBidi" w:cstheme="majorBidi"/>
                <w:iCs/>
                <w:sz w:val="18"/>
                <w:szCs w:val="18"/>
              </w:rPr>
              <w:t>+ A1:2016 (sauf annexe B)</w:t>
            </w:r>
          </w:p>
        </w:tc>
        <w:tc>
          <w:tcPr>
            <w:tcW w:w="2447" w:type="dxa"/>
          </w:tcPr>
          <w:p w14:paraId="3C524947" w14:textId="77777777" w:rsidR="001C0ECA" w:rsidRPr="00E54F8E" w:rsidRDefault="001C0ECA" w:rsidP="00E54F8E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Citernes destinées au transport de matières dangereuses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>− 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citernes métalliques sous pression – conception et fabrication</w:t>
            </w:r>
          </w:p>
        </w:tc>
        <w:tc>
          <w:tcPr>
            <w:tcW w:w="1692" w:type="dxa"/>
          </w:tcPr>
          <w:p w14:paraId="3BD1F6F2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 xml:space="preserve">6.8.2.1 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et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6.8.3.1</w:t>
            </w:r>
          </w:p>
        </w:tc>
        <w:tc>
          <w:tcPr>
            <w:tcW w:w="1973" w:type="dxa"/>
          </w:tcPr>
          <w:p w14:paraId="00FB66B4" w14:textId="77777777" w:rsidR="001C0ECA" w:rsidRPr="00E54F8E" w:rsidRDefault="001C0ECA" w:rsidP="00EA33FD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E54F8E">
              <w:rPr>
                <w:rFonts w:asciiTheme="majorBidi" w:hAnsiTheme="majorBidi" w:cstheme="majorBidi"/>
                <w:sz w:val="18"/>
                <w:szCs w:val="18"/>
              </w:rPr>
              <w:t>Jusqu’à</w:t>
            </w:r>
            <w:r w:rsidR="00EA33F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54F8E">
              <w:rPr>
                <w:rFonts w:asciiTheme="majorBidi" w:hAnsiTheme="majorBidi" w:cstheme="majorBidi"/>
                <w:sz w:val="18"/>
                <w:szCs w:val="18"/>
              </w:rPr>
              <w:t>nouvel ordre</w:t>
            </w:r>
          </w:p>
        </w:tc>
        <w:tc>
          <w:tcPr>
            <w:tcW w:w="1188" w:type="dxa"/>
          </w:tcPr>
          <w:p w14:paraId="479FB120" w14:textId="77777777" w:rsidR="001C0ECA" w:rsidRPr="00E54F8E" w:rsidRDefault="001C0ECA" w:rsidP="00605EF0">
            <w:pPr>
              <w:spacing w:before="60" w:after="60" w:line="240" w:lineRule="auto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411470DB" w14:textId="77777777" w:rsidR="001C0ECA" w:rsidRPr="005E473D" w:rsidRDefault="001C0ECA" w:rsidP="00CA2F1C">
      <w:pPr>
        <w:pStyle w:val="SingleTxtG"/>
        <w:spacing w:before="120"/>
      </w:pPr>
      <w:r w:rsidRPr="00FB2EAB">
        <w:t>4.</w:t>
      </w:r>
      <w:r w:rsidRPr="00FB2EAB">
        <w:tab/>
      </w:r>
      <w:r>
        <w:t>Le</w:t>
      </w:r>
      <w:r w:rsidRPr="00FB2EAB">
        <w:t xml:space="preserve"> </w:t>
      </w:r>
      <w:r>
        <w:t xml:space="preserve">point </w:t>
      </w:r>
      <w:r w:rsidRPr="00FB2EAB">
        <w:t xml:space="preserve">4.1 </w:t>
      </w:r>
      <w:r>
        <w:t>de la</w:t>
      </w:r>
      <w:r w:rsidRPr="00FB2EAB">
        <w:t xml:space="preserve"> </w:t>
      </w:r>
      <w:r>
        <w:t>norme</w:t>
      </w:r>
      <w:r w:rsidRPr="00FB2EAB">
        <w:t xml:space="preserve"> </w:t>
      </w:r>
      <w:r w:rsidRPr="009D098C">
        <w:t>EN</w:t>
      </w:r>
      <w:r>
        <w:t> </w:t>
      </w:r>
      <w:r w:rsidRPr="00FB2EAB">
        <w:t xml:space="preserve">14025 </w:t>
      </w:r>
      <w:r>
        <w:t xml:space="preserve">indique que le matériau de la citerne doit être conforme à la norme </w:t>
      </w:r>
      <w:r w:rsidRPr="009D098C">
        <w:t>EN</w:t>
      </w:r>
      <w:r>
        <w:t> </w:t>
      </w:r>
      <w:r w:rsidRPr="005E473D">
        <w:t>13445-2.</w:t>
      </w:r>
    </w:p>
    <w:p w14:paraId="483A63CA" w14:textId="77777777" w:rsidR="001C0ECA" w:rsidRPr="00E10F8F" w:rsidRDefault="001C0ECA" w:rsidP="00A52B38">
      <w:pPr>
        <w:pStyle w:val="HChG"/>
      </w:pPr>
      <w:r w:rsidRPr="005E473D">
        <w:tab/>
      </w:r>
      <w:r w:rsidRPr="005E473D">
        <w:tab/>
      </w:r>
      <w:r>
        <w:t>Propositions</w:t>
      </w:r>
    </w:p>
    <w:p w14:paraId="03131B3F" w14:textId="77777777" w:rsidR="001C0ECA" w:rsidRPr="00E10F8F" w:rsidRDefault="00A52B38" w:rsidP="00A52B38">
      <w:pPr>
        <w:pStyle w:val="H1G"/>
      </w:pPr>
      <w:r>
        <w:tab/>
      </w:r>
      <w:r>
        <w:tab/>
      </w:r>
      <w:r w:rsidR="001C0ECA" w:rsidRPr="00E10F8F">
        <w:t>Proposition 1</w:t>
      </w:r>
    </w:p>
    <w:p w14:paraId="0F08F1B8" w14:textId="77777777" w:rsidR="001C0ECA" w:rsidRPr="005E473D" w:rsidRDefault="001C0ECA" w:rsidP="00A52B38">
      <w:pPr>
        <w:pStyle w:val="SingleTxtG"/>
        <w:ind w:firstLine="567"/>
      </w:pPr>
      <w:r w:rsidRPr="005E473D">
        <w:t>Supprimer du paragraphe 6.8.2.1.10 la phrase</w:t>
      </w:r>
      <w:r w:rsidR="00A52B38">
        <w:t> </w:t>
      </w:r>
      <w:r w:rsidRPr="005E473D">
        <w:t>: «</w:t>
      </w:r>
      <w:r w:rsidR="00A52B38">
        <w:t> </w:t>
      </w:r>
      <w:r w:rsidRPr="005E473D">
        <w:t>De l</w:t>
      </w:r>
      <w:r>
        <w:t>’</w:t>
      </w:r>
      <w:r w:rsidRPr="005E473D">
        <w:t>acier trempé à l</w:t>
      </w:r>
      <w:r>
        <w:t>’</w:t>
      </w:r>
      <w:r w:rsidRPr="005E473D">
        <w:t>eau ne doit pas être utilisé pour les réservoirs soudés en acier.</w:t>
      </w:r>
      <w:r w:rsidR="00A52B38">
        <w:t> </w:t>
      </w:r>
      <w:r w:rsidRPr="005E473D">
        <w:t>»</w:t>
      </w:r>
      <w:r>
        <w:t>.</w:t>
      </w:r>
    </w:p>
    <w:p w14:paraId="652DCB4D" w14:textId="77777777" w:rsidR="001C0ECA" w:rsidRPr="002F3A44" w:rsidRDefault="00A52B38" w:rsidP="00A52B38">
      <w:pPr>
        <w:pStyle w:val="H1G"/>
      </w:pPr>
      <w:r>
        <w:lastRenderedPageBreak/>
        <w:tab/>
      </w:r>
      <w:r>
        <w:tab/>
      </w:r>
      <w:r w:rsidR="001C0ECA" w:rsidRPr="00595971">
        <w:t>Proposition</w:t>
      </w:r>
      <w:r w:rsidR="001C0ECA" w:rsidRPr="002F3A44">
        <w:t xml:space="preserve"> 2</w:t>
      </w:r>
    </w:p>
    <w:p w14:paraId="28DD474E" w14:textId="77777777" w:rsidR="001C0ECA" w:rsidRPr="00A52B38" w:rsidRDefault="001C0ECA" w:rsidP="00A52B38">
      <w:pPr>
        <w:pStyle w:val="SingleTxtG"/>
        <w:ind w:firstLine="567"/>
      </w:pPr>
      <w:r w:rsidRPr="00A52B38">
        <w:t>Supprimer du paragraphe 6.8.2.1.11 la phrase</w:t>
      </w:r>
      <w:r w:rsidR="00A52B38">
        <w:t> </w:t>
      </w:r>
      <w:r w:rsidRPr="00A52B38">
        <w:t>: «</w:t>
      </w:r>
      <w:r w:rsidR="00A52B38">
        <w:t> </w:t>
      </w:r>
      <w:r w:rsidRPr="00A52B38">
        <w:t>Les rapports Re/</w:t>
      </w:r>
      <w:proofErr w:type="spellStart"/>
      <w:r w:rsidRPr="00A52B38">
        <w:t>Rm</w:t>
      </w:r>
      <w:proofErr w:type="spellEnd"/>
      <w:r w:rsidRPr="00A52B38">
        <w:t xml:space="preserve"> supérieurs à</w:t>
      </w:r>
      <w:r w:rsidR="00A52B38">
        <w:t> </w:t>
      </w:r>
      <w:r w:rsidRPr="00A52B38">
        <w:t>0,85 ne sont pas admis pour les aciers utilisés dans la construction de réservoirs soudés.</w:t>
      </w:r>
      <w:r w:rsidR="00A52B38">
        <w:t> </w:t>
      </w:r>
      <w:r w:rsidRPr="00A52B38">
        <w:t>».</w:t>
      </w:r>
    </w:p>
    <w:p w14:paraId="4C053841" w14:textId="77777777" w:rsidR="001C0ECA" w:rsidRPr="002F3A44" w:rsidRDefault="001C0ECA" w:rsidP="00522D74">
      <w:pPr>
        <w:pStyle w:val="HChG"/>
      </w:pPr>
      <w:r w:rsidRPr="00E10F8F">
        <w:tab/>
      </w:r>
      <w:r w:rsidRPr="00E10F8F">
        <w:tab/>
      </w:r>
      <w:r>
        <w:t>Justification</w:t>
      </w:r>
    </w:p>
    <w:p w14:paraId="7F4BE2F0" w14:textId="77777777" w:rsidR="001C0ECA" w:rsidRPr="00D831D1" w:rsidRDefault="001C0ECA" w:rsidP="00522D74">
      <w:pPr>
        <w:pStyle w:val="SingleTxtG"/>
      </w:pPr>
      <w:r w:rsidRPr="005E473D">
        <w:t>5.</w:t>
      </w:r>
      <w:r w:rsidRPr="005E473D">
        <w:tab/>
      </w:r>
      <w:r>
        <w:t>La</w:t>
      </w:r>
      <w:r w:rsidRPr="005E473D">
        <w:t xml:space="preserve"> </w:t>
      </w:r>
      <w:r>
        <w:t>norme</w:t>
      </w:r>
      <w:r w:rsidRPr="005E473D">
        <w:t xml:space="preserve"> </w:t>
      </w:r>
      <w:r>
        <w:t>E</w:t>
      </w:r>
      <w:r w:rsidRPr="009D098C">
        <w:t>N</w:t>
      </w:r>
      <w:r>
        <w:t> </w:t>
      </w:r>
      <w:r w:rsidRPr="005E473D">
        <w:t xml:space="preserve">13445-2 </w:t>
      </w:r>
      <w:r>
        <w:t xml:space="preserve">prévoit trois </w:t>
      </w:r>
      <w:r w:rsidRPr="00D26153">
        <w:t>procédé</w:t>
      </w:r>
      <w:r>
        <w:t>s</w:t>
      </w:r>
      <w:r w:rsidRPr="00D26153">
        <w:t xml:space="preserve"> de </w:t>
      </w:r>
      <w:r>
        <w:t>production de tôles laminées</w:t>
      </w:r>
      <w:r w:rsidR="00FC4224">
        <w:t> </w:t>
      </w:r>
      <w:r w:rsidRPr="00D831D1">
        <w:t>: «</w:t>
      </w:r>
      <w:r w:rsidR="00522D74">
        <w:t> </w:t>
      </w:r>
      <w:r>
        <w:t>normalisation</w:t>
      </w:r>
      <w:r w:rsidR="00522D74">
        <w:t> </w:t>
      </w:r>
      <w:r w:rsidRPr="00D831D1">
        <w:t>», «</w:t>
      </w:r>
      <w:r w:rsidR="00522D74">
        <w:t> </w:t>
      </w:r>
      <w:r w:rsidRPr="00F936B3">
        <w:t>traitement thermomécanique</w:t>
      </w:r>
      <w:r w:rsidR="00522D74">
        <w:t> </w:t>
      </w:r>
      <w:r w:rsidRPr="00D831D1">
        <w:t>», «</w:t>
      </w:r>
      <w:r w:rsidR="00522D74">
        <w:t> </w:t>
      </w:r>
      <w:r>
        <w:t>trempe et revenu</w:t>
      </w:r>
      <w:r w:rsidR="00522D74">
        <w:t> </w:t>
      </w:r>
      <w:r w:rsidRPr="00D831D1">
        <w:t>»</w:t>
      </w:r>
      <w:r w:rsidR="00522D74">
        <w:t> </w:t>
      </w:r>
      <w:r w:rsidRPr="00D831D1">
        <w:t>:</w:t>
      </w:r>
    </w:p>
    <w:p w14:paraId="1D4DFC6A" w14:textId="77777777" w:rsidR="001C0ECA" w:rsidRDefault="001C0ECA" w:rsidP="001C0ECA">
      <w:pPr>
        <w:pStyle w:val="SingleTxtG"/>
      </w:pPr>
      <w:r w:rsidRPr="00104992">
        <w:rPr>
          <w:noProof/>
          <w:sz w:val="28"/>
          <w:szCs w:val="28"/>
          <w:lang w:eastAsia="fr-CH"/>
        </w:rPr>
        <w:drawing>
          <wp:inline distT="0" distB="0" distL="0" distR="0" wp14:anchorId="42AAC59E" wp14:editId="2C6C1445">
            <wp:extent cx="4680000" cy="622898"/>
            <wp:effectExtent l="19050" t="0" r="630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1F49" w14:textId="77777777" w:rsidR="001C0ECA" w:rsidRPr="00467DAA" w:rsidRDefault="001C0ECA" w:rsidP="003C4EFA">
      <w:pPr>
        <w:pStyle w:val="SingleTxtG"/>
        <w:keepNext/>
        <w:spacing w:before="120"/>
      </w:pPr>
      <w:r w:rsidRPr="00467DAA">
        <w:t>6.</w:t>
      </w:r>
      <w:r w:rsidRPr="00467DAA">
        <w:tab/>
      </w:r>
      <w:r>
        <w:t xml:space="preserve">Les prescriptions du paragraphe </w:t>
      </w:r>
      <w:r w:rsidRPr="00467DAA">
        <w:t xml:space="preserve">6.8.2.1.10 </w:t>
      </w:r>
      <w:r>
        <w:t>peuvent être interprétées de différentes manières</w:t>
      </w:r>
      <w:r w:rsidR="00823799">
        <w:t> </w:t>
      </w:r>
      <w:r w:rsidRPr="00467DAA">
        <w:t>:</w:t>
      </w:r>
    </w:p>
    <w:p w14:paraId="4B9216E0" w14:textId="77777777" w:rsidR="001C0ECA" w:rsidRPr="00A11742" w:rsidRDefault="001C0ECA" w:rsidP="001C0ECA">
      <w:pPr>
        <w:pStyle w:val="SingleTxtG"/>
        <w:spacing w:before="120"/>
      </w:pPr>
      <w:r>
        <w:rPr>
          <w:u w:val="single"/>
        </w:rPr>
        <w:t>Option</w:t>
      </w:r>
      <w:r w:rsidRPr="002F3A44">
        <w:rPr>
          <w:u w:val="single"/>
        </w:rPr>
        <w:t xml:space="preserve"> 1.</w:t>
      </w:r>
      <w:r w:rsidRPr="002F3A44">
        <w:t xml:space="preserve"> </w:t>
      </w:r>
      <w:r>
        <w:t>Il</w:t>
      </w:r>
      <w:r w:rsidRPr="00D831D1">
        <w:t xml:space="preserve"> </w:t>
      </w:r>
      <w:r>
        <w:t>n’y</w:t>
      </w:r>
      <w:r w:rsidRPr="00D831D1">
        <w:t xml:space="preserve"> </w:t>
      </w:r>
      <w:r>
        <w:t>est</w:t>
      </w:r>
      <w:r w:rsidRPr="00D831D1">
        <w:t xml:space="preserve"> </w:t>
      </w:r>
      <w:r>
        <w:t>pas</w:t>
      </w:r>
      <w:r w:rsidRPr="00D831D1">
        <w:t xml:space="preserve"> </w:t>
      </w:r>
      <w:r>
        <w:t>fait</w:t>
      </w:r>
      <w:r w:rsidRPr="00D831D1">
        <w:t xml:space="preserve"> </w:t>
      </w:r>
      <w:r>
        <w:t>mention</w:t>
      </w:r>
      <w:r w:rsidRPr="00D831D1">
        <w:t xml:space="preserve"> </w:t>
      </w:r>
      <w:r>
        <w:t>de</w:t>
      </w:r>
      <w:r w:rsidRPr="00D831D1">
        <w:t xml:space="preserve"> </w:t>
      </w:r>
      <w:r>
        <w:t>la</w:t>
      </w:r>
      <w:r w:rsidRPr="00D831D1">
        <w:t xml:space="preserve"> </w:t>
      </w:r>
      <w:r>
        <w:t>proc</w:t>
      </w:r>
      <w:r w:rsidRPr="00D831D1">
        <w:t>é</w:t>
      </w:r>
      <w:r>
        <w:t xml:space="preserve">dure de « revenu » de l’acier, ce qui signifie que l’on peut utiliser des tôles laminées fabriquées par la technologie de </w:t>
      </w:r>
      <w:r w:rsidRPr="00A11742">
        <w:t>«</w:t>
      </w:r>
      <w:r w:rsidR="003C4EFA">
        <w:t> </w:t>
      </w:r>
      <w:r w:rsidRPr="00A11742">
        <w:t>trempe et revenu</w:t>
      </w:r>
      <w:r w:rsidR="003C4EFA">
        <w:t> </w:t>
      </w:r>
      <w:r w:rsidRPr="00A11742">
        <w:t>»</w:t>
      </w:r>
      <w:r w:rsidR="00FC4224">
        <w:t> </w:t>
      </w:r>
      <w:r w:rsidRPr="00A11742">
        <w:t>;</w:t>
      </w:r>
    </w:p>
    <w:p w14:paraId="3E8463AB" w14:textId="77777777" w:rsidR="001C0ECA" w:rsidRDefault="001C0ECA" w:rsidP="001C0ECA">
      <w:pPr>
        <w:pStyle w:val="SingleTxtG"/>
        <w:spacing w:before="120"/>
      </w:pPr>
      <w:r w:rsidRPr="00A11742">
        <w:rPr>
          <w:u w:val="single"/>
        </w:rPr>
        <w:t xml:space="preserve">Option </w:t>
      </w:r>
      <w:r>
        <w:rPr>
          <w:u w:val="single"/>
        </w:rPr>
        <w:t>2</w:t>
      </w:r>
      <w:r w:rsidRPr="00A11742">
        <w:rPr>
          <w:u w:val="single"/>
        </w:rPr>
        <w:t>.</w:t>
      </w:r>
      <w:r w:rsidRPr="00A11742">
        <w:t xml:space="preserve"> </w:t>
      </w:r>
      <w:r>
        <w:t>On</w:t>
      </w:r>
      <w:r w:rsidRPr="00A11742">
        <w:t xml:space="preserve"> </w:t>
      </w:r>
      <w:r>
        <w:t>y</w:t>
      </w:r>
      <w:r w:rsidRPr="00A11742">
        <w:t xml:space="preserve"> </w:t>
      </w:r>
      <w:r>
        <w:t>parle</w:t>
      </w:r>
      <w:r w:rsidRPr="00A11742">
        <w:t xml:space="preserve"> </w:t>
      </w:r>
      <w:r>
        <w:t>de</w:t>
      </w:r>
      <w:r w:rsidRPr="00A11742">
        <w:t xml:space="preserve"> «</w:t>
      </w:r>
      <w:r w:rsidR="00FC4224">
        <w:t> </w:t>
      </w:r>
      <w:r w:rsidRPr="00A11742">
        <w:t>trempe et revenu</w:t>
      </w:r>
      <w:r w:rsidR="00FC4224">
        <w:t> </w:t>
      </w:r>
      <w:r w:rsidRPr="00A11742">
        <w:t xml:space="preserve">», </w:t>
      </w:r>
      <w:r>
        <w:t xml:space="preserve">ce qui signifie qu’il est permis d’utiliser seulement des tôles laminées produites par les technologies de </w:t>
      </w:r>
      <w:r w:rsidRPr="00F936B3">
        <w:t>«</w:t>
      </w:r>
      <w:r w:rsidR="003C4EFA">
        <w:t> </w:t>
      </w:r>
      <w:r w:rsidRPr="00F936B3">
        <w:t>normalisation</w:t>
      </w:r>
      <w:r w:rsidR="003C4EFA">
        <w:t> </w:t>
      </w:r>
      <w:r w:rsidRPr="00F936B3">
        <w:t>»</w:t>
      </w:r>
      <w:r>
        <w:t xml:space="preserve"> ou de </w:t>
      </w:r>
      <w:r w:rsidRPr="00F936B3">
        <w:t>«</w:t>
      </w:r>
      <w:r w:rsidR="003C4EFA">
        <w:t> </w:t>
      </w:r>
      <w:r w:rsidRPr="00F936B3">
        <w:t>traitement thermomécanique</w:t>
      </w:r>
      <w:r w:rsidR="003C4EFA">
        <w:t> </w:t>
      </w:r>
      <w:r w:rsidRPr="00F936B3">
        <w:t>»</w:t>
      </w:r>
      <w:r>
        <w:t>.</w:t>
      </w:r>
    </w:p>
    <w:p w14:paraId="77F07E38" w14:textId="77777777" w:rsidR="00892DC2" w:rsidRDefault="001C0ECA" w:rsidP="003C4EFA">
      <w:pPr>
        <w:pStyle w:val="SingleTxtG"/>
      </w:pPr>
      <w:r w:rsidRPr="00F936B3">
        <w:t>7.</w:t>
      </w:r>
      <w:r w:rsidRPr="00F936B3">
        <w:tab/>
      </w:r>
      <w:r>
        <w:t>Lorsqu’on</w:t>
      </w:r>
      <w:r w:rsidRPr="00F936B3">
        <w:t xml:space="preserve"> </w:t>
      </w:r>
      <w:r>
        <w:t>utilise</w:t>
      </w:r>
      <w:r w:rsidRPr="00F936B3">
        <w:t xml:space="preserve"> </w:t>
      </w:r>
      <w:r>
        <w:t>des</w:t>
      </w:r>
      <w:r w:rsidRPr="00F936B3">
        <w:t xml:space="preserve"> </w:t>
      </w:r>
      <w:r>
        <w:t xml:space="preserve">tôles laminées ayant des caractéristiques mécaniques suffisamment élevées (par exemple </w:t>
      </w:r>
      <w:r w:rsidRPr="00F936B3">
        <w:t>avec une limite d</w:t>
      </w:r>
      <w:r>
        <w:t>’</w:t>
      </w:r>
      <w:r w:rsidRPr="00F936B3">
        <w:t xml:space="preserve">élasticité </w:t>
      </w:r>
      <w:r>
        <w:t xml:space="preserve">égale ou </w:t>
      </w:r>
      <w:r w:rsidRPr="00F936B3">
        <w:t>supérieure à</w:t>
      </w:r>
      <w:r>
        <w:t xml:space="preserve"> 390</w:t>
      </w:r>
      <w:r w:rsidR="003C4EFA">
        <w:t> </w:t>
      </w:r>
      <w:r>
        <w:t>MPa</w:t>
      </w:r>
      <w:r w:rsidRPr="0032004F">
        <w:t>)</w:t>
      </w:r>
      <w:r w:rsidR="00892DC2">
        <w:t>,</w:t>
      </w:r>
      <w:r w:rsidRPr="0032004F">
        <w:t xml:space="preserve"> </w:t>
      </w:r>
      <w:r>
        <w:t>les prescriptions du paragraphe </w:t>
      </w:r>
      <w:r w:rsidRPr="0032004F">
        <w:t>6.8.2.1.11</w:t>
      </w:r>
      <w:r>
        <w:t xml:space="preserve"> concernant l</w:t>
      </w:r>
      <w:r w:rsidRPr="0032004F">
        <w:t>e rapport Re/</w:t>
      </w:r>
      <w:proofErr w:type="spellStart"/>
      <w:r w:rsidRPr="0032004F">
        <w:t>Rm</w:t>
      </w:r>
      <w:proofErr w:type="spellEnd"/>
      <w:r>
        <w:t xml:space="preserve"> rendent impossible la production par </w:t>
      </w:r>
      <w:r w:rsidRPr="0032004F">
        <w:t>«</w:t>
      </w:r>
      <w:r w:rsidR="00FC4224">
        <w:t> </w:t>
      </w:r>
      <w:r w:rsidRPr="0032004F">
        <w:t>traitement thermomécanique</w:t>
      </w:r>
      <w:r w:rsidR="00FC4224">
        <w:t> </w:t>
      </w:r>
      <w:r w:rsidRPr="0032004F">
        <w:t>»</w:t>
      </w:r>
      <w:r>
        <w:t xml:space="preserve"> car</w:t>
      </w:r>
      <w:r w:rsidR="00892DC2">
        <w:t>,</w:t>
      </w:r>
      <w:r>
        <w:t xml:space="preserve"> conformément à cette technologie</w:t>
      </w:r>
      <w:r w:rsidR="00892DC2">
        <w:t>,</w:t>
      </w:r>
      <w:r>
        <w:t xml:space="preserve"> le rapport Re</w:t>
      </w:r>
      <w:r w:rsidRPr="0032004F">
        <w:t>/</w:t>
      </w:r>
      <w:proofErr w:type="spellStart"/>
      <w:r>
        <w:t>Rm</w:t>
      </w:r>
      <w:proofErr w:type="spellEnd"/>
      <w:r w:rsidRPr="0032004F">
        <w:t xml:space="preserve"> </w:t>
      </w:r>
      <w:r>
        <w:t xml:space="preserve">sera toujours supérieur à </w:t>
      </w:r>
      <w:r w:rsidRPr="0032004F">
        <w:t>0,85.</w:t>
      </w:r>
      <w:r>
        <w:t xml:space="preserve"> </w:t>
      </w:r>
    </w:p>
    <w:p w14:paraId="60272826" w14:textId="77777777" w:rsidR="001C0ECA" w:rsidRPr="003327E4" w:rsidRDefault="001C0ECA" w:rsidP="003C4EFA">
      <w:pPr>
        <w:pStyle w:val="SingleTxtG"/>
      </w:pPr>
      <w:r>
        <w:t>Ainsi</w:t>
      </w:r>
      <w:r w:rsidRPr="003327E4">
        <w:t xml:space="preserve"> </w:t>
      </w:r>
      <w:r>
        <w:t>donc</w:t>
      </w:r>
      <w:r w:rsidRPr="003327E4">
        <w:t xml:space="preserve">, </w:t>
      </w:r>
      <w:r>
        <w:t>bien</w:t>
      </w:r>
      <w:r w:rsidRPr="003327E4">
        <w:t xml:space="preserve"> </w:t>
      </w:r>
      <w:r>
        <w:t>que</w:t>
      </w:r>
      <w:r w:rsidRPr="003327E4">
        <w:t xml:space="preserve"> </w:t>
      </w:r>
      <w:r>
        <w:t>le</w:t>
      </w:r>
      <w:r w:rsidRPr="003327E4">
        <w:t xml:space="preserve"> </w:t>
      </w:r>
      <w:r>
        <w:t>paragraphe</w:t>
      </w:r>
      <w:r w:rsidR="003C4EFA">
        <w:t> </w:t>
      </w:r>
      <w:r w:rsidRPr="003327E4">
        <w:t>6.8.2.1.10 é</w:t>
      </w:r>
      <w:r>
        <w:t>voque</w:t>
      </w:r>
      <w:r w:rsidRPr="003327E4">
        <w:t xml:space="preserve"> </w:t>
      </w:r>
      <w:r>
        <w:t>tout</w:t>
      </w:r>
      <w:r w:rsidRPr="003327E4">
        <w:t xml:space="preserve"> </w:t>
      </w:r>
      <w:r>
        <w:t>de</w:t>
      </w:r>
      <w:r w:rsidRPr="003327E4">
        <w:t xml:space="preserve"> </w:t>
      </w:r>
      <w:r>
        <w:t>m</w:t>
      </w:r>
      <w:r w:rsidRPr="003327E4">
        <w:t>ê</w:t>
      </w:r>
      <w:r>
        <w:t>me</w:t>
      </w:r>
      <w:r w:rsidRPr="003327E4">
        <w:t xml:space="preserve"> </w:t>
      </w:r>
      <w:r>
        <w:t>la</w:t>
      </w:r>
      <w:r w:rsidRPr="003327E4">
        <w:t xml:space="preserve"> </w:t>
      </w:r>
      <w:r>
        <w:t>technologie</w:t>
      </w:r>
      <w:r w:rsidRPr="003327E4">
        <w:t xml:space="preserve"> «</w:t>
      </w:r>
      <w:r w:rsidR="005D4A26">
        <w:t> </w:t>
      </w:r>
      <w:r w:rsidRPr="003327E4">
        <w:t>trempe et revenu</w:t>
      </w:r>
      <w:r w:rsidR="005D4A26">
        <w:t> </w:t>
      </w:r>
      <w:r w:rsidRPr="003327E4">
        <w:t xml:space="preserve">», </w:t>
      </w:r>
      <w:r>
        <w:t xml:space="preserve">la fabrication de chaudières soudées n’est possible qu’avec des tôles laminées produites par la technologie de </w:t>
      </w:r>
      <w:r w:rsidRPr="003327E4">
        <w:t>«</w:t>
      </w:r>
      <w:r w:rsidR="005D4A26">
        <w:t> </w:t>
      </w:r>
      <w:r>
        <w:t>normalisation</w:t>
      </w:r>
      <w:r w:rsidR="005D4A26">
        <w:t> </w:t>
      </w:r>
      <w:r w:rsidRPr="003327E4">
        <w:t>».</w:t>
      </w:r>
    </w:p>
    <w:p w14:paraId="593C12BE" w14:textId="77777777" w:rsidR="001C0ECA" w:rsidRDefault="001C0ECA" w:rsidP="001C0ECA">
      <w:pPr>
        <w:pStyle w:val="SingleTxtG"/>
      </w:pPr>
      <w:r w:rsidRPr="00F911CC">
        <w:t>8.</w:t>
      </w:r>
      <w:r w:rsidRPr="00F911CC">
        <w:tab/>
      </w:r>
      <w:r>
        <w:t>La norme G</w:t>
      </w:r>
      <w:r w:rsidRPr="008103E4">
        <w:rPr>
          <w:lang w:val="ru-RU"/>
        </w:rPr>
        <w:t>О</w:t>
      </w:r>
      <w:r>
        <w:t>S</w:t>
      </w:r>
      <w:r w:rsidRPr="008103E4">
        <w:rPr>
          <w:lang w:val="ru-RU"/>
        </w:rPr>
        <w:t>Т</w:t>
      </w:r>
      <w:r>
        <w:t> </w:t>
      </w:r>
      <w:r w:rsidRPr="00F911CC">
        <w:t>5520-2017 «</w:t>
      </w:r>
      <w:r w:rsidR="006D3D75">
        <w:t> </w:t>
      </w:r>
      <w:r>
        <w:t>Tôles laminées en acier non</w:t>
      </w:r>
      <w:r w:rsidR="00892DC2">
        <w:t xml:space="preserve"> </w:t>
      </w:r>
      <w:r>
        <w:t xml:space="preserve">allié et en acier allié pour chaudières et récipients à pression. </w:t>
      </w:r>
      <w:r w:rsidRPr="00D80658">
        <w:t>Conditions</w:t>
      </w:r>
      <w:r w:rsidRPr="009F5604">
        <w:t xml:space="preserve"> </w:t>
      </w:r>
      <w:r w:rsidRPr="00D80658">
        <w:t>techniques</w:t>
      </w:r>
      <w:r w:rsidR="006D3D75">
        <w:t> </w:t>
      </w:r>
      <w:r w:rsidRPr="009F5604">
        <w:t xml:space="preserve">» </w:t>
      </w:r>
      <w:r>
        <w:t>ne</w:t>
      </w:r>
      <w:r w:rsidRPr="009F5604">
        <w:t xml:space="preserve"> </w:t>
      </w:r>
      <w:r>
        <w:t>fixe</w:t>
      </w:r>
      <w:r w:rsidRPr="009F5604">
        <w:t xml:space="preserve"> </w:t>
      </w:r>
      <w:r>
        <w:t>pas</w:t>
      </w:r>
      <w:r w:rsidRPr="009F5604">
        <w:t xml:space="preserve"> </w:t>
      </w:r>
      <w:r>
        <w:t>non</w:t>
      </w:r>
      <w:r w:rsidRPr="009F5604">
        <w:t xml:space="preserve"> </w:t>
      </w:r>
      <w:r>
        <w:t>plus</w:t>
      </w:r>
      <w:r w:rsidRPr="009F5604">
        <w:t xml:space="preserve"> </w:t>
      </w:r>
      <w:r>
        <w:t>de</w:t>
      </w:r>
      <w:r w:rsidRPr="009F5604">
        <w:t xml:space="preserve"> </w:t>
      </w:r>
      <w:r>
        <w:t xml:space="preserve">restriction en ce qui concerne la technologie de construction des chaudières soudées des wagons-citernes </w:t>
      </w:r>
      <w:r w:rsidRPr="003327E4">
        <w:t>:</w:t>
      </w:r>
    </w:p>
    <w:p w14:paraId="70A7F42A" w14:textId="77777777" w:rsidR="001C0ECA" w:rsidRPr="009A6907" w:rsidRDefault="001C0ECA" w:rsidP="00732F66">
      <w:pPr>
        <w:pStyle w:val="SingleTxtG"/>
        <w:keepNext/>
        <w:spacing w:after="100"/>
        <w:ind w:left="1701"/>
        <w:rPr>
          <w:b/>
          <w:bCs/>
        </w:rPr>
      </w:pPr>
      <w:r w:rsidRPr="009A6907">
        <w:rPr>
          <w:b/>
          <w:bCs/>
        </w:rPr>
        <w:t xml:space="preserve">4. </w:t>
      </w:r>
      <w:r w:rsidRPr="009A6907">
        <w:rPr>
          <w:b/>
          <w:bCs/>
        </w:rPr>
        <w:tab/>
        <w:t>Classification et désignations</w:t>
      </w:r>
    </w:p>
    <w:p w14:paraId="764ED3BC" w14:textId="77777777" w:rsidR="001C0ECA" w:rsidRPr="008A4B8C" w:rsidRDefault="001C0ECA" w:rsidP="00732F66">
      <w:pPr>
        <w:pStyle w:val="SingleTxtG"/>
        <w:spacing w:after="100"/>
        <w:ind w:left="1701"/>
        <w:rPr>
          <w:szCs w:val="24"/>
        </w:rPr>
      </w:pPr>
      <w:r w:rsidRPr="008A4B8C">
        <w:rPr>
          <w:szCs w:val="24"/>
        </w:rPr>
        <w:t>4.1</w:t>
      </w:r>
      <w:r w:rsidRPr="008A4B8C">
        <w:rPr>
          <w:szCs w:val="24"/>
        </w:rPr>
        <w:tab/>
        <w:t xml:space="preserve">Les aciers se </w:t>
      </w:r>
      <w:r>
        <w:rPr>
          <w:szCs w:val="24"/>
        </w:rPr>
        <w:t>subdivisent</w:t>
      </w:r>
      <w:r w:rsidR="009A6907">
        <w:rPr>
          <w:szCs w:val="24"/>
        </w:rPr>
        <w:t> </w:t>
      </w:r>
      <w:r w:rsidRPr="008A4B8C">
        <w:rPr>
          <w:szCs w:val="24"/>
        </w:rPr>
        <w:t>:</w:t>
      </w:r>
    </w:p>
    <w:p w14:paraId="491DC377" w14:textId="77777777" w:rsidR="001C0ECA" w:rsidRPr="008A4B8C" w:rsidRDefault="009A6907" w:rsidP="00732F66">
      <w:pPr>
        <w:pStyle w:val="Bullet1G"/>
        <w:spacing w:after="100"/>
        <w:ind w:left="2268"/>
      </w:pPr>
      <w:r>
        <w:t>S</w:t>
      </w:r>
      <w:r w:rsidR="001C0ECA" w:rsidRPr="008A4B8C">
        <w:t>elon leur composition chimique en</w:t>
      </w:r>
      <w:r w:rsidR="001C0ECA">
        <w:t xml:space="preserve"> classes :</w:t>
      </w:r>
      <w:r w:rsidR="001C0ECA" w:rsidRPr="008A4B8C">
        <w:t xml:space="preserve"> </w:t>
      </w:r>
    </w:p>
    <w:p w14:paraId="15E082ED" w14:textId="77777777" w:rsidR="001C0ECA" w:rsidRPr="008A4B8C" w:rsidRDefault="005A5B2E" w:rsidP="00732F66">
      <w:pPr>
        <w:pStyle w:val="Bullet1G"/>
        <w:spacing w:after="100"/>
        <w:ind w:left="2438"/>
      </w:pPr>
      <w:r>
        <w:t>A</w:t>
      </w:r>
      <w:r w:rsidR="001C0ECA" w:rsidRPr="008A4B8C">
        <w:t>ciers non</w:t>
      </w:r>
      <w:r w:rsidR="00892DC2">
        <w:t xml:space="preserve"> </w:t>
      </w:r>
      <w:r w:rsidR="001C0ECA" w:rsidRPr="008A4B8C">
        <w:t>alliés</w:t>
      </w:r>
      <w:r>
        <w:t> ;</w:t>
      </w:r>
    </w:p>
    <w:p w14:paraId="610B77A4" w14:textId="77777777" w:rsidR="001C0ECA" w:rsidRPr="008A4B8C" w:rsidRDefault="005A5B2E" w:rsidP="00732F66">
      <w:pPr>
        <w:pStyle w:val="Bullet1G"/>
        <w:spacing w:after="100"/>
        <w:ind w:left="2438"/>
      </w:pPr>
      <w:r>
        <w:t>A</w:t>
      </w:r>
      <w:r w:rsidR="001C0ECA" w:rsidRPr="008A4B8C">
        <w:t>ciers alliés</w:t>
      </w:r>
      <w:r>
        <w:t>.</w:t>
      </w:r>
    </w:p>
    <w:p w14:paraId="0FF9BB9A" w14:textId="77777777" w:rsidR="001C0ECA" w:rsidRPr="008A4B8C" w:rsidRDefault="001C0ECA" w:rsidP="003C712B">
      <w:pPr>
        <w:pStyle w:val="SingleTxtG"/>
        <w:spacing w:after="100"/>
        <w:ind w:left="1701"/>
        <w:rPr>
          <w:szCs w:val="24"/>
        </w:rPr>
      </w:pPr>
      <w:r w:rsidRPr="008A4B8C">
        <w:rPr>
          <w:szCs w:val="24"/>
        </w:rPr>
        <w:t>4.2</w:t>
      </w:r>
      <w:r w:rsidRPr="008A4B8C">
        <w:rPr>
          <w:szCs w:val="24"/>
        </w:rPr>
        <w:tab/>
        <w:t xml:space="preserve">Les </w:t>
      </w:r>
      <w:r>
        <w:rPr>
          <w:szCs w:val="24"/>
        </w:rPr>
        <w:t xml:space="preserve">produits laminés </w:t>
      </w:r>
      <w:r w:rsidRPr="008A4B8C">
        <w:rPr>
          <w:szCs w:val="24"/>
        </w:rPr>
        <w:t>se subdivisent :</w:t>
      </w:r>
    </w:p>
    <w:p w14:paraId="7A9EC16F" w14:textId="77777777" w:rsidR="001C0ECA" w:rsidRPr="008A4B8C" w:rsidRDefault="001C0ECA" w:rsidP="005A5B2E">
      <w:pPr>
        <w:pStyle w:val="Bullet1G"/>
        <w:ind w:left="2268"/>
        <w:rPr>
          <w:szCs w:val="24"/>
        </w:rPr>
      </w:pPr>
      <w:r>
        <w:rPr>
          <w:szCs w:val="24"/>
        </w:rPr>
        <w:tab/>
      </w:r>
      <w:r w:rsidR="005A5B2E">
        <w:rPr>
          <w:szCs w:val="24"/>
        </w:rPr>
        <w:t>S</w:t>
      </w:r>
      <w:r w:rsidRPr="008A4B8C">
        <w:rPr>
          <w:szCs w:val="24"/>
        </w:rPr>
        <w:t>elon le</w:t>
      </w:r>
      <w:r>
        <w:rPr>
          <w:szCs w:val="24"/>
        </w:rPr>
        <w:t>ur</w:t>
      </w:r>
      <w:r w:rsidRPr="008A4B8C">
        <w:rPr>
          <w:szCs w:val="24"/>
        </w:rPr>
        <w:t>s propriétés mécaniques normées en catégories : 1,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2,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3,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4,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5,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6,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7,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8,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9,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10,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11,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12,</w:t>
      </w:r>
      <w:r w:rsidR="005A5B2E">
        <w:rPr>
          <w:szCs w:val="24"/>
        </w:rPr>
        <w:t xml:space="preserve"> </w:t>
      </w:r>
      <w:r w:rsidRPr="008A4B8C">
        <w:rPr>
          <w:szCs w:val="24"/>
        </w:rPr>
        <w:t>13, 14, 15, 16, 17, 18, 19, 20, 21, 22, 23</w:t>
      </w:r>
      <w:r w:rsidR="00892DC2">
        <w:rPr>
          <w:szCs w:val="24"/>
        </w:rPr>
        <w:t xml:space="preserve"> et</w:t>
      </w:r>
      <w:r w:rsidR="00DC7C33">
        <w:rPr>
          <w:szCs w:val="24"/>
        </w:rPr>
        <w:t xml:space="preserve"> </w:t>
      </w:r>
      <w:r w:rsidRPr="008A4B8C">
        <w:rPr>
          <w:szCs w:val="24"/>
        </w:rPr>
        <w:t>24</w:t>
      </w:r>
      <w:r w:rsidR="00DC7C33">
        <w:rPr>
          <w:szCs w:val="24"/>
        </w:rPr>
        <w:t> ;</w:t>
      </w:r>
    </w:p>
    <w:p w14:paraId="376FABE5" w14:textId="77777777" w:rsidR="001C0ECA" w:rsidRPr="008A4B8C" w:rsidRDefault="001C0ECA" w:rsidP="00732F66">
      <w:pPr>
        <w:pStyle w:val="Bullet1G"/>
        <w:keepNext/>
        <w:spacing w:after="100"/>
        <w:ind w:left="2268"/>
        <w:rPr>
          <w:szCs w:val="24"/>
        </w:rPr>
      </w:pPr>
      <w:r>
        <w:rPr>
          <w:szCs w:val="24"/>
        </w:rPr>
        <w:tab/>
      </w:r>
      <w:r w:rsidR="00DC7C33">
        <w:rPr>
          <w:szCs w:val="24"/>
        </w:rPr>
        <w:t>S</w:t>
      </w:r>
      <w:r w:rsidRPr="008A4B8C">
        <w:rPr>
          <w:szCs w:val="24"/>
        </w:rPr>
        <w:t>elon leur état de</w:t>
      </w:r>
      <w:r>
        <w:rPr>
          <w:szCs w:val="24"/>
        </w:rPr>
        <w:t xml:space="preserve"> livraison :</w:t>
      </w:r>
      <w:r w:rsidRPr="008A4B8C">
        <w:rPr>
          <w:szCs w:val="24"/>
        </w:rPr>
        <w:t xml:space="preserve"> </w:t>
      </w:r>
    </w:p>
    <w:p w14:paraId="522251AC" w14:textId="77777777" w:rsidR="001C0ECA" w:rsidRPr="001F2136" w:rsidRDefault="00DC7C33" w:rsidP="00732F66">
      <w:pPr>
        <w:pStyle w:val="Bullet1G"/>
        <w:spacing w:after="100"/>
        <w:ind w:left="2438"/>
        <w:rPr>
          <w:szCs w:val="24"/>
        </w:rPr>
      </w:pPr>
      <w:r>
        <w:rPr>
          <w:szCs w:val="24"/>
        </w:rPr>
        <w:t>T</w:t>
      </w:r>
      <w:r w:rsidR="001C0ECA" w:rsidRPr="001F2136">
        <w:rPr>
          <w:szCs w:val="24"/>
        </w:rPr>
        <w:t xml:space="preserve">raités thermiquement, également à partir de la chaleur de laminage, </w:t>
      </w:r>
      <w:r w:rsidR="001C0ECA">
        <w:rPr>
          <w:szCs w:val="24"/>
        </w:rPr>
        <w:t>puis par</w:t>
      </w:r>
      <w:r w:rsidR="00C303A7">
        <w:rPr>
          <w:szCs w:val="24"/>
        </w:rPr>
        <w:t> </w:t>
      </w:r>
      <w:r w:rsidR="001C0ECA" w:rsidRPr="001F2136">
        <w:rPr>
          <w:szCs w:val="24"/>
          <w:lang w:bidi="en-US"/>
        </w:rPr>
        <w:t>:</w:t>
      </w:r>
    </w:p>
    <w:p w14:paraId="09A41964" w14:textId="77777777" w:rsidR="001C0ECA" w:rsidRPr="001F2136" w:rsidRDefault="001C0ECA" w:rsidP="00732F66">
      <w:pPr>
        <w:pStyle w:val="SingleTxtG"/>
        <w:spacing w:after="80"/>
        <w:ind w:left="2438"/>
        <w:rPr>
          <w:szCs w:val="24"/>
        </w:rPr>
      </w:pPr>
      <w:r w:rsidRPr="001F2136">
        <w:rPr>
          <w:szCs w:val="24"/>
          <w:lang w:bidi="en-US"/>
        </w:rPr>
        <w:t>a)</w:t>
      </w:r>
      <w:r w:rsidRPr="001F2136">
        <w:rPr>
          <w:szCs w:val="24"/>
          <w:lang w:bidi="en-US"/>
        </w:rPr>
        <w:tab/>
      </w:r>
      <w:r w:rsidR="00DC7C33">
        <w:rPr>
          <w:szCs w:val="24"/>
          <w:lang w:bidi="en-US"/>
        </w:rPr>
        <w:t>N</w:t>
      </w:r>
      <w:r w:rsidRPr="001F2136">
        <w:rPr>
          <w:szCs w:val="24"/>
          <w:lang w:bidi="en-US"/>
        </w:rPr>
        <w:t xml:space="preserve">ormalisation </w:t>
      </w:r>
      <w:r w:rsidR="00DC7C33">
        <w:rPr>
          <w:szCs w:val="24"/>
          <w:lang w:bidi="en-US"/>
        </w:rPr>
        <w:t>−</w:t>
      </w:r>
      <w:r w:rsidRPr="001F2136">
        <w:rPr>
          <w:szCs w:val="24"/>
          <w:lang w:bidi="en-US"/>
        </w:rPr>
        <w:t xml:space="preserve"> N</w:t>
      </w:r>
      <w:r w:rsidR="00DC7C33">
        <w:rPr>
          <w:szCs w:val="24"/>
          <w:lang w:bidi="en-US"/>
        </w:rPr>
        <w:t> </w:t>
      </w:r>
      <w:r w:rsidRPr="001F2136">
        <w:rPr>
          <w:szCs w:val="24"/>
          <w:lang w:bidi="en-US"/>
        </w:rPr>
        <w:t>;</w:t>
      </w:r>
    </w:p>
    <w:p w14:paraId="776EC600" w14:textId="77777777" w:rsidR="001C0ECA" w:rsidRPr="001F2136" w:rsidRDefault="001C0ECA" w:rsidP="00732F66">
      <w:pPr>
        <w:pStyle w:val="SingleTxtG"/>
        <w:spacing w:after="80"/>
        <w:ind w:left="2438"/>
        <w:rPr>
          <w:szCs w:val="24"/>
        </w:rPr>
      </w:pPr>
      <w:r w:rsidRPr="001F2136">
        <w:rPr>
          <w:szCs w:val="24"/>
          <w:lang w:bidi="en-US"/>
        </w:rPr>
        <w:t>b)</w:t>
      </w:r>
      <w:r w:rsidRPr="001F2136">
        <w:rPr>
          <w:szCs w:val="24"/>
          <w:lang w:bidi="en-US"/>
        </w:rPr>
        <w:tab/>
      </w:r>
      <w:r w:rsidR="00DC7C33">
        <w:rPr>
          <w:szCs w:val="24"/>
          <w:lang w:bidi="en-US"/>
        </w:rPr>
        <w:t>N</w:t>
      </w:r>
      <w:r w:rsidRPr="001F2136">
        <w:rPr>
          <w:szCs w:val="24"/>
          <w:lang w:bidi="en-US"/>
        </w:rPr>
        <w:t xml:space="preserve">ormalisation et revenu </w:t>
      </w:r>
      <w:r w:rsidR="00DC7C33">
        <w:rPr>
          <w:szCs w:val="24"/>
          <w:lang w:bidi="en-US"/>
        </w:rPr>
        <w:t>−</w:t>
      </w:r>
      <w:r w:rsidRPr="001F2136">
        <w:rPr>
          <w:szCs w:val="24"/>
          <w:lang w:bidi="en-US"/>
        </w:rPr>
        <w:t xml:space="preserve"> N+R</w:t>
      </w:r>
      <w:r w:rsidR="00DC7C33">
        <w:rPr>
          <w:szCs w:val="24"/>
          <w:lang w:bidi="en-US"/>
        </w:rPr>
        <w:t> </w:t>
      </w:r>
      <w:r w:rsidRPr="001F2136">
        <w:rPr>
          <w:szCs w:val="24"/>
          <w:lang w:bidi="en-US"/>
        </w:rPr>
        <w:t>;</w:t>
      </w:r>
    </w:p>
    <w:p w14:paraId="6FAEE270" w14:textId="77777777" w:rsidR="001C0ECA" w:rsidRPr="001F2136" w:rsidRDefault="001C0ECA" w:rsidP="00732F66">
      <w:pPr>
        <w:pStyle w:val="SingleTxtG"/>
        <w:spacing w:after="80"/>
        <w:ind w:left="2438"/>
        <w:rPr>
          <w:szCs w:val="24"/>
        </w:rPr>
      </w:pPr>
      <w:r w:rsidRPr="001F2136">
        <w:rPr>
          <w:szCs w:val="24"/>
          <w:lang w:bidi="en-US"/>
        </w:rPr>
        <w:t>c)</w:t>
      </w:r>
      <w:r w:rsidRPr="001F2136">
        <w:rPr>
          <w:szCs w:val="24"/>
          <w:lang w:bidi="en-US"/>
        </w:rPr>
        <w:tab/>
      </w:r>
      <w:r w:rsidR="00DC7C33">
        <w:rPr>
          <w:szCs w:val="24"/>
          <w:lang w:bidi="en-US"/>
        </w:rPr>
        <w:t>T</w:t>
      </w:r>
      <w:r w:rsidRPr="001F2136">
        <w:rPr>
          <w:szCs w:val="24"/>
          <w:lang w:bidi="en-US"/>
        </w:rPr>
        <w:t xml:space="preserve">rempe et revenu </w:t>
      </w:r>
      <w:r w:rsidR="00DC7C33">
        <w:rPr>
          <w:szCs w:val="24"/>
          <w:lang w:bidi="en-US"/>
        </w:rPr>
        <w:t>−</w:t>
      </w:r>
      <w:r w:rsidRPr="001F2136">
        <w:rPr>
          <w:szCs w:val="24"/>
          <w:lang w:bidi="en-US"/>
        </w:rPr>
        <w:t xml:space="preserve"> </w:t>
      </w:r>
      <w:r>
        <w:rPr>
          <w:szCs w:val="24"/>
          <w:lang w:bidi="en-US"/>
        </w:rPr>
        <w:t>T</w:t>
      </w:r>
      <w:r w:rsidRPr="001F2136">
        <w:rPr>
          <w:szCs w:val="24"/>
          <w:lang w:bidi="en-US"/>
        </w:rPr>
        <w:t>+</w:t>
      </w:r>
      <w:r>
        <w:rPr>
          <w:szCs w:val="24"/>
          <w:lang w:bidi="en-US"/>
        </w:rPr>
        <w:t>R</w:t>
      </w:r>
      <w:r w:rsidR="00DC7C33">
        <w:rPr>
          <w:szCs w:val="24"/>
          <w:lang w:bidi="en-US"/>
        </w:rPr>
        <w:t> </w:t>
      </w:r>
      <w:r w:rsidRPr="001F2136">
        <w:rPr>
          <w:szCs w:val="24"/>
          <w:lang w:bidi="en-US"/>
        </w:rPr>
        <w:t>;</w:t>
      </w:r>
    </w:p>
    <w:p w14:paraId="2331C705" w14:textId="77777777" w:rsidR="001C0ECA" w:rsidRPr="001F2136" w:rsidRDefault="001C0ECA" w:rsidP="00732F66">
      <w:pPr>
        <w:pStyle w:val="SingleTxtG"/>
        <w:spacing w:after="80"/>
        <w:ind w:left="2438"/>
        <w:rPr>
          <w:szCs w:val="24"/>
        </w:rPr>
      </w:pPr>
      <w:r w:rsidRPr="001F2136">
        <w:rPr>
          <w:szCs w:val="24"/>
          <w:lang w:bidi="en-US"/>
        </w:rPr>
        <w:t>d)</w:t>
      </w:r>
      <w:r w:rsidRPr="001F2136">
        <w:rPr>
          <w:szCs w:val="24"/>
          <w:lang w:bidi="en-US"/>
        </w:rPr>
        <w:tab/>
      </w:r>
      <w:r w:rsidR="00DC7C33">
        <w:rPr>
          <w:szCs w:val="24"/>
          <w:lang w:bidi="en-US"/>
        </w:rPr>
        <w:t>R</w:t>
      </w:r>
      <w:r w:rsidRPr="001F2136">
        <w:rPr>
          <w:szCs w:val="24"/>
          <w:lang w:bidi="en-US"/>
        </w:rPr>
        <w:t xml:space="preserve">evenu </w:t>
      </w:r>
      <w:r w:rsidR="00DC7C33">
        <w:rPr>
          <w:szCs w:val="24"/>
          <w:lang w:bidi="en-US"/>
        </w:rPr>
        <w:t>−</w:t>
      </w:r>
      <w:r w:rsidRPr="001F2136">
        <w:rPr>
          <w:szCs w:val="24"/>
          <w:lang w:bidi="en-US"/>
        </w:rPr>
        <w:t xml:space="preserve"> R</w:t>
      </w:r>
      <w:r w:rsidR="00DC7C33">
        <w:rPr>
          <w:szCs w:val="24"/>
          <w:lang w:bidi="en-US"/>
        </w:rPr>
        <w:t> </w:t>
      </w:r>
      <w:r w:rsidRPr="001F2136">
        <w:rPr>
          <w:szCs w:val="24"/>
          <w:lang w:bidi="en-US"/>
        </w:rPr>
        <w:t>;</w:t>
      </w:r>
    </w:p>
    <w:p w14:paraId="47ACC6AF" w14:textId="77777777" w:rsidR="001C0ECA" w:rsidRPr="001F2136" w:rsidRDefault="001C0ECA" w:rsidP="00732F66">
      <w:pPr>
        <w:pStyle w:val="SingleTxtG"/>
        <w:spacing w:after="100"/>
        <w:ind w:left="2438"/>
        <w:rPr>
          <w:szCs w:val="24"/>
          <w:lang w:bidi="en-US"/>
        </w:rPr>
      </w:pPr>
      <w:r w:rsidRPr="001F2136">
        <w:rPr>
          <w:szCs w:val="24"/>
          <w:lang w:bidi="en-US"/>
        </w:rPr>
        <w:t>e)</w:t>
      </w:r>
      <w:r w:rsidRPr="001F2136">
        <w:rPr>
          <w:szCs w:val="24"/>
          <w:lang w:bidi="en-US"/>
        </w:rPr>
        <w:tab/>
      </w:r>
      <w:r w:rsidR="00534A56">
        <w:rPr>
          <w:szCs w:val="24"/>
          <w:lang w:bidi="en-US"/>
        </w:rPr>
        <w:t>R</w:t>
      </w:r>
      <w:r w:rsidRPr="001F2136">
        <w:rPr>
          <w:szCs w:val="24"/>
          <w:lang w:bidi="en-US"/>
        </w:rPr>
        <w:t xml:space="preserve">ecuit </w:t>
      </w:r>
      <w:r w:rsidR="00534A56">
        <w:rPr>
          <w:szCs w:val="24"/>
          <w:lang w:bidi="en-US"/>
        </w:rPr>
        <w:t>−</w:t>
      </w:r>
      <w:r w:rsidRPr="001F2136">
        <w:rPr>
          <w:szCs w:val="24"/>
          <w:lang w:bidi="en-US"/>
        </w:rPr>
        <w:t xml:space="preserve"> </w:t>
      </w:r>
      <w:r>
        <w:rPr>
          <w:szCs w:val="24"/>
          <w:lang w:bidi="en-US"/>
        </w:rPr>
        <w:t>RT</w:t>
      </w:r>
      <w:r w:rsidR="00534A56">
        <w:rPr>
          <w:szCs w:val="24"/>
          <w:lang w:bidi="en-US"/>
        </w:rPr>
        <w:t> </w:t>
      </w:r>
      <w:r w:rsidRPr="001F2136">
        <w:rPr>
          <w:szCs w:val="24"/>
          <w:lang w:bidi="en-US"/>
        </w:rPr>
        <w:t>;</w:t>
      </w:r>
    </w:p>
    <w:p w14:paraId="4A4F066F" w14:textId="77777777" w:rsidR="001C0ECA" w:rsidRPr="00C8008A" w:rsidRDefault="00534A56" w:rsidP="00C303A7">
      <w:pPr>
        <w:pStyle w:val="Bullet1G"/>
        <w:ind w:left="2438"/>
        <w:rPr>
          <w:szCs w:val="24"/>
          <w:lang w:bidi="en-US"/>
        </w:rPr>
      </w:pPr>
      <w:r>
        <w:rPr>
          <w:szCs w:val="24"/>
          <w:lang w:bidi="en-US"/>
        </w:rPr>
        <w:lastRenderedPageBreak/>
        <w:t>T</w:t>
      </w:r>
      <w:r w:rsidR="001C0ECA" w:rsidRPr="00C8008A">
        <w:rPr>
          <w:szCs w:val="24"/>
          <w:lang w:bidi="en-US"/>
        </w:rPr>
        <w:t xml:space="preserve">raités </w:t>
      </w:r>
      <w:proofErr w:type="spellStart"/>
      <w:r w:rsidR="001C0ECA" w:rsidRPr="00EC5CB7">
        <w:rPr>
          <w:szCs w:val="24"/>
          <w:lang w:bidi="en-US"/>
        </w:rPr>
        <w:t>thermomécanique</w:t>
      </w:r>
      <w:r w:rsidR="001C0ECA" w:rsidRPr="00C8008A">
        <w:rPr>
          <w:szCs w:val="24"/>
          <w:lang w:bidi="en-US"/>
        </w:rPr>
        <w:t>ment</w:t>
      </w:r>
      <w:proofErr w:type="spellEnd"/>
      <w:r w:rsidR="00EB4EB4">
        <w:rPr>
          <w:szCs w:val="24"/>
          <w:lang w:bidi="en-US"/>
        </w:rPr>
        <w:t> </w:t>
      </w:r>
      <w:r w:rsidR="001C0ECA" w:rsidRPr="00C8008A">
        <w:rPr>
          <w:szCs w:val="24"/>
          <w:lang w:bidi="en-US"/>
        </w:rPr>
        <w:t>:</w:t>
      </w:r>
    </w:p>
    <w:p w14:paraId="54B6A884" w14:textId="77777777" w:rsidR="001C0ECA" w:rsidRDefault="001C0ECA" w:rsidP="00C303A7">
      <w:pPr>
        <w:pStyle w:val="SingleTxtG"/>
        <w:ind w:left="2438"/>
        <w:rPr>
          <w:szCs w:val="24"/>
          <w:lang w:bidi="en-US"/>
        </w:rPr>
      </w:pPr>
      <w:r w:rsidRPr="00EC5CB7">
        <w:rPr>
          <w:szCs w:val="24"/>
          <w:lang w:bidi="en-US"/>
        </w:rPr>
        <w:t>a)</w:t>
      </w:r>
      <w:r w:rsidRPr="00EC5CB7">
        <w:rPr>
          <w:szCs w:val="24"/>
          <w:lang w:bidi="en-US"/>
        </w:rPr>
        <w:tab/>
      </w:r>
      <w:r w:rsidR="00534A56">
        <w:rPr>
          <w:szCs w:val="24"/>
          <w:lang w:bidi="en-US"/>
        </w:rPr>
        <w:t>P</w:t>
      </w:r>
      <w:r w:rsidRPr="00EC5CB7">
        <w:rPr>
          <w:szCs w:val="24"/>
          <w:lang w:bidi="en-US"/>
        </w:rPr>
        <w:t xml:space="preserve">ar laminage contrôlé, </w:t>
      </w:r>
      <w:r>
        <w:rPr>
          <w:szCs w:val="24"/>
          <w:lang w:bidi="en-US"/>
        </w:rPr>
        <w:t xml:space="preserve">aussi </w:t>
      </w:r>
      <w:r w:rsidRPr="00EC5CB7">
        <w:rPr>
          <w:szCs w:val="24"/>
          <w:lang w:bidi="en-US"/>
        </w:rPr>
        <w:t xml:space="preserve">avec refroidissement rapide </w:t>
      </w:r>
      <w:r w:rsidR="00534A56">
        <w:rPr>
          <w:szCs w:val="24"/>
          <w:lang w:bidi="en-US"/>
        </w:rPr>
        <w:t>−</w:t>
      </w:r>
      <w:r w:rsidR="00823AC8">
        <w:rPr>
          <w:szCs w:val="24"/>
          <w:lang w:bidi="en-US"/>
        </w:rPr>
        <w:t> </w:t>
      </w:r>
      <w:r>
        <w:rPr>
          <w:szCs w:val="24"/>
          <w:lang w:bidi="en-US"/>
        </w:rPr>
        <w:t>LC</w:t>
      </w:r>
      <w:r w:rsidR="00823AC8">
        <w:rPr>
          <w:szCs w:val="24"/>
          <w:lang w:bidi="en-US"/>
        </w:rPr>
        <w:t> ;</w:t>
      </w:r>
    </w:p>
    <w:p w14:paraId="7E6BA1C5" w14:textId="77777777" w:rsidR="001C0ECA" w:rsidRDefault="001C0ECA" w:rsidP="00C303A7">
      <w:pPr>
        <w:pStyle w:val="SingleTxtG"/>
        <w:ind w:left="2438"/>
        <w:rPr>
          <w:szCs w:val="24"/>
          <w:lang w:bidi="en-US"/>
        </w:rPr>
      </w:pPr>
      <w:r w:rsidRPr="00EC5CB7">
        <w:rPr>
          <w:szCs w:val="24"/>
          <w:lang w:bidi="en-US"/>
        </w:rPr>
        <w:t>b)</w:t>
      </w:r>
      <w:r w:rsidRPr="00EC5CB7">
        <w:rPr>
          <w:szCs w:val="24"/>
          <w:lang w:bidi="en-US"/>
        </w:rPr>
        <w:tab/>
      </w:r>
      <w:r w:rsidR="00EA30C5">
        <w:rPr>
          <w:szCs w:val="24"/>
          <w:lang w:bidi="en-US"/>
        </w:rPr>
        <w:t>P</w:t>
      </w:r>
      <w:r w:rsidRPr="00EC5CB7">
        <w:rPr>
          <w:szCs w:val="24"/>
          <w:lang w:bidi="en-US"/>
        </w:rPr>
        <w:t xml:space="preserve">ar laminage contrôlé, aussi avec refroidissement rapide, avec </w:t>
      </w:r>
      <w:r>
        <w:rPr>
          <w:szCs w:val="24"/>
          <w:lang w:bidi="en-US"/>
        </w:rPr>
        <w:t xml:space="preserve">revenu </w:t>
      </w:r>
      <w:r w:rsidRPr="00EC5CB7">
        <w:rPr>
          <w:szCs w:val="24"/>
          <w:lang w:bidi="en-US"/>
        </w:rPr>
        <w:t xml:space="preserve">à haute température </w:t>
      </w:r>
      <w:r w:rsidR="00823AC8">
        <w:rPr>
          <w:szCs w:val="24"/>
          <w:lang w:bidi="en-US"/>
        </w:rPr>
        <w:t>− </w:t>
      </w:r>
      <w:r>
        <w:rPr>
          <w:szCs w:val="24"/>
          <w:lang w:bidi="en-US"/>
        </w:rPr>
        <w:t>L</w:t>
      </w:r>
      <w:r w:rsidRPr="00EC5CB7">
        <w:rPr>
          <w:szCs w:val="24"/>
          <w:lang w:bidi="en-US"/>
        </w:rPr>
        <w:t>CT</w:t>
      </w:r>
      <w:r w:rsidR="00823AC8">
        <w:rPr>
          <w:szCs w:val="24"/>
          <w:lang w:bidi="en-US"/>
        </w:rPr>
        <w:t> ;</w:t>
      </w:r>
    </w:p>
    <w:p w14:paraId="022A1043" w14:textId="77777777" w:rsidR="001C0ECA" w:rsidRPr="008E6E6E" w:rsidRDefault="001C0ECA" w:rsidP="00C303A7">
      <w:pPr>
        <w:pStyle w:val="Bullet1G"/>
        <w:ind w:left="2438"/>
        <w:rPr>
          <w:szCs w:val="24"/>
        </w:rPr>
      </w:pPr>
      <w:r w:rsidRPr="00EC5CB7">
        <w:rPr>
          <w:szCs w:val="24"/>
          <w:lang w:bidi="en-US"/>
        </w:rPr>
        <w:t xml:space="preserve"> </w:t>
      </w:r>
      <w:r w:rsidR="00823AC8">
        <w:rPr>
          <w:szCs w:val="24"/>
          <w:lang w:bidi="en-US"/>
        </w:rPr>
        <w:t>S</w:t>
      </w:r>
      <w:r>
        <w:rPr>
          <w:szCs w:val="24"/>
          <w:lang w:bidi="en-US"/>
        </w:rPr>
        <w:t xml:space="preserve">ans traitement thermique </w:t>
      </w:r>
      <w:r w:rsidRPr="00EC5CB7">
        <w:rPr>
          <w:szCs w:val="24"/>
          <w:lang w:bidi="en-US"/>
        </w:rPr>
        <w:t>(</w:t>
      </w:r>
      <w:r>
        <w:rPr>
          <w:szCs w:val="24"/>
          <w:lang w:bidi="en-US"/>
        </w:rPr>
        <w:t>à l’état de laminage à chaud)</w:t>
      </w:r>
      <w:r w:rsidRPr="00EC5CB7">
        <w:rPr>
          <w:szCs w:val="24"/>
          <w:lang w:bidi="en-US"/>
        </w:rPr>
        <w:t xml:space="preserve"> </w:t>
      </w:r>
      <w:r w:rsidR="00823AC8">
        <w:rPr>
          <w:szCs w:val="24"/>
          <w:lang w:bidi="en-US"/>
        </w:rPr>
        <w:t>−</w:t>
      </w:r>
      <w:r w:rsidRPr="00EC5CB7">
        <w:rPr>
          <w:szCs w:val="24"/>
          <w:lang w:bidi="en-US"/>
        </w:rPr>
        <w:t xml:space="preserve"> HR.</w:t>
      </w:r>
    </w:p>
    <w:p w14:paraId="22BE7A09" w14:textId="77777777" w:rsidR="00F9573C" w:rsidRPr="001C0ECA" w:rsidRDefault="001C0ECA" w:rsidP="001C0E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C0ECA" w:rsidSect="005021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A246" w14:textId="77777777" w:rsidR="00A32EBC" w:rsidRDefault="00A32EBC" w:rsidP="00F95C08">
      <w:pPr>
        <w:spacing w:line="240" w:lineRule="auto"/>
      </w:pPr>
    </w:p>
  </w:endnote>
  <w:endnote w:type="continuationSeparator" w:id="0">
    <w:p w14:paraId="7978DBDF" w14:textId="77777777" w:rsidR="00A32EBC" w:rsidRPr="00AC3823" w:rsidRDefault="00A32EBC" w:rsidP="00AC3823">
      <w:pPr>
        <w:pStyle w:val="Footer"/>
      </w:pPr>
    </w:p>
  </w:endnote>
  <w:endnote w:type="continuationNotice" w:id="1">
    <w:p w14:paraId="5A8CC293" w14:textId="77777777" w:rsidR="00A32EBC" w:rsidRDefault="00A32E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DA9A" w14:textId="77777777" w:rsidR="005021D7" w:rsidRPr="005021D7" w:rsidRDefault="005021D7" w:rsidP="005021D7">
    <w:pPr>
      <w:pStyle w:val="Footer"/>
      <w:tabs>
        <w:tab w:val="right" w:pos="9638"/>
      </w:tabs>
    </w:pPr>
    <w:r w:rsidRPr="005021D7">
      <w:rPr>
        <w:b/>
        <w:sz w:val="18"/>
      </w:rPr>
      <w:fldChar w:fldCharType="begin"/>
    </w:r>
    <w:r w:rsidRPr="005021D7">
      <w:rPr>
        <w:b/>
        <w:sz w:val="18"/>
      </w:rPr>
      <w:instrText xml:space="preserve"> PAGE  \* MERGEFORMAT </w:instrText>
    </w:r>
    <w:r w:rsidRPr="005021D7">
      <w:rPr>
        <w:b/>
        <w:sz w:val="18"/>
      </w:rPr>
      <w:fldChar w:fldCharType="separate"/>
    </w:r>
    <w:r w:rsidRPr="005021D7">
      <w:rPr>
        <w:b/>
        <w:noProof/>
        <w:sz w:val="18"/>
      </w:rPr>
      <w:t>2</w:t>
    </w:r>
    <w:r w:rsidRPr="005021D7">
      <w:rPr>
        <w:b/>
        <w:sz w:val="18"/>
      </w:rPr>
      <w:fldChar w:fldCharType="end"/>
    </w:r>
    <w:r>
      <w:rPr>
        <w:b/>
        <w:sz w:val="18"/>
      </w:rPr>
      <w:tab/>
    </w:r>
    <w:r>
      <w:t>GE.19-22647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0E72" w14:textId="77777777" w:rsidR="005021D7" w:rsidRPr="005021D7" w:rsidRDefault="005021D7" w:rsidP="005021D7">
    <w:pPr>
      <w:pStyle w:val="Footer"/>
      <w:tabs>
        <w:tab w:val="right" w:pos="9638"/>
      </w:tabs>
      <w:rPr>
        <w:b/>
        <w:sz w:val="18"/>
      </w:rPr>
    </w:pPr>
    <w:r>
      <w:t>GE.19-22647</w:t>
    </w:r>
    <w:r>
      <w:tab/>
    </w:r>
    <w:r w:rsidRPr="005021D7">
      <w:rPr>
        <w:b/>
        <w:sz w:val="18"/>
      </w:rPr>
      <w:fldChar w:fldCharType="begin"/>
    </w:r>
    <w:r w:rsidRPr="005021D7">
      <w:rPr>
        <w:b/>
        <w:sz w:val="18"/>
      </w:rPr>
      <w:instrText xml:space="preserve"> PAGE  \* MERGEFORMAT </w:instrText>
    </w:r>
    <w:r w:rsidRPr="005021D7">
      <w:rPr>
        <w:b/>
        <w:sz w:val="18"/>
      </w:rPr>
      <w:fldChar w:fldCharType="separate"/>
    </w:r>
    <w:r w:rsidRPr="005021D7">
      <w:rPr>
        <w:b/>
        <w:noProof/>
        <w:sz w:val="18"/>
      </w:rPr>
      <w:t>3</w:t>
    </w:r>
    <w:r w:rsidRPr="005021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CAB" w14:textId="77777777" w:rsidR="007F20FA" w:rsidRPr="005021D7" w:rsidRDefault="005021D7" w:rsidP="005021D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E46CC9" wp14:editId="352E54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22647  (</w:t>
    </w:r>
    <w:proofErr w:type="gramEnd"/>
    <w:r>
      <w:rPr>
        <w:sz w:val="20"/>
      </w:rPr>
      <w:t>F)</w:t>
    </w:r>
    <w:r w:rsidR="00862AA5">
      <w:rPr>
        <w:sz w:val="20"/>
      </w:rPr>
      <w:t xml:space="preserve">    160120    170120</w:t>
    </w:r>
    <w:r>
      <w:rPr>
        <w:sz w:val="20"/>
      </w:rPr>
      <w:br/>
    </w:r>
    <w:r w:rsidRPr="005021D7">
      <w:rPr>
        <w:rFonts w:ascii="C39T30Lfz" w:hAnsi="C39T30Lfz"/>
        <w:sz w:val="56"/>
      </w:rPr>
      <w:t></w:t>
    </w:r>
    <w:r w:rsidRPr="005021D7">
      <w:rPr>
        <w:rFonts w:ascii="C39T30Lfz" w:hAnsi="C39T30Lfz"/>
        <w:sz w:val="56"/>
      </w:rPr>
      <w:t></w:t>
    </w:r>
    <w:r w:rsidRPr="005021D7">
      <w:rPr>
        <w:rFonts w:ascii="C39T30Lfz" w:hAnsi="C39T30Lfz"/>
        <w:sz w:val="56"/>
      </w:rPr>
      <w:t></w:t>
    </w:r>
    <w:r w:rsidRPr="005021D7">
      <w:rPr>
        <w:rFonts w:ascii="C39T30Lfz" w:hAnsi="C39T30Lfz"/>
        <w:sz w:val="56"/>
      </w:rPr>
      <w:t></w:t>
    </w:r>
    <w:r w:rsidRPr="005021D7">
      <w:rPr>
        <w:rFonts w:ascii="C39T30Lfz" w:hAnsi="C39T30Lfz"/>
        <w:sz w:val="56"/>
      </w:rPr>
      <w:t></w:t>
    </w:r>
    <w:r w:rsidRPr="005021D7">
      <w:rPr>
        <w:rFonts w:ascii="C39T30Lfz" w:hAnsi="C39T30Lfz"/>
        <w:sz w:val="56"/>
      </w:rPr>
      <w:t></w:t>
    </w:r>
    <w:r w:rsidRPr="005021D7">
      <w:rPr>
        <w:rFonts w:ascii="C39T30Lfz" w:hAnsi="C39T30Lfz"/>
        <w:sz w:val="56"/>
      </w:rPr>
      <w:t></w:t>
    </w:r>
    <w:r w:rsidRPr="005021D7">
      <w:rPr>
        <w:rFonts w:ascii="C39T30Lfz" w:hAnsi="C39T30Lfz"/>
        <w:sz w:val="56"/>
      </w:rPr>
      <w:t></w:t>
    </w:r>
    <w:r w:rsidRPr="005021D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A7F0EA7" wp14:editId="27621A6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374E" w14:textId="77777777" w:rsidR="00A32EBC" w:rsidRPr="00AC3823" w:rsidRDefault="00A32E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D680B0" w14:textId="77777777" w:rsidR="00A32EBC" w:rsidRPr="00AC3823" w:rsidRDefault="00A32E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8E502C" w14:textId="77777777" w:rsidR="00A32EBC" w:rsidRPr="00AC3823" w:rsidRDefault="00A32EBC">
      <w:pPr>
        <w:spacing w:line="240" w:lineRule="auto"/>
        <w:rPr>
          <w:sz w:val="2"/>
          <w:szCs w:val="2"/>
        </w:rPr>
      </w:pPr>
    </w:p>
  </w:footnote>
  <w:footnote w:id="2">
    <w:p w14:paraId="799B8CF3" w14:textId="77777777" w:rsidR="001C0ECA" w:rsidRPr="002F4DC7" w:rsidRDefault="001C0ECA" w:rsidP="001C0ECA">
      <w:pPr>
        <w:pStyle w:val="FootnoteText"/>
        <w:rPr>
          <w:sz w:val="20"/>
        </w:rPr>
      </w:pPr>
      <w:r>
        <w:tab/>
      </w:r>
      <w:r w:rsidRPr="00862AA5">
        <w:rPr>
          <w:rStyle w:val="FootnoteReference"/>
          <w:sz w:val="20"/>
          <w:vertAlign w:val="baseline"/>
        </w:rPr>
        <w:t>*</w:t>
      </w:r>
      <w:r w:rsidRPr="002F4DC7">
        <w:rPr>
          <w:rStyle w:val="FootnoteReference"/>
        </w:rPr>
        <w:tab/>
      </w:r>
      <w:r w:rsidRPr="002F4DC7">
        <w:t>Conformément au programme de travail du Comité des transports intérieurs pour la période 2018</w:t>
      </w:r>
      <w:r w:rsidR="00862AA5">
        <w:noBreakHyphen/>
      </w:r>
      <w:r w:rsidRPr="002F4DC7">
        <w:t>2019 (</w:t>
      </w:r>
      <w:r>
        <w:t>ECE</w:t>
      </w:r>
      <w:r w:rsidRPr="002F4DC7">
        <w:t>/</w:t>
      </w:r>
      <w:r>
        <w:t>TRANS</w:t>
      </w:r>
      <w:r w:rsidRPr="002F4DC7">
        <w:t>/</w:t>
      </w:r>
      <w:r>
        <w:t>WP</w:t>
      </w:r>
      <w:r w:rsidRPr="002F4DC7">
        <w:t xml:space="preserve">.15/237, </w:t>
      </w:r>
      <w:r>
        <w:t>annexe V</w:t>
      </w:r>
      <w:r w:rsidRPr="002F4DC7">
        <w:t xml:space="preserve"> (9.2)).</w:t>
      </w:r>
    </w:p>
  </w:footnote>
  <w:footnote w:id="3">
    <w:p w14:paraId="5F7B3492" w14:textId="77777777" w:rsidR="001C0ECA" w:rsidRPr="00492E6B" w:rsidRDefault="001C0ECA" w:rsidP="001C0ECA">
      <w:pPr>
        <w:pStyle w:val="FootnoteText"/>
        <w:rPr>
          <w:sz w:val="20"/>
        </w:rPr>
      </w:pPr>
      <w:r w:rsidRPr="002F4DC7">
        <w:tab/>
      </w:r>
      <w:r w:rsidRPr="00862AA5">
        <w:rPr>
          <w:rStyle w:val="FootnoteReference"/>
          <w:sz w:val="20"/>
          <w:vertAlign w:val="baseline"/>
        </w:rPr>
        <w:t>**</w:t>
      </w:r>
      <w:r w:rsidRPr="00492E6B">
        <w:rPr>
          <w:rStyle w:val="FootnoteReference"/>
        </w:rPr>
        <w:tab/>
      </w:r>
      <w:r w:rsidRPr="00492E6B">
        <w:t xml:space="preserve">Diffusé par l’Organisation intergouvernementale pour les transports internationaux ferroviaires (OTIF) sous la cote </w:t>
      </w:r>
      <w:r>
        <w:t>OTIF</w:t>
      </w:r>
      <w:r w:rsidRPr="00492E6B">
        <w:t>/</w:t>
      </w:r>
      <w:r>
        <w:t>RID</w:t>
      </w:r>
      <w:r w:rsidRPr="00492E6B">
        <w:t>/</w:t>
      </w:r>
      <w:r>
        <w:t>RC</w:t>
      </w:r>
      <w:r w:rsidRPr="00492E6B">
        <w:t>/2020/32.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ED0F" w14:textId="48381F58" w:rsidR="005021D7" w:rsidRPr="005021D7" w:rsidRDefault="003230F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E6CD0">
      <w:t>ECE/TRANS/WP.15/AC.1/2020/32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730D" w14:textId="1360A497" w:rsidR="005021D7" w:rsidRPr="005021D7" w:rsidRDefault="003230F6" w:rsidP="005021D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E6CD0">
      <w:t>ECE/TRANS/WP.15/AC.1/2020/32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B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0ECA"/>
    <w:rsid w:val="001F525A"/>
    <w:rsid w:val="00223272"/>
    <w:rsid w:val="0024779E"/>
    <w:rsid w:val="00257168"/>
    <w:rsid w:val="002744B8"/>
    <w:rsid w:val="002832AC"/>
    <w:rsid w:val="002D7C93"/>
    <w:rsid w:val="00305801"/>
    <w:rsid w:val="003230F6"/>
    <w:rsid w:val="00356EA3"/>
    <w:rsid w:val="003916DE"/>
    <w:rsid w:val="003C4EFA"/>
    <w:rsid w:val="003C712B"/>
    <w:rsid w:val="00421996"/>
    <w:rsid w:val="00441C3B"/>
    <w:rsid w:val="00446FE5"/>
    <w:rsid w:val="00452396"/>
    <w:rsid w:val="004837D8"/>
    <w:rsid w:val="004E2EED"/>
    <w:rsid w:val="004E468C"/>
    <w:rsid w:val="005021D7"/>
    <w:rsid w:val="00522D74"/>
    <w:rsid w:val="00534A56"/>
    <w:rsid w:val="005505B7"/>
    <w:rsid w:val="00573BE5"/>
    <w:rsid w:val="00586ED3"/>
    <w:rsid w:val="00596AA9"/>
    <w:rsid w:val="005A5B2E"/>
    <w:rsid w:val="005D4A26"/>
    <w:rsid w:val="00605EF0"/>
    <w:rsid w:val="006D3D75"/>
    <w:rsid w:val="0071601D"/>
    <w:rsid w:val="00732F66"/>
    <w:rsid w:val="007A62E6"/>
    <w:rsid w:val="007F20FA"/>
    <w:rsid w:val="0080684C"/>
    <w:rsid w:val="00823799"/>
    <w:rsid w:val="00823AC8"/>
    <w:rsid w:val="00862AA5"/>
    <w:rsid w:val="00871C75"/>
    <w:rsid w:val="008776DC"/>
    <w:rsid w:val="00892DC2"/>
    <w:rsid w:val="00897C03"/>
    <w:rsid w:val="008E6E6E"/>
    <w:rsid w:val="009446C0"/>
    <w:rsid w:val="0095134E"/>
    <w:rsid w:val="009705C8"/>
    <w:rsid w:val="009A6907"/>
    <w:rsid w:val="009C1CF4"/>
    <w:rsid w:val="009F6B74"/>
    <w:rsid w:val="00A3029F"/>
    <w:rsid w:val="00A30353"/>
    <w:rsid w:val="00A32EBC"/>
    <w:rsid w:val="00A52B38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303A7"/>
    <w:rsid w:val="00C97039"/>
    <w:rsid w:val="00CA2F1C"/>
    <w:rsid w:val="00D3439C"/>
    <w:rsid w:val="00DB1831"/>
    <w:rsid w:val="00DC7C33"/>
    <w:rsid w:val="00DD3BFD"/>
    <w:rsid w:val="00DF6678"/>
    <w:rsid w:val="00E0299A"/>
    <w:rsid w:val="00E54F8E"/>
    <w:rsid w:val="00E85C74"/>
    <w:rsid w:val="00EA30C5"/>
    <w:rsid w:val="00EA33FD"/>
    <w:rsid w:val="00EA6547"/>
    <w:rsid w:val="00EB4EB4"/>
    <w:rsid w:val="00EF2E22"/>
    <w:rsid w:val="00F35BAF"/>
    <w:rsid w:val="00F5157F"/>
    <w:rsid w:val="00F660DF"/>
    <w:rsid w:val="00F94664"/>
    <w:rsid w:val="00F9573C"/>
    <w:rsid w:val="00F95C08"/>
    <w:rsid w:val="00FC4224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6E3CF"/>
  <w15:docId w15:val="{475D2D58-A458-4DFA-B2B9-9D2D074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C0EC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1C0EC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0ECA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ECE/TRANS/WP.15/AC.1/2020/32</vt:lpstr>
      <vt:lpstr>ECE/TRANS/WP.15/AC.1/2020/32</vt:lpstr>
    </vt:vector>
  </TitlesOfParts>
  <Company>DCM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ECE/TRANS/WP.15/AC.1/2020/32</dc:title>
  <dc:subject/>
  <dc:creator>Nathalie VITTOZ</dc:creator>
  <cp:keywords/>
  <cp:lastModifiedBy>Christine Barrio-Champeau</cp:lastModifiedBy>
  <cp:revision>2</cp:revision>
  <cp:lastPrinted>2020-01-17T11:58:00Z</cp:lastPrinted>
  <dcterms:created xsi:type="dcterms:W3CDTF">2020-01-17T12:58:00Z</dcterms:created>
  <dcterms:modified xsi:type="dcterms:W3CDTF">2020-01-17T12:58:00Z</dcterms:modified>
</cp:coreProperties>
</file>