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C74DDFA" w14:textId="77777777" w:rsidTr="000D1B89">
        <w:trPr>
          <w:cantSplit/>
          <w:trHeight w:hRule="exact" w:val="851"/>
        </w:trPr>
        <w:tc>
          <w:tcPr>
            <w:tcW w:w="1276" w:type="dxa"/>
            <w:tcBorders>
              <w:bottom w:val="single" w:sz="4" w:space="0" w:color="auto"/>
            </w:tcBorders>
            <w:vAlign w:val="bottom"/>
          </w:tcPr>
          <w:p w14:paraId="345785F9"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1CBB716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FA755A" w14:textId="77777777" w:rsidR="00717266" w:rsidRPr="00D47EEA" w:rsidRDefault="0093161F" w:rsidP="0093161F">
            <w:pPr>
              <w:suppressAutoHyphens w:val="0"/>
              <w:spacing w:after="20"/>
              <w:jc w:val="right"/>
            </w:pPr>
            <w:r w:rsidRPr="0093161F">
              <w:rPr>
                <w:sz w:val="40"/>
              </w:rPr>
              <w:t>ECE</w:t>
            </w:r>
            <w:r>
              <w:t>/TRANS/WP.15/AC.1/2020/30</w:t>
            </w:r>
          </w:p>
        </w:tc>
      </w:tr>
      <w:tr w:rsidR="00717266" w14:paraId="3ACD3A08" w14:textId="77777777" w:rsidTr="000D1B89">
        <w:trPr>
          <w:cantSplit/>
          <w:trHeight w:hRule="exact" w:val="2835"/>
        </w:trPr>
        <w:tc>
          <w:tcPr>
            <w:tcW w:w="1276" w:type="dxa"/>
            <w:tcBorders>
              <w:top w:val="single" w:sz="4" w:space="0" w:color="auto"/>
              <w:bottom w:val="single" w:sz="12" w:space="0" w:color="auto"/>
            </w:tcBorders>
          </w:tcPr>
          <w:p w14:paraId="5A74A951" w14:textId="77777777" w:rsidR="00717266" w:rsidRDefault="00717266" w:rsidP="000D1B89">
            <w:pPr>
              <w:spacing w:before="120"/>
            </w:pPr>
            <w:r>
              <w:rPr>
                <w:noProof/>
                <w:lang w:val="fr-CH" w:eastAsia="fr-CH"/>
              </w:rPr>
              <w:drawing>
                <wp:inline distT="0" distB="0" distL="0" distR="0" wp14:anchorId="5CFF3387" wp14:editId="45689CE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907F0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A666AB6" w14:textId="77777777" w:rsidR="00717266" w:rsidRDefault="0093161F" w:rsidP="0093161F">
            <w:pPr>
              <w:spacing w:before="240"/>
            </w:pPr>
            <w:r>
              <w:t>Distr.: General</w:t>
            </w:r>
          </w:p>
          <w:p w14:paraId="7618BE47" w14:textId="77777777" w:rsidR="0093161F" w:rsidRDefault="0093161F" w:rsidP="0093161F">
            <w:pPr>
              <w:suppressAutoHyphens w:val="0"/>
            </w:pPr>
            <w:r>
              <w:t>6 January 2020</w:t>
            </w:r>
          </w:p>
          <w:p w14:paraId="2E4894CB" w14:textId="77777777" w:rsidR="0093161F" w:rsidRDefault="0093161F" w:rsidP="0093161F">
            <w:pPr>
              <w:suppressAutoHyphens w:val="0"/>
            </w:pPr>
            <w:r>
              <w:t>English</w:t>
            </w:r>
          </w:p>
          <w:p w14:paraId="3180F1E9" w14:textId="77777777" w:rsidR="0093161F" w:rsidRDefault="0093161F" w:rsidP="0093161F">
            <w:pPr>
              <w:suppressAutoHyphens w:val="0"/>
            </w:pPr>
            <w:r>
              <w:t>Original: French</w:t>
            </w:r>
          </w:p>
        </w:tc>
      </w:tr>
    </w:tbl>
    <w:p w14:paraId="6E381C32" w14:textId="77777777" w:rsidR="005254E2" w:rsidRPr="004C04C9" w:rsidRDefault="005254E2" w:rsidP="005254E2">
      <w:pPr>
        <w:spacing w:before="120"/>
        <w:rPr>
          <w:rFonts w:asciiTheme="majorBidi" w:hAnsiTheme="majorBidi" w:cstheme="majorBidi"/>
          <w:b/>
          <w:sz w:val="28"/>
          <w:szCs w:val="28"/>
          <w:lang w:val="en-US"/>
        </w:rPr>
      </w:pPr>
      <w:r w:rsidRPr="004C04C9">
        <w:rPr>
          <w:rFonts w:asciiTheme="majorBidi" w:hAnsiTheme="majorBidi" w:cstheme="majorBidi"/>
          <w:b/>
          <w:sz w:val="28"/>
          <w:szCs w:val="28"/>
          <w:lang w:val="en-US"/>
        </w:rPr>
        <w:t>Economic Commission for Europe</w:t>
      </w:r>
    </w:p>
    <w:p w14:paraId="799E9B74" w14:textId="77777777" w:rsidR="005254E2" w:rsidRPr="004C04C9" w:rsidRDefault="005254E2" w:rsidP="005254E2">
      <w:pPr>
        <w:spacing w:before="120"/>
        <w:rPr>
          <w:rFonts w:asciiTheme="majorBidi" w:hAnsiTheme="majorBidi" w:cstheme="majorBidi"/>
          <w:sz w:val="28"/>
          <w:szCs w:val="28"/>
          <w:lang w:val="en-US"/>
        </w:rPr>
      </w:pPr>
      <w:r w:rsidRPr="004C04C9">
        <w:rPr>
          <w:rFonts w:asciiTheme="majorBidi" w:hAnsiTheme="majorBidi" w:cstheme="majorBidi"/>
          <w:sz w:val="28"/>
          <w:szCs w:val="28"/>
          <w:lang w:val="en-US"/>
        </w:rPr>
        <w:t>Inland Transport Committee</w:t>
      </w:r>
    </w:p>
    <w:p w14:paraId="54BEA38E" w14:textId="77777777" w:rsidR="005254E2" w:rsidRPr="004C04C9" w:rsidRDefault="005254E2" w:rsidP="005254E2">
      <w:pPr>
        <w:spacing w:before="120" w:after="120"/>
        <w:rPr>
          <w:rFonts w:asciiTheme="majorBidi" w:hAnsiTheme="majorBidi" w:cstheme="majorBidi"/>
          <w:b/>
          <w:sz w:val="24"/>
          <w:szCs w:val="24"/>
          <w:lang w:val="en-US"/>
        </w:rPr>
      </w:pPr>
      <w:r w:rsidRPr="004C04C9">
        <w:rPr>
          <w:rFonts w:asciiTheme="majorBidi" w:hAnsiTheme="majorBidi" w:cstheme="majorBidi"/>
          <w:b/>
          <w:sz w:val="24"/>
          <w:szCs w:val="24"/>
          <w:lang w:val="en-US"/>
        </w:rPr>
        <w:t>Working Party on the Transport of Dangerous Goods</w:t>
      </w:r>
    </w:p>
    <w:p w14:paraId="30956683" w14:textId="77777777" w:rsidR="005254E2" w:rsidRPr="004C04C9" w:rsidRDefault="005254E2" w:rsidP="005254E2">
      <w:pPr>
        <w:rPr>
          <w:rFonts w:asciiTheme="majorBidi" w:hAnsiTheme="majorBidi" w:cstheme="majorBidi"/>
          <w:b/>
          <w:bCs/>
          <w:lang w:val="en-US"/>
        </w:rPr>
      </w:pPr>
      <w:r w:rsidRPr="004C04C9">
        <w:rPr>
          <w:rFonts w:asciiTheme="majorBidi" w:hAnsiTheme="majorBidi" w:cstheme="majorBidi"/>
          <w:b/>
          <w:bCs/>
          <w:lang w:val="en-US"/>
        </w:rPr>
        <w:t>Joint Meeting of the RID Committee of Experts and the</w:t>
      </w:r>
      <w:r w:rsidRPr="004C04C9">
        <w:rPr>
          <w:rFonts w:asciiTheme="majorBidi" w:hAnsiTheme="majorBidi" w:cstheme="majorBidi"/>
          <w:b/>
          <w:bCs/>
          <w:lang w:val="en-US"/>
        </w:rPr>
        <w:br/>
        <w:t>Working Party on the Transport of Dangerous Goods</w:t>
      </w:r>
    </w:p>
    <w:p w14:paraId="6E8A86F4" w14:textId="77777777" w:rsidR="005254E2" w:rsidRPr="004C04C9" w:rsidRDefault="005254E2" w:rsidP="005254E2">
      <w:pPr>
        <w:rPr>
          <w:rFonts w:asciiTheme="majorBidi" w:hAnsiTheme="majorBidi" w:cstheme="majorBidi"/>
          <w:lang w:val="en-US"/>
        </w:rPr>
      </w:pPr>
      <w:r w:rsidRPr="004C04C9">
        <w:rPr>
          <w:rFonts w:asciiTheme="majorBidi" w:hAnsiTheme="majorBidi" w:cstheme="majorBidi"/>
          <w:lang w:val="en-US"/>
        </w:rPr>
        <w:t>Bern, 16–20 March 2020</w:t>
      </w:r>
    </w:p>
    <w:p w14:paraId="536836E6" w14:textId="77777777" w:rsidR="005254E2" w:rsidRPr="004C04C9" w:rsidRDefault="005254E2" w:rsidP="005254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Theme="majorBidi" w:hAnsiTheme="majorBidi" w:cstheme="majorBidi"/>
          <w:lang w:val="en-US"/>
        </w:rPr>
      </w:pPr>
      <w:r w:rsidRPr="004C04C9">
        <w:rPr>
          <w:rFonts w:asciiTheme="majorBidi" w:hAnsiTheme="majorBidi" w:cstheme="majorBidi"/>
        </w:rPr>
        <w:t>Item 5 (b) of the provisional agenda</w:t>
      </w:r>
    </w:p>
    <w:p w14:paraId="600F03EC" w14:textId="77777777" w:rsidR="005254E2" w:rsidRPr="004C04C9" w:rsidRDefault="005254E2" w:rsidP="005254E2">
      <w:pPr>
        <w:rPr>
          <w:rFonts w:asciiTheme="majorBidi" w:hAnsiTheme="majorBidi" w:cstheme="majorBidi"/>
          <w:b/>
          <w:bCs/>
        </w:rPr>
      </w:pPr>
      <w:bookmarkStart w:id="1" w:name="_Hlk29459729"/>
      <w:r w:rsidRPr="004C04C9">
        <w:rPr>
          <w:rFonts w:asciiTheme="majorBidi" w:hAnsiTheme="majorBidi" w:cstheme="majorBidi"/>
          <w:b/>
          <w:bCs/>
        </w:rPr>
        <w:t>Proposals for amendments to RID/ADR/ADN:</w:t>
      </w:r>
    </w:p>
    <w:p w14:paraId="3B1663EE" w14:textId="77777777" w:rsidR="005254E2" w:rsidRPr="004C04C9" w:rsidRDefault="005254E2" w:rsidP="005254E2">
      <w:pPr>
        <w:rPr>
          <w:rFonts w:asciiTheme="majorBidi" w:hAnsiTheme="majorBidi" w:cstheme="majorBidi"/>
          <w:b/>
          <w:bCs/>
        </w:rPr>
      </w:pPr>
      <w:r w:rsidRPr="004C04C9">
        <w:rPr>
          <w:rFonts w:asciiTheme="majorBidi" w:hAnsiTheme="majorBidi" w:cstheme="majorBidi"/>
          <w:b/>
          <w:bCs/>
        </w:rPr>
        <w:t>new proposals</w:t>
      </w:r>
    </w:p>
    <w:bookmarkEnd w:id="1"/>
    <w:p w14:paraId="65046A37" w14:textId="77777777" w:rsidR="005254E2" w:rsidRPr="004C04C9" w:rsidRDefault="005254E2" w:rsidP="005254E2">
      <w:pPr>
        <w:pStyle w:val="HChG"/>
        <w:rPr>
          <w:rFonts w:asciiTheme="majorBidi" w:hAnsiTheme="majorBidi" w:cstheme="majorBidi"/>
          <w:lang w:val="en-US"/>
        </w:rPr>
      </w:pPr>
      <w:r w:rsidRPr="004C04C9">
        <w:rPr>
          <w:rFonts w:asciiTheme="majorBidi" w:hAnsiTheme="majorBidi" w:cstheme="majorBidi"/>
        </w:rPr>
        <w:tab/>
      </w:r>
      <w:r w:rsidRPr="004C04C9">
        <w:rPr>
          <w:rFonts w:asciiTheme="majorBidi" w:hAnsiTheme="majorBidi" w:cstheme="majorBidi"/>
        </w:rPr>
        <w:tab/>
      </w:r>
      <w:r w:rsidRPr="004C04C9">
        <w:rPr>
          <w:rFonts w:asciiTheme="majorBidi" w:hAnsiTheme="majorBidi" w:cstheme="majorBidi"/>
          <w:bCs/>
        </w:rPr>
        <w:t>Discrepancy between the scope of application of special provision 666 and that of special provision 669</w:t>
      </w:r>
    </w:p>
    <w:p w14:paraId="756BA821" w14:textId="77777777" w:rsidR="005254E2" w:rsidRPr="004C04C9" w:rsidRDefault="005254E2" w:rsidP="00166E93">
      <w:pPr>
        <w:pStyle w:val="H1G"/>
        <w:rPr>
          <w:rFonts w:eastAsia="Arial"/>
          <w:bCs/>
          <w:vertAlign w:val="superscript"/>
          <w:lang w:val="en-US"/>
        </w:rPr>
      </w:pPr>
      <w:r w:rsidRPr="004C04C9">
        <w:tab/>
      </w:r>
      <w:r w:rsidRPr="004C04C9">
        <w:tab/>
        <w:t>Transmitted by the Government of Switzerland</w:t>
      </w:r>
      <w:r w:rsidRPr="0022638A">
        <w:rPr>
          <w:rStyle w:val="FootnoteReference"/>
          <w:b w:val="0"/>
          <w:bCs/>
          <w:sz w:val="20"/>
          <w:szCs w:val="22"/>
          <w:vertAlign w:val="baseline"/>
        </w:rPr>
        <w:footnoteReference w:customMarkFollows="1" w:id="1"/>
        <w:t>*</w:t>
      </w:r>
      <w:r w:rsidRPr="0022638A">
        <w:rPr>
          <w:rStyle w:val="FootnoteReference"/>
          <w:b w:val="0"/>
          <w:bCs/>
          <w:position w:val="8"/>
          <w:sz w:val="20"/>
          <w:szCs w:val="22"/>
          <w:vertAlign w:val="baseline"/>
        </w:rPr>
        <w:t xml:space="preserve">, </w:t>
      </w:r>
      <w:bookmarkStart w:id="2" w:name="_Hlk29459554"/>
      <w:r w:rsidRPr="0022638A">
        <w:rPr>
          <w:rStyle w:val="FootnoteReference"/>
          <w:b w:val="0"/>
          <w:bCs/>
          <w:sz w:val="20"/>
          <w:szCs w:val="22"/>
          <w:vertAlign w:val="baseline"/>
        </w:rPr>
        <w:footnoteReference w:customMarkFollows="1" w:id="2"/>
        <w:t>**</w:t>
      </w:r>
      <w:bookmarkEnd w:id="2"/>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5254E2" w:rsidRPr="004C04C9" w14:paraId="1C175DF3" w14:textId="77777777" w:rsidTr="00720D32">
        <w:trPr>
          <w:jc w:val="center"/>
        </w:trPr>
        <w:tc>
          <w:tcPr>
            <w:tcW w:w="9628" w:type="dxa"/>
            <w:shd w:val="clear" w:color="auto" w:fill="auto"/>
          </w:tcPr>
          <w:p w14:paraId="3E1DE643" w14:textId="77777777" w:rsidR="005254E2" w:rsidRPr="004C04C9" w:rsidRDefault="005254E2" w:rsidP="00720D32">
            <w:pPr>
              <w:spacing w:before="240" w:after="120"/>
              <w:ind w:left="255"/>
              <w:rPr>
                <w:rFonts w:asciiTheme="majorBidi" w:hAnsiTheme="majorBidi" w:cstheme="majorBidi"/>
                <w:i/>
                <w:sz w:val="24"/>
              </w:rPr>
            </w:pPr>
            <w:r w:rsidRPr="004C04C9">
              <w:rPr>
                <w:rFonts w:asciiTheme="majorBidi" w:hAnsiTheme="majorBidi" w:cstheme="majorBidi"/>
                <w:i/>
                <w:iCs/>
              </w:rPr>
              <w:t>Summary</w:t>
            </w:r>
          </w:p>
        </w:tc>
      </w:tr>
      <w:tr w:rsidR="005254E2" w:rsidRPr="00773C4E" w14:paraId="7B977A82" w14:textId="77777777" w:rsidTr="00720D32">
        <w:trPr>
          <w:jc w:val="center"/>
        </w:trPr>
        <w:tc>
          <w:tcPr>
            <w:tcW w:w="9628" w:type="dxa"/>
            <w:shd w:val="clear" w:color="auto" w:fill="auto"/>
          </w:tcPr>
          <w:p w14:paraId="477C034D" w14:textId="77777777" w:rsidR="005254E2" w:rsidRPr="004C04C9" w:rsidRDefault="005254E2" w:rsidP="00DC2D67">
            <w:pPr>
              <w:pStyle w:val="SingleTxtG"/>
              <w:spacing w:after="60"/>
              <w:ind w:left="2552" w:hanging="2268"/>
              <w:rPr>
                <w:rFonts w:asciiTheme="majorBidi" w:hAnsiTheme="majorBidi" w:cstheme="majorBidi"/>
                <w:lang w:val="en-US"/>
              </w:rPr>
            </w:pPr>
            <w:r w:rsidRPr="004C04C9">
              <w:rPr>
                <w:rFonts w:asciiTheme="majorBidi" w:hAnsiTheme="majorBidi" w:cstheme="majorBidi"/>
                <w:b/>
                <w:bCs/>
              </w:rPr>
              <w:t>Executive summary</w:t>
            </w:r>
            <w:r w:rsidRPr="00BA50F1">
              <w:t>:</w:t>
            </w:r>
            <w:r w:rsidRPr="004C04C9">
              <w:rPr>
                <w:rFonts w:asciiTheme="majorBidi" w:hAnsiTheme="majorBidi" w:cstheme="majorBidi"/>
              </w:rPr>
              <w:tab/>
              <w:t xml:space="preserve">The aim of this proposal is to clarify special provision 666 in order to ensure </w:t>
            </w:r>
            <w:r w:rsidRPr="00DC2D67">
              <w:rPr>
                <w:rFonts w:eastAsia="Times New Roman"/>
                <w:bCs/>
                <w:lang w:eastAsia="en-US"/>
              </w:rPr>
              <w:t>that</w:t>
            </w:r>
            <w:r w:rsidRPr="004C04C9">
              <w:rPr>
                <w:rFonts w:asciiTheme="majorBidi" w:hAnsiTheme="majorBidi" w:cstheme="majorBidi"/>
              </w:rPr>
              <w:t xml:space="preserve"> the exemptions apply identically to equipment on a trailer and equipment on a towing vehicle.</w:t>
            </w:r>
          </w:p>
        </w:tc>
      </w:tr>
      <w:tr w:rsidR="005254E2" w:rsidRPr="00773C4E" w14:paraId="2D85E2C6" w14:textId="77777777" w:rsidTr="00720D32">
        <w:trPr>
          <w:jc w:val="center"/>
        </w:trPr>
        <w:tc>
          <w:tcPr>
            <w:tcW w:w="9628" w:type="dxa"/>
            <w:shd w:val="clear" w:color="auto" w:fill="auto"/>
          </w:tcPr>
          <w:p w14:paraId="7D43CFC0" w14:textId="77777777" w:rsidR="005254E2" w:rsidRPr="004C04C9" w:rsidRDefault="005254E2" w:rsidP="00DC2D67">
            <w:pPr>
              <w:pStyle w:val="SingleTxtG"/>
              <w:spacing w:after="60"/>
              <w:ind w:left="2552" w:hanging="2268"/>
              <w:rPr>
                <w:rFonts w:asciiTheme="majorBidi" w:hAnsiTheme="majorBidi" w:cstheme="majorBidi"/>
                <w:lang w:val="en-US"/>
              </w:rPr>
            </w:pPr>
            <w:r w:rsidRPr="004C04C9">
              <w:rPr>
                <w:rFonts w:asciiTheme="majorBidi" w:hAnsiTheme="majorBidi" w:cstheme="majorBidi"/>
                <w:b/>
                <w:bCs/>
              </w:rPr>
              <w:t>Action to be taken</w:t>
            </w:r>
            <w:r w:rsidRPr="00BA50F1">
              <w:t>:</w:t>
            </w:r>
            <w:r w:rsidRPr="004C04C9">
              <w:rPr>
                <w:rFonts w:asciiTheme="majorBidi" w:hAnsiTheme="majorBidi" w:cstheme="majorBidi"/>
              </w:rPr>
              <w:tab/>
              <w:t>Amend special provision 666</w:t>
            </w:r>
          </w:p>
        </w:tc>
      </w:tr>
      <w:tr w:rsidR="005254E2" w:rsidRPr="00773C4E" w14:paraId="7D7598AF" w14:textId="77777777" w:rsidTr="00720D32">
        <w:trPr>
          <w:jc w:val="center"/>
        </w:trPr>
        <w:tc>
          <w:tcPr>
            <w:tcW w:w="9628" w:type="dxa"/>
            <w:shd w:val="clear" w:color="auto" w:fill="auto"/>
          </w:tcPr>
          <w:p w14:paraId="0459A0AC" w14:textId="77777777" w:rsidR="005254E2" w:rsidRPr="004C04C9" w:rsidRDefault="005254E2" w:rsidP="00720D32">
            <w:pPr>
              <w:rPr>
                <w:rFonts w:asciiTheme="majorBidi" w:hAnsiTheme="majorBidi" w:cstheme="majorBidi"/>
                <w:lang w:val="en-US"/>
              </w:rPr>
            </w:pPr>
          </w:p>
        </w:tc>
      </w:tr>
    </w:tbl>
    <w:p w14:paraId="236F663D" w14:textId="77777777" w:rsidR="005254E2" w:rsidRPr="004C04C9" w:rsidRDefault="005254E2" w:rsidP="005254E2">
      <w:pPr>
        <w:pStyle w:val="HChG"/>
        <w:rPr>
          <w:rFonts w:asciiTheme="majorBidi" w:hAnsiTheme="majorBidi" w:cstheme="majorBidi"/>
          <w:lang w:val="en-US"/>
        </w:rPr>
      </w:pPr>
      <w:r w:rsidRPr="004C04C9">
        <w:rPr>
          <w:rFonts w:asciiTheme="majorBidi" w:hAnsiTheme="majorBidi" w:cstheme="majorBidi"/>
        </w:rPr>
        <w:tab/>
      </w:r>
      <w:r w:rsidRPr="004C04C9">
        <w:rPr>
          <w:rFonts w:asciiTheme="majorBidi" w:hAnsiTheme="majorBidi" w:cstheme="majorBidi"/>
        </w:rPr>
        <w:tab/>
      </w:r>
      <w:r w:rsidRPr="004C04C9">
        <w:rPr>
          <w:rFonts w:asciiTheme="majorBidi" w:hAnsiTheme="majorBidi" w:cstheme="majorBidi"/>
          <w:bCs/>
        </w:rPr>
        <w:t>Introduction</w:t>
      </w:r>
    </w:p>
    <w:p w14:paraId="03B204F6" w14:textId="77777777" w:rsidR="005254E2" w:rsidRPr="004C04C9" w:rsidRDefault="005254E2" w:rsidP="005254E2">
      <w:pPr>
        <w:pStyle w:val="SingleTxtG"/>
        <w:rPr>
          <w:rFonts w:asciiTheme="majorBidi" w:hAnsiTheme="majorBidi" w:cstheme="majorBidi"/>
          <w:lang w:val="en-US"/>
        </w:rPr>
      </w:pPr>
      <w:r w:rsidRPr="004C04C9">
        <w:rPr>
          <w:rFonts w:asciiTheme="majorBidi" w:hAnsiTheme="majorBidi" w:cstheme="majorBidi"/>
        </w:rPr>
        <w:t>1.</w:t>
      </w:r>
      <w:r w:rsidRPr="004C04C9">
        <w:rPr>
          <w:rFonts w:asciiTheme="majorBidi" w:hAnsiTheme="majorBidi" w:cstheme="majorBidi"/>
        </w:rPr>
        <w:tab/>
        <w:t xml:space="preserve">We have noted the following inconsistency in the regulations: permanently installed equipment, such as compressors, conveyor belts, cranes, etc., is treated differently depending on whether it is on a towing vehicle or on a trailer. If it is installed on a towing vehicle that is carried as a load, two provisions might apply, namely special provision 666 and special provision 363. If the equipment is installed on a trailer that is itself carried as a load, special provision 669 applies, but only when the equipment is intended for use during carriage. </w:t>
      </w:r>
    </w:p>
    <w:p w14:paraId="5F74F9D4" w14:textId="77777777" w:rsidR="005254E2" w:rsidRPr="004C04C9" w:rsidRDefault="005254E2" w:rsidP="005254E2">
      <w:pPr>
        <w:pStyle w:val="SingleTxtG"/>
        <w:rPr>
          <w:rFonts w:asciiTheme="majorBidi" w:hAnsiTheme="majorBidi" w:cstheme="majorBidi"/>
        </w:rPr>
      </w:pPr>
      <w:r w:rsidRPr="004C04C9">
        <w:rPr>
          <w:rFonts w:asciiTheme="majorBidi" w:hAnsiTheme="majorBidi" w:cstheme="majorBidi"/>
        </w:rPr>
        <w:t>2.</w:t>
      </w:r>
      <w:r w:rsidRPr="004C04C9">
        <w:rPr>
          <w:rFonts w:asciiTheme="majorBidi" w:hAnsiTheme="majorBidi" w:cstheme="majorBidi"/>
        </w:rPr>
        <w:tab/>
        <w:t xml:space="preserve">Special provision 669 applies to a </w:t>
      </w:r>
      <w:r w:rsidR="00ED4115">
        <w:rPr>
          <w:rFonts w:asciiTheme="majorBidi" w:hAnsiTheme="majorBidi" w:cstheme="majorBidi"/>
        </w:rPr>
        <w:t>“</w:t>
      </w:r>
      <w:r w:rsidRPr="004C04C9">
        <w:rPr>
          <w:rFonts w:asciiTheme="majorBidi" w:hAnsiTheme="majorBidi" w:cstheme="majorBidi"/>
        </w:rPr>
        <w:t>trailer fitted with equipment, powered by a liquid or gaseous fuel or an electric energy storage and production system, that is intended for use during carriage</w:t>
      </w:r>
      <w:r w:rsidR="00ED4115">
        <w:rPr>
          <w:rFonts w:asciiTheme="majorBidi" w:hAnsiTheme="majorBidi" w:cstheme="majorBidi"/>
        </w:rPr>
        <w:t>”</w:t>
      </w:r>
      <w:r w:rsidRPr="004C04C9">
        <w:rPr>
          <w:rFonts w:asciiTheme="majorBidi" w:hAnsiTheme="majorBidi" w:cstheme="majorBidi"/>
          <w:lang w:val="en-US"/>
        </w:rPr>
        <w:t xml:space="preserve">. </w:t>
      </w:r>
      <w:r w:rsidRPr="004C04C9">
        <w:rPr>
          <w:rFonts w:asciiTheme="majorBidi" w:hAnsiTheme="majorBidi" w:cstheme="majorBidi"/>
        </w:rPr>
        <w:t xml:space="preserve">Special provision 666 applies to </w:t>
      </w:r>
      <w:r w:rsidR="00ED4115">
        <w:rPr>
          <w:rFonts w:asciiTheme="majorBidi" w:hAnsiTheme="majorBidi" w:cstheme="majorBidi"/>
        </w:rPr>
        <w:t>“</w:t>
      </w:r>
      <w:r w:rsidRPr="004C04C9">
        <w:rPr>
          <w:rFonts w:asciiTheme="majorBidi" w:hAnsiTheme="majorBidi" w:cstheme="majorBidi"/>
        </w:rPr>
        <w:t xml:space="preserve">vehicles and battery powered equipment, </w:t>
      </w:r>
      <w:r w:rsidRPr="004C04C9">
        <w:rPr>
          <w:rFonts w:asciiTheme="majorBidi" w:hAnsiTheme="majorBidi" w:cstheme="majorBidi"/>
        </w:rPr>
        <w:lastRenderedPageBreak/>
        <w:t>referred to by special provision 388, when carried as a load, as well as any dangerous goods they contain that are necessary for their operation or the operation of their equipment</w:t>
      </w:r>
      <w:r w:rsidR="00ED4115">
        <w:rPr>
          <w:rFonts w:asciiTheme="majorBidi" w:hAnsiTheme="majorBidi" w:cstheme="majorBidi"/>
        </w:rPr>
        <w:t>”</w:t>
      </w:r>
      <w:r w:rsidRPr="004C04C9">
        <w:rPr>
          <w:rFonts w:asciiTheme="majorBidi" w:hAnsiTheme="majorBidi" w:cstheme="majorBidi"/>
        </w:rPr>
        <w:t xml:space="preserve">. If installed on a trailer, the same equipment is not exempt unless it is intended for use during carriage, but the  </w:t>
      </w:r>
      <w:r w:rsidR="00ED4115">
        <w:rPr>
          <w:rFonts w:asciiTheme="majorBidi" w:hAnsiTheme="majorBidi" w:cstheme="majorBidi"/>
        </w:rPr>
        <w:t>“</w:t>
      </w:r>
      <w:r w:rsidRPr="004C04C9">
        <w:rPr>
          <w:rFonts w:asciiTheme="majorBidi" w:hAnsiTheme="majorBidi" w:cstheme="majorBidi"/>
        </w:rPr>
        <w:t>during carriage</w:t>
      </w:r>
      <w:r w:rsidR="00ED4115">
        <w:rPr>
          <w:rFonts w:asciiTheme="majorBidi" w:hAnsiTheme="majorBidi" w:cstheme="majorBidi"/>
        </w:rPr>
        <w:t>”</w:t>
      </w:r>
      <w:r w:rsidRPr="004C04C9">
        <w:rPr>
          <w:rFonts w:asciiTheme="majorBidi" w:hAnsiTheme="majorBidi" w:cstheme="majorBidi"/>
        </w:rPr>
        <w:t xml:space="preserve"> restriction is not part of the application of the exemption set out in special provision 666. Consequently, special provision 666 overlaps with special provision 363, which is also intended to cover equipment not intended for use during carriage and containing liquid fuels.</w:t>
      </w:r>
    </w:p>
    <w:p w14:paraId="25A11727" w14:textId="77777777" w:rsidR="005254E2" w:rsidRPr="004C04C9" w:rsidRDefault="005254E2" w:rsidP="005254E2">
      <w:pPr>
        <w:pStyle w:val="SingleTxtG"/>
        <w:rPr>
          <w:rFonts w:asciiTheme="majorBidi" w:hAnsiTheme="majorBidi" w:cstheme="majorBidi"/>
        </w:rPr>
      </w:pPr>
      <w:r w:rsidRPr="004C04C9">
        <w:rPr>
          <w:rFonts w:asciiTheme="majorBidi" w:hAnsiTheme="majorBidi" w:cstheme="majorBidi"/>
        </w:rPr>
        <w:t>3.</w:t>
      </w:r>
      <w:r w:rsidRPr="004C04C9">
        <w:rPr>
          <w:rFonts w:asciiTheme="majorBidi" w:hAnsiTheme="majorBidi" w:cstheme="majorBidi"/>
        </w:rPr>
        <w:tab/>
        <w:t xml:space="preserve">Special provision 669 was introduced after special provision 666, as it had been noted towards the end of the discussions that the definition of the term </w:t>
      </w:r>
      <w:r w:rsidR="00ED4115">
        <w:rPr>
          <w:rFonts w:asciiTheme="majorBidi" w:hAnsiTheme="majorBidi" w:cstheme="majorBidi"/>
        </w:rPr>
        <w:t>“</w:t>
      </w:r>
      <w:r w:rsidRPr="004C04C9">
        <w:rPr>
          <w:rFonts w:asciiTheme="majorBidi" w:hAnsiTheme="majorBidi" w:cstheme="majorBidi"/>
        </w:rPr>
        <w:t>vehicle</w:t>
      </w:r>
      <w:r w:rsidR="00ED4115">
        <w:rPr>
          <w:rFonts w:asciiTheme="majorBidi" w:hAnsiTheme="majorBidi" w:cstheme="majorBidi"/>
        </w:rPr>
        <w:t>”</w:t>
      </w:r>
      <w:r w:rsidRPr="004C04C9">
        <w:rPr>
          <w:rFonts w:asciiTheme="majorBidi" w:hAnsiTheme="majorBidi" w:cstheme="majorBidi"/>
        </w:rPr>
        <w:t xml:space="preserve"> in special provision 388 did not encompass trailers. Special provision 669 was worded by analogy with the exemptions set out in 1.1.3.2 (a) and 1.1.3.3 (a), in which reference is made to equipment </w:t>
      </w:r>
      <w:r w:rsidR="00ED4115">
        <w:rPr>
          <w:rFonts w:asciiTheme="majorBidi" w:hAnsiTheme="majorBidi" w:cstheme="majorBidi"/>
        </w:rPr>
        <w:t>“</w:t>
      </w:r>
      <w:r w:rsidRPr="004C04C9">
        <w:rPr>
          <w:rFonts w:asciiTheme="majorBidi" w:hAnsiTheme="majorBidi" w:cstheme="majorBidi"/>
        </w:rPr>
        <w:t>used or intended for use during carriage</w:t>
      </w:r>
      <w:r w:rsidR="00ED4115">
        <w:rPr>
          <w:rFonts w:asciiTheme="majorBidi" w:hAnsiTheme="majorBidi" w:cstheme="majorBidi"/>
        </w:rPr>
        <w:t>”</w:t>
      </w:r>
      <w:r w:rsidRPr="004C04C9">
        <w:rPr>
          <w:rFonts w:asciiTheme="majorBidi" w:hAnsiTheme="majorBidi" w:cstheme="majorBidi"/>
        </w:rPr>
        <w:t xml:space="preserve">. This wording makes it possible to distinguish between equipment that is exempt under special provision 363 </w:t>
      </w:r>
      <w:r>
        <w:rPr>
          <w:rFonts w:asciiTheme="majorBidi" w:hAnsiTheme="majorBidi" w:cstheme="majorBidi"/>
        </w:rPr>
        <w:t xml:space="preserve">and that is never used during carriage </w:t>
      </w:r>
      <w:r w:rsidRPr="004C04C9">
        <w:rPr>
          <w:rFonts w:asciiTheme="majorBidi" w:hAnsiTheme="majorBidi" w:cstheme="majorBidi"/>
        </w:rPr>
        <w:t xml:space="preserve">(e.g. emergency heating appliances for buildings, compressors, etc.) and equipment intended for use during carriage (e.g. refrigerators, standby heaters for the sheet of the vehicle, etc.). As </w:t>
      </w:r>
      <w:r>
        <w:rPr>
          <w:rFonts w:asciiTheme="majorBidi" w:hAnsiTheme="majorBidi" w:cstheme="majorBidi"/>
        </w:rPr>
        <w:t xml:space="preserve">there is no such nuance in </w:t>
      </w:r>
      <w:r w:rsidRPr="004C04C9">
        <w:rPr>
          <w:rFonts w:asciiTheme="majorBidi" w:hAnsiTheme="majorBidi" w:cstheme="majorBidi"/>
        </w:rPr>
        <w:t xml:space="preserve">special provision 666, an unnecessary distinction </w:t>
      </w:r>
      <w:r>
        <w:rPr>
          <w:rFonts w:asciiTheme="majorBidi" w:hAnsiTheme="majorBidi" w:cstheme="majorBidi"/>
        </w:rPr>
        <w:t xml:space="preserve">remains </w:t>
      </w:r>
      <w:r w:rsidRPr="004C04C9">
        <w:rPr>
          <w:rFonts w:asciiTheme="majorBidi" w:hAnsiTheme="majorBidi" w:cstheme="majorBidi"/>
        </w:rPr>
        <w:t>between equipment installed on the carrying vehicle and equipment installed on the trailer.</w:t>
      </w:r>
    </w:p>
    <w:p w14:paraId="3002048B" w14:textId="77777777" w:rsidR="005254E2" w:rsidRPr="004C04C9" w:rsidRDefault="005254E2" w:rsidP="005254E2">
      <w:pPr>
        <w:pStyle w:val="SingleTxtG"/>
        <w:rPr>
          <w:rFonts w:asciiTheme="majorBidi" w:hAnsiTheme="majorBidi" w:cstheme="majorBidi"/>
          <w:lang w:val="en-US"/>
        </w:rPr>
      </w:pPr>
      <w:r w:rsidRPr="004C04C9">
        <w:rPr>
          <w:rFonts w:asciiTheme="majorBidi" w:hAnsiTheme="majorBidi" w:cstheme="majorBidi"/>
        </w:rPr>
        <w:t>4.</w:t>
      </w:r>
      <w:r w:rsidRPr="004C04C9">
        <w:rPr>
          <w:rFonts w:asciiTheme="majorBidi" w:hAnsiTheme="majorBidi" w:cstheme="majorBidi"/>
        </w:rPr>
        <w:tab/>
        <w:t>As currently worded, special provision 666 redundantly exempts equipment already covered by special provision 363 that is not intended for use during carriage. Special provision 669 remedies this defect.</w:t>
      </w:r>
    </w:p>
    <w:p w14:paraId="58750603" w14:textId="77777777" w:rsidR="005254E2" w:rsidRPr="004C04C9" w:rsidRDefault="005254E2" w:rsidP="005254E2">
      <w:pPr>
        <w:pStyle w:val="SingleTxtG"/>
        <w:rPr>
          <w:rFonts w:asciiTheme="majorBidi" w:hAnsiTheme="majorBidi" w:cstheme="majorBidi"/>
          <w:lang w:val="en-US"/>
        </w:rPr>
      </w:pPr>
      <w:r w:rsidRPr="004C04C9">
        <w:rPr>
          <w:rFonts w:asciiTheme="majorBidi" w:hAnsiTheme="majorBidi" w:cstheme="majorBidi"/>
        </w:rPr>
        <w:t>5.</w:t>
      </w:r>
      <w:r w:rsidRPr="004C04C9">
        <w:rPr>
          <w:rFonts w:asciiTheme="majorBidi" w:hAnsiTheme="majorBidi" w:cstheme="majorBidi"/>
        </w:rPr>
        <w:tab/>
        <w:t>In order to avoid this overlap between special provisions 666 and 363 and eliminate the discrepancy between the scope of application of special provision 666 and that of special provision 669, as well as the inconsistent treatment of the same equipment depending on whether it is on the towing vehicle or on the trailer, we propose to align the wording of special provision 666 with that of special provision 669 by amending the first sentence of special provision 666 as follows.</w:t>
      </w:r>
    </w:p>
    <w:p w14:paraId="1C747FCD" w14:textId="77777777" w:rsidR="005254E2" w:rsidRPr="004C04C9" w:rsidRDefault="005254E2" w:rsidP="005254E2">
      <w:pPr>
        <w:pStyle w:val="HChG"/>
        <w:rPr>
          <w:rFonts w:asciiTheme="majorBidi" w:hAnsiTheme="majorBidi" w:cstheme="majorBidi"/>
          <w:lang w:val="en-US"/>
        </w:rPr>
      </w:pPr>
      <w:r w:rsidRPr="004C04C9">
        <w:rPr>
          <w:rFonts w:asciiTheme="majorBidi" w:hAnsiTheme="majorBidi" w:cstheme="majorBidi"/>
        </w:rPr>
        <w:tab/>
      </w:r>
      <w:r w:rsidRPr="004C04C9">
        <w:rPr>
          <w:rFonts w:asciiTheme="majorBidi" w:hAnsiTheme="majorBidi" w:cstheme="majorBidi"/>
        </w:rPr>
        <w:tab/>
        <w:t>Proposal</w:t>
      </w:r>
    </w:p>
    <w:p w14:paraId="3C57A5BA" w14:textId="77777777" w:rsidR="005254E2" w:rsidRPr="004C04C9" w:rsidRDefault="005254E2" w:rsidP="005254E2">
      <w:pPr>
        <w:pStyle w:val="SingleTxtG"/>
        <w:rPr>
          <w:rFonts w:asciiTheme="majorBidi" w:hAnsiTheme="majorBidi" w:cstheme="majorBidi"/>
          <w:lang w:val="en-US"/>
        </w:rPr>
      </w:pPr>
      <w:r w:rsidRPr="004C04C9">
        <w:rPr>
          <w:rFonts w:asciiTheme="majorBidi" w:hAnsiTheme="majorBidi" w:cstheme="majorBidi"/>
        </w:rPr>
        <w:t>6.</w:t>
      </w:r>
      <w:r w:rsidRPr="004C04C9">
        <w:rPr>
          <w:rFonts w:asciiTheme="majorBidi" w:hAnsiTheme="majorBidi" w:cstheme="majorBidi"/>
        </w:rPr>
        <w:tab/>
        <w:t>Amend the first sentence of special provision 666 as follows (added text underlined in bold):</w:t>
      </w:r>
    </w:p>
    <w:p w14:paraId="097DAAA3" w14:textId="77777777" w:rsidR="005254E2" w:rsidRPr="004C04C9" w:rsidRDefault="00ED4115" w:rsidP="005254E2">
      <w:pPr>
        <w:pStyle w:val="SingleTxtG"/>
        <w:rPr>
          <w:rFonts w:asciiTheme="majorBidi" w:hAnsiTheme="majorBidi" w:cstheme="majorBidi"/>
          <w:lang w:val="en-US"/>
        </w:rPr>
      </w:pPr>
      <w:r>
        <w:rPr>
          <w:rFonts w:asciiTheme="majorBidi" w:hAnsiTheme="majorBidi" w:cstheme="majorBidi"/>
        </w:rPr>
        <w:t>“</w:t>
      </w:r>
      <w:r w:rsidR="005254E2" w:rsidRPr="004C04C9">
        <w:rPr>
          <w:rFonts w:asciiTheme="majorBidi" w:hAnsiTheme="majorBidi" w:cstheme="majorBidi"/>
        </w:rPr>
        <w:t>Vehicles and battery powered equipment, referred to by special provision 388, when carried as a load, as well as any dangerous goods they contain that are necessary for their operation or the operation of their equipment</w:t>
      </w:r>
      <w:r w:rsidR="005254E2" w:rsidRPr="004C04C9">
        <w:rPr>
          <w:rFonts w:asciiTheme="majorBidi" w:hAnsiTheme="majorBidi" w:cstheme="majorBidi"/>
          <w:b/>
          <w:bCs/>
          <w:u w:val="single"/>
        </w:rPr>
        <w:t xml:space="preserve">, and when intended for use during carriage, </w:t>
      </w:r>
      <w:r w:rsidR="005254E2" w:rsidRPr="004C04C9">
        <w:rPr>
          <w:rFonts w:asciiTheme="majorBidi" w:hAnsiTheme="majorBidi" w:cstheme="majorBidi"/>
        </w:rPr>
        <w:t>…</w:t>
      </w:r>
      <w:r w:rsidRPr="009B0BC0">
        <w:t>”</w:t>
      </w:r>
    </w:p>
    <w:p w14:paraId="3507EF6E" w14:textId="77777777" w:rsidR="005254E2" w:rsidRPr="004C04C9" w:rsidRDefault="005254E2" w:rsidP="005254E2">
      <w:pPr>
        <w:pStyle w:val="HChG"/>
        <w:rPr>
          <w:rFonts w:asciiTheme="majorBidi" w:hAnsiTheme="majorBidi" w:cstheme="majorBidi"/>
          <w:lang w:val="en-US"/>
        </w:rPr>
      </w:pPr>
      <w:r w:rsidRPr="004C04C9">
        <w:rPr>
          <w:rFonts w:asciiTheme="majorBidi" w:hAnsiTheme="majorBidi" w:cstheme="majorBidi"/>
        </w:rPr>
        <w:tab/>
      </w:r>
      <w:r w:rsidRPr="004C04C9">
        <w:rPr>
          <w:rFonts w:asciiTheme="majorBidi" w:hAnsiTheme="majorBidi" w:cstheme="majorBidi"/>
        </w:rPr>
        <w:tab/>
      </w:r>
      <w:r w:rsidRPr="00070857">
        <w:t>Justification</w:t>
      </w:r>
    </w:p>
    <w:p w14:paraId="0C791BFE" w14:textId="77777777" w:rsidR="005254E2" w:rsidRPr="004C04C9" w:rsidRDefault="005254E2" w:rsidP="005254E2">
      <w:pPr>
        <w:pStyle w:val="SingleTxtG"/>
        <w:rPr>
          <w:rFonts w:asciiTheme="majorBidi" w:hAnsiTheme="majorBidi" w:cstheme="majorBidi"/>
          <w:lang w:val="en-US"/>
        </w:rPr>
      </w:pPr>
      <w:r w:rsidRPr="004C04C9">
        <w:rPr>
          <w:rFonts w:asciiTheme="majorBidi" w:hAnsiTheme="majorBidi" w:cstheme="majorBidi"/>
        </w:rPr>
        <w:t>7.</w:t>
      </w:r>
      <w:r w:rsidRPr="004C04C9">
        <w:rPr>
          <w:rFonts w:asciiTheme="majorBidi" w:hAnsiTheme="majorBidi" w:cstheme="majorBidi"/>
        </w:rPr>
        <w:tab/>
        <w:t>This addition ensures that the exemptions apply identically to equipment on a trailer and equipment on a towing vehicle. It also serves to clarify the scope of application of special provision 666 in relation to that of special provision 333. Special provision 666 applies only to equipment intended for use during carriage. Special provision 333 applies only to equipment not used during carriage.</w:t>
      </w:r>
    </w:p>
    <w:p w14:paraId="1D338843" w14:textId="77777777" w:rsidR="005254E2" w:rsidRPr="004C04C9" w:rsidRDefault="005254E2" w:rsidP="005254E2">
      <w:pPr>
        <w:spacing w:before="120"/>
        <w:jc w:val="center"/>
        <w:rPr>
          <w:rFonts w:asciiTheme="majorBidi" w:hAnsiTheme="majorBidi" w:cstheme="majorBidi"/>
          <w:u w:val="single"/>
          <w:lang w:val="en-US"/>
        </w:rPr>
      </w:pPr>
      <w:r w:rsidRPr="004C04C9">
        <w:rPr>
          <w:rFonts w:asciiTheme="majorBidi" w:hAnsiTheme="majorBidi" w:cstheme="majorBidi"/>
          <w:u w:val="single"/>
          <w:lang w:val="en-US"/>
        </w:rPr>
        <w:tab/>
      </w:r>
      <w:r w:rsidRPr="004C04C9">
        <w:rPr>
          <w:rFonts w:asciiTheme="majorBidi" w:hAnsiTheme="majorBidi" w:cstheme="majorBidi"/>
          <w:u w:val="single"/>
          <w:lang w:val="en-US"/>
        </w:rPr>
        <w:tab/>
      </w:r>
      <w:r w:rsidRPr="004C04C9">
        <w:rPr>
          <w:rFonts w:asciiTheme="majorBidi" w:hAnsiTheme="majorBidi" w:cstheme="majorBidi"/>
          <w:u w:val="single"/>
          <w:lang w:val="en-US"/>
        </w:rPr>
        <w:tab/>
      </w:r>
    </w:p>
    <w:sectPr w:rsidR="005254E2" w:rsidRPr="004C04C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9E3F" w14:textId="77777777" w:rsidR="003623E9" w:rsidRPr="00FB1744" w:rsidRDefault="003623E9" w:rsidP="00FB1744">
      <w:pPr>
        <w:pStyle w:val="Footer"/>
      </w:pPr>
    </w:p>
  </w:endnote>
  <w:endnote w:type="continuationSeparator" w:id="0">
    <w:p w14:paraId="22EBF51B" w14:textId="77777777" w:rsidR="003623E9" w:rsidRPr="00FB1744" w:rsidRDefault="003623E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481" w14:textId="77777777" w:rsidR="0093161F" w:rsidRDefault="0093161F" w:rsidP="0093161F">
    <w:pPr>
      <w:pStyle w:val="Footer"/>
      <w:tabs>
        <w:tab w:val="right" w:pos="9638"/>
      </w:tabs>
    </w:pPr>
    <w:r w:rsidRPr="0093161F">
      <w:rPr>
        <w:b/>
        <w:bCs/>
        <w:sz w:val="18"/>
      </w:rPr>
      <w:fldChar w:fldCharType="begin"/>
    </w:r>
    <w:r w:rsidRPr="0093161F">
      <w:rPr>
        <w:b/>
        <w:bCs/>
        <w:sz w:val="18"/>
      </w:rPr>
      <w:instrText xml:space="preserve"> PAGE  \* MERGEFORMAT </w:instrText>
    </w:r>
    <w:r w:rsidRPr="0093161F">
      <w:rPr>
        <w:b/>
        <w:bCs/>
        <w:sz w:val="18"/>
      </w:rPr>
      <w:fldChar w:fldCharType="separate"/>
    </w:r>
    <w:r w:rsidRPr="0093161F">
      <w:rPr>
        <w:b/>
        <w:bCs/>
        <w:noProof/>
        <w:sz w:val="18"/>
      </w:rPr>
      <w:t>2</w:t>
    </w:r>
    <w:r w:rsidRPr="0093161F">
      <w:rPr>
        <w:b/>
        <w:bCs/>
        <w:sz w:val="18"/>
      </w:rPr>
      <w:fldChar w:fldCharType="end"/>
    </w:r>
    <w:r>
      <w:tab/>
      <w:t>GE.20-00097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4DB" w14:textId="77777777" w:rsidR="0093161F" w:rsidRDefault="0093161F" w:rsidP="0093161F">
    <w:pPr>
      <w:pStyle w:val="Footer"/>
      <w:tabs>
        <w:tab w:val="right" w:pos="9638"/>
      </w:tabs>
    </w:pPr>
    <w:r>
      <w:t>GE.20-00097</w:t>
    </w:r>
    <w:r>
      <w:tab/>
    </w:r>
    <w:r w:rsidRPr="0093161F">
      <w:rPr>
        <w:b/>
        <w:bCs/>
        <w:sz w:val="18"/>
      </w:rPr>
      <w:fldChar w:fldCharType="begin"/>
    </w:r>
    <w:r w:rsidRPr="0093161F">
      <w:rPr>
        <w:b/>
        <w:bCs/>
        <w:sz w:val="18"/>
      </w:rPr>
      <w:instrText xml:space="preserve"> PAGE  \* MERGEFORMAT </w:instrText>
    </w:r>
    <w:r w:rsidRPr="0093161F">
      <w:rPr>
        <w:b/>
        <w:bCs/>
        <w:sz w:val="18"/>
      </w:rPr>
      <w:fldChar w:fldCharType="separate"/>
    </w:r>
    <w:r w:rsidRPr="0093161F">
      <w:rPr>
        <w:b/>
        <w:bCs/>
        <w:noProof/>
        <w:sz w:val="18"/>
      </w:rPr>
      <w:t>3</w:t>
    </w:r>
    <w:r w:rsidRPr="009316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085F" w14:textId="77777777" w:rsidR="0093161F" w:rsidRDefault="0093161F">
    <w:pPr>
      <w:pStyle w:val="Footer"/>
      <w:rPr>
        <w:sz w:val="20"/>
      </w:rPr>
    </w:pPr>
    <w:r>
      <w:rPr>
        <w:noProof/>
      </w:rPr>
      <w:drawing>
        <wp:anchor distT="0" distB="0" distL="114300" distR="114300" simplePos="0" relativeHeight="251659264" behindDoc="1" locked="1" layoutInCell="1" allowOverlap="1" wp14:anchorId="53FE26F3" wp14:editId="58292A1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ADE82D" w14:textId="77777777" w:rsidR="0093161F" w:rsidRDefault="0093161F" w:rsidP="0093161F">
    <w:pPr>
      <w:pStyle w:val="Footer"/>
      <w:rPr>
        <w:sz w:val="20"/>
      </w:rPr>
    </w:pPr>
    <w:r>
      <w:rPr>
        <w:sz w:val="20"/>
      </w:rPr>
      <w:t>GE.20-00097  (E)</w:t>
    </w:r>
    <w:r w:rsidR="005A3127">
      <w:rPr>
        <w:sz w:val="20"/>
      </w:rPr>
      <w:t xml:space="preserve">    </w:t>
    </w:r>
    <w:r w:rsidR="00232963">
      <w:rPr>
        <w:sz w:val="20"/>
      </w:rPr>
      <w:t>050220    050220</w:t>
    </w:r>
  </w:p>
  <w:p w14:paraId="58B0BAA5" w14:textId="77777777" w:rsidR="0093161F" w:rsidRPr="0093161F" w:rsidRDefault="0093161F" w:rsidP="0093161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E40B130" wp14:editId="52DA497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1F8B" w14:textId="77777777" w:rsidR="003623E9" w:rsidRPr="00FB1744" w:rsidRDefault="003623E9" w:rsidP="00FB1744">
      <w:pPr>
        <w:tabs>
          <w:tab w:val="right" w:pos="2155"/>
        </w:tabs>
        <w:spacing w:after="80" w:line="240" w:lineRule="auto"/>
        <w:ind w:left="680"/>
      </w:pPr>
      <w:r>
        <w:rPr>
          <w:u w:val="single"/>
        </w:rPr>
        <w:tab/>
      </w:r>
    </w:p>
  </w:footnote>
  <w:footnote w:type="continuationSeparator" w:id="0">
    <w:p w14:paraId="3A50DA49" w14:textId="77777777" w:rsidR="003623E9" w:rsidRPr="00FB1744" w:rsidRDefault="003623E9" w:rsidP="00FB1744">
      <w:pPr>
        <w:tabs>
          <w:tab w:val="right" w:pos="2155"/>
        </w:tabs>
        <w:spacing w:after="80" w:line="240" w:lineRule="auto"/>
        <w:ind w:left="680"/>
      </w:pPr>
      <w:r>
        <w:rPr>
          <w:u w:val="single"/>
        </w:rPr>
        <w:tab/>
      </w:r>
    </w:p>
  </w:footnote>
  <w:footnote w:id="1">
    <w:p w14:paraId="1B404713" w14:textId="77777777" w:rsidR="005254E2" w:rsidRPr="004C43CE" w:rsidRDefault="005254E2" w:rsidP="005254E2">
      <w:pPr>
        <w:pStyle w:val="FootnoteText"/>
        <w:rPr>
          <w:lang w:val="en-US"/>
        </w:rPr>
      </w:pPr>
      <w:r w:rsidRPr="005A3127">
        <w:rPr>
          <w:rStyle w:val="FootnoteReference"/>
          <w:sz w:val="20"/>
          <w:szCs w:val="22"/>
          <w:vertAlign w:val="baseline"/>
        </w:rPr>
        <w:tab/>
        <w:t>*</w:t>
      </w:r>
      <w:r w:rsidRPr="005A3127">
        <w:rPr>
          <w:rStyle w:val="FootnoteReference"/>
          <w:sz w:val="20"/>
          <w:szCs w:val="22"/>
          <w:vertAlign w:val="baseline"/>
        </w:rPr>
        <w:tab/>
      </w:r>
      <w:r w:rsidRPr="004C43CE">
        <w:t>Subprogramme 2 of the programme budget for 2020 (A/74/6 (Sect. 20) and supplementary information).</w:t>
      </w:r>
    </w:p>
  </w:footnote>
  <w:footnote w:id="2">
    <w:p w14:paraId="0BF36146" w14:textId="77777777" w:rsidR="005254E2" w:rsidRPr="004C43CE" w:rsidRDefault="005254E2" w:rsidP="005254E2">
      <w:pPr>
        <w:pStyle w:val="FootnoteText"/>
        <w:rPr>
          <w:lang w:val="en-US"/>
        </w:rPr>
      </w:pPr>
      <w:r w:rsidRPr="005A3127">
        <w:rPr>
          <w:sz w:val="20"/>
          <w:szCs w:val="22"/>
        </w:rPr>
        <w:tab/>
        <w:t>**</w:t>
      </w:r>
      <w:r w:rsidRPr="005A3127">
        <w:rPr>
          <w:sz w:val="20"/>
          <w:szCs w:val="22"/>
        </w:rPr>
        <w:tab/>
      </w:r>
      <w:r w:rsidRPr="004C43CE">
        <w:t>Circulated by the Intergovernmental Organisation for International Carriage by Rail (OTIF) under the symbol OTIF/RID/RC/2020/30.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5DEC" w14:textId="77777777" w:rsidR="0093161F" w:rsidRDefault="0093161F" w:rsidP="0093161F">
    <w:pPr>
      <w:pStyle w:val="Header"/>
    </w:pPr>
    <w:r>
      <w:t>ECE/TRANS/WP.15/AC.1/2020/30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5BB9" w14:textId="77777777" w:rsidR="0093161F" w:rsidRDefault="0093161F" w:rsidP="0093161F">
    <w:pPr>
      <w:pStyle w:val="Header"/>
      <w:jc w:val="right"/>
    </w:pPr>
    <w:r>
      <w:t>ECE/TRANS/WP.15/AC.1/2020/30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E9"/>
    <w:rsid w:val="00046E92"/>
    <w:rsid w:val="00070857"/>
    <w:rsid w:val="00097E44"/>
    <w:rsid w:val="000D1B89"/>
    <w:rsid w:val="001170DC"/>
    <w:rsid w:val="00166E93"/>
    <w:rsid w:val="00194824"/>
    <w:rsid w:val="0022638A"/>
    <w:rsid w:val="00232963"/>
    <w:rsid w:val="00247E2C"/>
    <w:rsid w:val="002D6C53"/>
    <w:rsid w:val="002F5595"/>
    <w:rsid w:val="00332A4C"/>
    <w:rsid w:val="00334F6A"/>
    <w:rsid w:val="00342AC8"/>
    <w:rsid w:val="003623E9"/>
    <w:rsid w:val="003B4550"/>
    <w:rsid w:val="003C2932"/>
    <w:rsid w:val="0043448D"/>
    <w:rsid w:val="00461253"/>
    <w:rsid w:val="004A716A"/>
    <w:rsid w:val="005042C2"/>
    <w:rsid w:val="00506C12"/>
    <w:rsid w:val="005254E2"/>
    <w:rsid w:val="0056599A"/>
    <w:rsid w:val="00587690"/>
    <w:rsid w:val="005A3127"/>
    <w:rsid w:val="00612008"/>
    <w:rsid w:val="00671529"/>
    <w:rsid w:val="00717266"/>
    <w:rsid w:val="007268F9"/>
    <w:rsid w:val="00750EB1"/>
    <w:rsid w:val="007C52B0"/>
    <w:rsid w:val="00875B03"/>
    <w:rsid w:val="0093161F"/>
    <w:rsid w:val="009411B4"/>
    <w:rsid w:val="009B0BC0"/>
    <w:rsid w:val="009D0139"/>
    <w:rsid w:val="009F5CDC"/>
    <w:rsid w:val="00A429CD"/>
    <w:rsid w:val="00A775CF"/>
    <w:rsid w:val="00AB1E0F"/>
    <w:rsid w:val="00AB3C7E"/>
    <w:rsid w:val="00B06045"/>
    <w:rsid w:val="00BA50F1"/>
    <w:rsid w:val="00C35A27"/>
    <w:rsid w:val="00DC2D67"/>
    <w:rsid w:val="00E02C2B"/>
    <w:rsid w:val="00ED4115"/>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D268A"/>
  <w15:docId w15:val="{64AD5E8F-C108-452B-9D43-BF64055C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E4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5254E2"/>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0D16-44C8-4130-BF4B-ACE85815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ECE/TRANS/WP.15/AC.1/2020/30</vt:lpstr>
    </vt:vector>
  </TitlesOfParts>
  <Company>DCM</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ECE/TRANS/WP.15/AC.1/2020/30</dc:title>
  <dc:subject>2000097</dc:subject>
  <dc:creator>cg</dc:creator>
  <cp:keywords/>
  <dc:description/>
  <cp:lastModifiedBy>Christine Barrio-Champeau</cp:lastModifiedBy>
  <cp:revision>2</cp:revision>
  <cp:lastPrinted>2020-02-05T10:33:00Z</cp:lastPrinted>
  <dcterms:created xsi:type="dcterms:W3CDTF">2020-02-05T14:19:00Z</dcterms:created>
  <dcterms:modified xsi:type="dcterms:W3CDTF">2020-02-05T14:19:00Z</dcterms:modified>
</cp:coreProperties>
</file>