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1162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11629" w:rsidP="00811629">
            <w:pPr>
              <w:jc w:val="right"/>
            </w:pPr>
            <w:r w:rsidRPr="00811629">
              <w:rPr>
                <w:sz w:val="40"/>
              </w:rPr>
              <w:t>ECE</w:t>
            </w:r>
            <w:r>
              <w:t>/TRANS/WP.15/AC.1/2020/2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11629" w:rsidP="00C97039">
            <w:pPr>
              <w:spacing w:before="240"/>
            </w:pPr>
            <w:proofErr w:type="spellStart"/>
            <w:r>
              <w:t>Distr</w:t>
            </w:r>
            <w:proofErr w:type="spellEnd"/>
            <w:r>
              <w:t xml:space="preserve">. </w:t>
            </w:r>
            <w:proofErr w:type="gramStart"/>
            <w:r>
              <w:t>générale</w:t>
            </w:r>
            <w:proofErr w:type="gramEnd"/>
          </w:p>
          <w:p w:rsidR="00811629" w:rsidRDefault="00811629" w:rsidP="00811629">
            <w:pPr>
              <w:spacing w:line="240" w:lineRule="exact"/>
            </w:pPr>
            <w:r>
              <w:t>17 décembre 2019</w:t>
            </w:r>
          </w:p>
          <w:p w:rsidR="00811629" w:rsidRDefault="00811629" w:rsidP="00811629">
            <w:pPr>
              <w:spacing w:line="240" w:lineRule="exact"/>
            </w:pPr>
            <w:r>
              <w:t>Français</w:t>
            </w:r>
          </w:p>
          <w:p w:rsidR="00811629" w:rsidRPr="00DB58B5" w:rsidRDefault="00811629" w:rsidP="00811629">
            <w:pPr>
              <w:spacing w:line="240" w:lineRule="exact"/>
            </w:pPr>
            <w:r>
              <w:t>Original</w:t>
            </w:r>
            <w:r w:rsidR="0069262A">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504A1" w:rsidRPr="0051494E" w:rsidRDefault="008504A1" w:rsidP="0051494E">
      <w:pPr>
        <w:kinsoku/>
        <w:overflowPunct/>
        <w:autoSpaceDE/>
        <w:adjustRightInd/>
        <w:snapToGrid/>
        <w:spacing w:before="120" w:after="120" w:line="240" w:lineRule="auto"/>
        <w:rPr>
          <w:rFonts w:eastAsia="Times New Roman"/>
          <w:b/>
          <w:sz w:val="24"/>
          <w:szCs w:val="24"/>
          <w:lang w:eastAsia="fr-FR"/>
        </w:rPr>
      </w:pPr>
      <w:r w:rsidRPr="0051494E">
        <w:rPr>
          <w:rFonts w:eastAsia="Times New Roman"/>
          <w:b/>
          <w:sz w:val="24"/>
          <w:szCs w:val="24"/>
          <w:lang w:eastAsia="fr-FR"/>
        </w:rPr>
        <w:t xml:space="preserve">Groupe de travail des transports </w:t>
      </w:r>
      <w:r w:rsidR="0051494E">
        <w:rPr>
          <w:rFonts w:eastAsia="Times New Roman"/>
          <w:b/>
          <w:sz w:val="24"/>
          <w:szCs w:val="24"/>
          <w:lang w:eastAsia="fr-FR"/>
        </w:rPr>
        <w:br/>
      </w:r>
      <w:r w:rsidRPr="0051494E">
        <w:rPr>
          <w:rFonts w:eastAsia="Times New Roman"/>
          <w:b/>
          <w:sz w:val="24"/>
          <w:szCs w:val="24"/>
          <w:lang w:eastAsia="fr-FR"/>
        </w:rPr>
        <w:t>de marchandises dangereuses</w:t>
      </w:r>
    </w:p>
    <w:p w:rsidR="008504A1" w:rsidRDefault="008504A1" w:rsidP="008504A1">
      <w:pPr>
        <w:kinsoku/>
        <w:overflowPunct/>
        <w:autoSpaceDE/>
        <w:adjustRightInd/>
        <w:snapToGrid/>
        <w:spacing w:line="240" w:lineRule="auto"/>
        <w:rPr>
          <w:rFonts w:eastAsia="Times New Roman"/>
          <w:b/>
          <w:bCs/>
          <w:szCs w:val="24"/>
          <w:lang w:eastAsia="fr-FR"/>
        </w:rPr>
      </w:pPr>
      <w:r>
        <w:rPr>
          <w:rFonts w:eastAsia="Times New Roman"/>
          <w:b/>
          <w:bCs/>
          <w:szCs w:val="24"/>
          <w:lang w:eastAsia="fr-FR"/>
        </w:rPr>
        <w:t xml:space="preserve">Réunion commune de la Commission d’experts du RID </w:t>
      </w:r>
      <w:r w:rsidR="00120E4C">
        <w:rPr>
          <w:rFonts w:eastAsia="Times New Roman"/>
          <w:b/>
          <w:bCs/>
          <w:szCs w:val="24"/>
          <w:lang w:eastAsia="fr-FR"/>
        </w:rPr>
        <w:br/>
      </w:r>
      <w:r>
        <w:rPr>
          <w:rFonts w:eastAsia="Times New Roman"/>
          <w:b/>
          <w:bCs/>
          <w:szCs w:val="24"/>
          <w:lang w:eastAsia="fr-FR"/>
        </w:rPr>
        <w:t xml:space="preserve">et du Groupe de travail des transports </w:t>
      </w:r>
      <w:r w:rsidR="00120E4C">
        <w:rPr>
          <w:rFonts w:eastAsia="Times New Roman"/>
          <w:b/>
          <w:bCs/>
          <w:szCs w:val="24"/>
          <w:lang w:eastAsia="fr-FR"/>
        </w:rPr>
        <w:br/>
      </w:r>
      <w:r>
        <w:rPr>
          <w:rFonts w:eastAsia="Times New Roman"/>
          <w:b/>
          <w:bCs/>
          <w:szCs w:val="24"/>
          <w:lang w:eastAsia="fr-FR"/>
        </w:rPr>
        <w:t>de marchandises dangereuses</w:t>
      </w:r>
    </w:p>
    <w:p w:rsidR="008504A1" w:rsidRDefault="008504A1" w:rsidP="008504A1">
      <w:pPr>
        <w:kinsoku/>
        <w:overflowPunct/>
        <w:autoSpaceDE/>
        <w:adjustRightInd/>
        <w:snapToGrid/>
        <w:spacing w:line="240" w:lineRule="auto"/>
        <w:rPr>
          <w:rFonts w:eastAsia="Times New Roman"/>
          <w:szCs w:val="24"/>
          <w:lang w:eastAsia="fr-FR"/>
        </w:rPr>
      </w:pPr>
      <w:r>
        <w:rPr>
          <w:rFonts w:eastAsia="Times New Roman"/>
          <w:szCs w:val="24"/>
          <w:lang w:eastAsia="fr-FR"/>
        </w:rPr>
        <w:t>Berne, 16</w:t>
      </w:r>
      <w:r w:rsidR="00120E4C">
        <w:rPr>
          <w:rFonts w:eastAsia="Times New Roman"/>
          <w:szCs w:val="24"/>
          <w:lang w:eastAsia="fr-FR"/>
        </w:rPr>
        <w:t>-</w:t>
      </w:r>
      <w:r>
        <w:rPr>
          <w:rFonts w:eastAsia="Times New Roman"/>
          <w:szCs w:val="24"/>
          <w:lang w:eastAsia="fr-FR"/>
        </w:rPr>
        <w:t>20 mars 2020</w:t>
      </w:r>
    </w:p>
    <w:p w:rsidR="008504A1" w:rsidRDefault="008504A1" w:rsidP="008504A1">
      <w:pPr>
        <w:kinsoku/>
        <w:overflowPunct/>
        <w:autoSpaceDE/>
        <w:adjustRightInd/>
        <w:snapToGrid/>
        <w:spacing w:line="240" w:lineRule="auto"/>
        <w:rPr>
          <w:rFonts w:eastAsia="Times New Roman"/>
          <w:szCs w:val="24"/>
          <w:lang w:eastAsia="fr-FR"/>
        </w:rPr>
      </w:pPr>
      <w:r>
        <w:rPr>
          <w:rFonts w:eastAsia="Times New Roman"/>
          <w:szCs w:val="24"/>
          <w:lang w:eastAsia="fr-FR"/>
        </w:rPr>
        <w:t>Point 4 de l’ordre du jour provisoire</w:t>
      </w:r>
    </w:p>
    <w:p w:rsidR="008504A1" w:rsidRDefault="008504A1" w:rsidP="008504A1">
      <w:pPr>
        <w:kinsoku/>
        <w:overflowPunct/>
        <w:autoSpaceDE/>
        <w:adjustRightInd/>
        <w:snapToGrid/>
        <w:spacing w:line="240" w:lineRule="auto"/>
        <w:rPr>
          <w:rFonts w:eastAsia="Times New Roman"/>
          <w:b/>
          <w:bCs/>
          <w:szCs w:val="24"/>
          <w:lang w:eastAsia="fr-FR"/>
        </w:rPr>
      </w:pPr>
      <w:r>
        <w:rPr>
          <w:rFonts w:eastAsia="Times New Roman"/>
          <w:b/>
          <w:bCs/>
          <w:szCs w:val="24"/>
          <w:lang w:eastAsia="fr-FR"/>
        </w:rPr>
        <w:t>Interprétation du RID/ADR/ADN</w:t>
      </w:r>
    </w:p>
    <w:p w:rsidR="008504A1" w:rsidRDefault="008504A1" w:rsidP="0051494E">
      <w:pPr>
        <w:pStyle w:val="HChG"/>
        <w:rPr>
          <w:lang w:eastAsia="fr-FR"/>
        </w:rPr>
      </w:pPr>
      <w:r>
        <w:rPr>
          <w:lang w:eastAsia="fr-FR"/>
        </w:rPr>
        <w:tab/>
      </w:r>
      <w:r>
        <w:rPr>
          <w:lang w:eastAsia="fr-FR"/>
        </w:rPr>
        <w:tab/>
        <w:t xml:space="preserve">Batteries usagées/accumulateurs usagés, </w:t>
      </w:r>
      <w:r w:rsidR="0051494E">
        <w:rPr>
          <w:lang w:eastAsia="fr-FR"/>
        </w:rPr>
        <w:br/>
      </w:r>
      <w:r>
        <w:rPr>
          <w:lang w:eastAsia="fr-FR"/>
        </w:rPr>
        <w:t>transport en vrac (AP8)</w:t>
      </w:r>
    </w:p>
    <w:p w:rsidR="008504A1" w:rsidRDefault="008504A1" w:rsidP="0051494E">
      <w:pPr>
        <w:pStyle w:val="H1G"/>
        <w:rPr>
          <w:lang w:eastAsia="zh-CN"/>
        </w:rPr>
      </w:pPr>
      <w:r>
        <w:rPr>
          <w:lang w:eastAsia="fr-FR"/>
        </w:rPr>
        <w:tab/>
      </w:r>
      <w:r>
        <w:rPr>
          <w:lang w:eastAsia="fr-FR"/>
        </w:rPr>
        <w:tab/>
        <w:t>Communication du Gouvernement finlandais</w:t>
      </w:r>
      <w:r w:rsidRPr="0051494E">
        <w:rPr>
          <w:b w:val="0"/>
          <w:bCs/>
          <w:sz w:val="20"/>
          <w:lang w:eastAsia="fr-FR"/>
        </w:rPr>
        <w:footnoteReference w:customMarkFollows="1" w:id="2"/>
        <w:t>*</w:t>
      </w:r>
      <w:r>
        <w:rPr>
          <w:vertAlign w:val="superscript"/>
          <w:lang w:eastAsia="fr-FR"/>
        </w:rPr>
        <w:t xml:space="preserve">, </w:t>
      </w:r>
      <w:r w:rsidRPr="0051494E">
        <w:rPr>
          <w:b w:val="0"/>
          <w:sz w:val="20"/>
          <w:lang w:eastAsia="fr-FR"/>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8504A1" w:rsidTr="008504A1">
        <w:trPr>
          <w:jc w:val="center"/>
        </w:trPr>
        <w:tc>
          <w:tcPr>
            <w:tcW w:w="9082" w:type="dxa"/>
            <w:tcBorders>
              <w:top w:val="single" w:sz="4" w:space="0" w:color="auto"/>
              <w:left w:val="single" w:sz="4" w:space="0" w:color="auto"/>
              <w:bottom w:val="nil"/>
              <w:right w:val="single" w:sz="4" w:space="0" w:color="auto"/>
            </w:tcBorders>
            <w:hideMark/>
          </w:tcPr>
          <w:p w:rsidR="008504A1" w:rsidRPr="0051494E" w:rsidRDefault="008504A1" w:rsidP="00D70A2D">
            <w:pPr>
              <w:kinsoku/>
              <w:overflowPunct/>
              <w:autoSpaceDE/>
              <w:adjustRightInd/>
              <w:snapToGrid/>
              <w:spacing w:before="240" w:after="120" w:line="240" w:lineRule="auto"/>
              <w:ind w:left="255"/>
              <w:rPr>
                <w:rFonts w:eastAsia="Times New Roman"/>
                <w:i/>
                <w:sz w:val="24"/>
                <w:szCs w:val="24"/>
                <w:lang w:val="en-US" w:eastAsia="fr-FR"/>
              </w:rPr>
            </w:pPr>
            <w:r w:rsidRPr="0051494E">
              <w:rPr>
                <w:rFonts w:eastAsia="Times New Roman"/>
                <w:i/>
                <w:sz w:val="24"/>
                <w:szCs w:val="24"/>
                <w:lang w:val="en-US" w:eastAsia="fr-FR"/>
              </w:rPr>
              <w:t>Résumé</w:t>
            </w:r>
          </w:p>
        </w:tc>
      </w:tr>
      <w:tr w:rsidR="008504A1" w:rsidTr="008504A1">
        <w:trPr>
          <w:jc w:val="center"/>
        </w:trPr>
        <w:tc>
          <w:tcPr>
            <w:tcW w:w="9082" w:type="dxa"/>
            <w:tcBorders>
              <w:top w:val="nil"/>
              <w:left w:val="single" w:sz="4" w:space="0" w:color="auto"/>
              <w:bottom w:val="nil"/>
              <w:right w:val="single" w:sz="4" w:space="0" w:color="auto"/>
            </w:tcBorders>
            <w:hideMark/>
          </w:tcPr>
          <w:p w:rsidR="008504A1" w:rsidRPr="00677A58" w:rsidRDefault="008504A1" w:rsidP="00677A58">
            <w:pPr>
              <w:kinsoku/>
              <w:overflowPunct/>
              <w:autoSpaceDE/>
              <w:adjustRightInd/>
              <w:snapToGrid/>
              <w:spacing w:after="120" w:line="240" w:lineRule="auto"/>
              <w:ind w:left="3402" w:right="1134" w:hanging="2268"/>
              <w:jc w:val="both"/>
              <w:rPr>
                <w:rFonts w:eastAsia="Times New Roman"/>
                <w:bCs/>
                <w:szCs w:val="24"/>
                <w:lang w:eastAsia="fr-FR"/>
              </w:rPr>
            </w:pPr>
            <w:r w:rsidRPr="00677A58">
              <w:rPr>
                <w:rFonts w:eastAsia="Times New Roman"/>
                <w:b/>
                <w:szCs w:val="24"/>
                <w:lang w:eastAsia="fr-FR"/>
              </w:rPr>
              <w:t>Résumé analytique</w:t>
            </w:r>
            <w:r w:rsidR="0069262A">
              <w:rPr>
                <w:rFonts w:eastAsia="Times New Roman"/>
                <w:b/>
                <w:szCs w:val="24"/>
                <w:lang w:eastAsia="fr-FR"/>
              </w:rPr>
              <w:t> :</w:t>
            </w:r>
            <w:r w:rsidRPr="00677A58">
              <w:rPr>
                <w:rFonts w:eastAsia="Times New Roman"/>
                <w:bCs/>
                <w:szCs w:val="24"/>
                <w:lang w:eastAsia="fr-FR"/>
              </w:rPr>
              <w:t xml:space="preserve"> </w:t>
            </w:r>
            <w:r w:rsidRPr="00677A58">
              <w:rPr>
                <w:rFonts w:eastAsia="Times New Roman"/>
                <w:bCs/>
                <w:szCs w:val="24"/>
                <w:lang w:eastAsia="fr-FR"/>
              </w:rPr>
              <w:tab/>
              <w:t xml:space="preserve">Le présent document a pour but de préciser le sens de l’AP8 et de ses prescriptions visant à tenir compte des charges électriques résiduelles. </w:t>
            </w:r>
          </w:p>
        </w:tc>
      </w:tr>
      <w:tr w:rsidR="008504A1" w:rsidTr="008504A1">
        <w:trPr>
          <w:jc w:val="center"/>
        </w:trPr>
        <w:tc>
          <w:tcPr>
            <w:tcW w:w="9082" w:type="dxa"/>
            <w:tcBorders>
              <w:top w:val="nil"/>
              <w:left w:val="single" w:sz="4" w:space="0" w:color="auto"/>
              <w:bottom w:val="nil"/>
              <w:right w:val="single" w:sz="4" w:space="0" w:color="auto"/>
            </w:tcBorders>
            <w:hideMark/>
          </w:tcPr>
          <w:p w:rsidR="008504A1" w:rsidRPr="00677A58" w:rsidRDefault="008504A1" w:rsidP="00677A58">
            <w:pPr>
              <w:kinsoku/>
              <w:overflowPunct/>
              <w:autoSpaceDE/>
              <w:adjustRightInd/>
              <w:snapToGrid/>
              <w:spacing w:after="120" w:line="240" w:lineRule="auto"/>
              <w:ind w:left="3402" w:right="1134" w:hanging="2268"/>
              <w:jc w:val="both"/>
              <w:rPr>
                <w:rFonts w:eastAsia="Times New Roman"/>
                <w:bCs/>
                <w:szCs w:val="24"/>
                <w:lang w:eastAsia="fr-FR"/>
              </w:rPr>
            </w:pPr>
            <w:r w:rsidRPr="00677A58">
              <w:rPr>
                <w:rFonts w:eastAsia="Times New Roman"/>
                <w:b/>
                <w:szCs w:val="24"/>
                <w:lang w:eastAsia="fr-FR"/>
              </w:rPr>
              <w:t>Mesures à prendre</w:t>
            </w:r>
            <w:r w:rsidR="0069262A">
              <w:rPr>
                <w:rFonts w:eastAsia="Times New Roman"/>
                <w:b/>
                <w:szCs w:val="24"/>
                <w:lang w:eastAsia="fr-FR"/>
              </w:rPr>
              <w:t> :</w:t>
            </w:r>
            <w:r w:rsidRPr="00677A58">
              <w:rPr>
                <w:rFonts w:eastAsia="Times New Roman"/>
                <w:bCs/>
                <w:szCs w:val="24"/>
                <w:lang w:eastAsia="fr-FR"/>
              </w:rPr>
              <w:tab/>
              <w:t>Rassembler des données d’expérience en matière de transport de batteries en vrac. Soumettre la question au groupe de travail informel du transport des déchets dangereux.</w:t>
            </w:r>
          </w:p>
        </w:tc>
      </w:tr>
      <w:tr w:rsidR="00677A58" w:rsidTr="008504A1">
        <w:trPr>
          <w:jc w:val="center"/>
        </w:trPr>
        <w:tc>
          <w:tcPr>
            <w:tcW w:w="9082" w:type="dxa"/>
            <w:tcBorders>
              <w:top w:val="nil"/>
              <w:left w:val="single" w:sz="4" w:space="0" w:color="auto"/>
              <w:bottom w:val="nil"/>
              <w:right w:val="single" w:sz="4" w:space="0" w:color="auto"/>
            </w:tcBorders>
          </w:tcPr>
          <w:p w:rsidR="00677A58" w:rsidRPr="008504A1" w:rsidRDefault="00677A58" w:rsidP="00677A58">
            <w:pPr>
              <w:kinsoku/>
              <w:overflowPunct/>
              <w:autoSpaceDE/>
              <w:adjustRightInd/>
              <w:snapToGrid/>
              <w:spacing w:after="120" w:line="240" w:lineRule="auto"/>
              <w:ind w:left="3402" w:right="1134" w:hanging="2268"/>
              <w:jc w:val="both"/>
              <w:rPr>
                <w:rFonts w:eastAsia="Times New Roman"/>
                <w:b/>
                <w:szCs w:val="24"/>
                <w:lang w:eastAsia="fr-FR"/>
              </w:rPr>
            </w:pPr>
            <w:r w:rsidRPr="008504A1">
              <w:rPr>
                <w:rFonts w:eastAsia="Times New Roman"/>
                <w:b/>
                <w:szCs w:val="24"/>
                <w:lang w:eastAsia="fr-FR"/>
              </w:rPr>
              <w:t>Documents connexes</w:t>
            </w:r>
            <w:r w:rsidR="0069262A">
              <w:rPr>
                <w:rFonts w:eastAsia="Times New Roman"/>
                <w:b/>
                <w:szCs w:val="24"/>
                <w:lang w:eastAsia="fr-FR"/>
              </w:rPr>
              <w:t> :</w:t>
            </w:r>
            <w:r w:rsidRPr="008504A1">
              <w:rPr>
                <w:rFonts w:eastAsia="Times New Roman"/>
                <w:b/>
                <w:szCs w:val="24"/>
                <w:lang w:eastAsia="fr-FR"/>
              </w:rPr>
              <w:tab/>
            </w:r>
            <w:r w:rsidRPr="008504A1">
              <w:rPr>
                <w:rFonts w:eastAsia="Times New Roman"/>
                <w:bCs/>
                <w:szCs w:val="24"/>
                <w:lang w:eastAsia="fr-FR"/>
              </w:rPr>
              <w:t>Document informel INF.12 (session de novembre 2019 du Groupe de travail des transports de marchandises dangereuses (WP.15))</w:t>
            </w:r>
            <w:r w:rsidRPr="008504A1">
              <w:rPr>
                <w:rFonts w:eastAsia="Times New Roman"/>
                <w:szCs w:val="24"/>
                <w:lang w:eastAsia="fr-FR"/>
              </w:rPr>
              <w:t>.</w:t>
            </w:r>
          </w:p>
        </w:tc>
      </w:tr>
      <w:tr w:rsidR="008504A1" w:rsidTr="00D70A2D">
        <w:trPr>
          <w:trHeight w:hRule="exact" w:val="113"/>
          <w:jc w:val="center"/>
        </w:trPr>
        <w:tc>
          <w:tcPr>
            <w:tcW w:w="9082" w:type="dxa"/>
            <w:tcBorders>
              <w:top w:val="nil"/>
              <w:left w:val="single" w:sz="4" w:space="0" w:color="auto"/>
              <w:bottom w:val="single" w:sz="4" w:space="0" w:color="auto"/>
              <w:right w:val="single" w:sz="4" w:space="0" w:color="auto"/>
            </w:tcBorders>
          </w:tcPr>
          <w:p w:rsidR="008504A1" w:rsidRPr="008504A1" w:rsidRDefault="008504A1">
            <w:pPr>
              <w:kinsoku/>
              <w:overflowPunct/>
              <w:autoSpaceDE/>
              <w:adjustRightInd/>
              <w:snapToGrid/>
              <w:spacing w:line="240" w:lineRule="auto"/>
              <w:rPr>
                <w:rFonts w:eastAsia="Times New Roman"/>
                <w:szCs w:val="24"/>
                <w:lang w:eastAsia="fr-FR"/>
              </w:rPr>
            </w:pPr>
          </w:p>
        </w:tc>
      </w:tr>
    </w:tbl>
    <w:p w:rsidR="008959DE" w:rsidRDefault="008959DE" w:rsidP="0069262A">
      <w:pPr>
        <w:pStyle w:val="HChG"/>
        <w:rPr>
          <w:lang w:eastAsia="fr-FR"/>
        </w:rPr>
      </w:pPr>
    </w:p>
    <w:p w:rsidR="008504A1" w:rsidRDefault="008959DE" w:rsidP="0069262A">
      <w:pPr>
        <w:pStyle w:val="HChG"/>
        <w:rPr>
          <w:sz w:val="20"/>
          <w:lang w:eastAsia="fr-FR"/>
        </w:rPr>
      </w:pPr>
      <w:r>
        <w:rPr>
          <w:lang w:eastAsia="fr-FR"/>
        </w:rPr>
        <w:br w:type="page"/>
      </w:r>
      <w:r w:rsidR="008504A1">
        <w:rPr>
          <w:lang w:eastAsia="fr-FR"/>
        </w:rPr>
        <w:lastRenderedPageBreak/>
        <w:tab/>
      </w:r>
      <w:r w:rsidR="008504A1">
        <w:rPr>
          <w:lang w:eastAsia="fr-FR"/>
        </w:rPr>
        <w:tab/>
        <w:t>Introduction</w:t>
      </w:r>
    </w:p>
    <w:p w:rsidR="008504A1" w:rsidRDefault="008504A1" w:rsidP="00CD6539">
      <w:pPr>
        <w:pStyle w:val="SingleTxtG"/>
        <w:rPr>
          <w:lang w:eastAsia="fr-FR"/>
        </w:rPr>
      </w:pPr>
      <w:r>
        <w:rPr>
          <w:lang w:eastAsia="fr-FR"/>
        </w:rPr>
        <w:t>1.</w:t>
      </w:r>
      <w:r>
        <w:rPr>
          <w:lang w:eastAsia="fr-FR"/>
        </w:rPr>
        <w:tab/>
        <w:t xml:space="preserve">La disposition AP8 pour le transport en vrac porte sur le </w:t>
      </w:r>
      <w:r w:rsidR="008959DE">
        <w:rPr>
          <w:lang w:eastAsia="fr-FR"/>
        </w:rPr>
        <w:t>No </w:t>
      </w:r>
      <w:r>
        <w:rPr>
          <w:lang w:eastAsia="fr-FR"/>
        </w:rPr>
        <w:t>ONU</w:t>
      </w:r>
      <w:r w:rsidR="008959DE">
        <w:rPr>
          <w:lang w:eastAsia="fr-FR"/>
        </w:rPr>
        <w:t> </w:t>
      </w:r>
      <w:r>
        <w:rPr>
          <w:lang w:eastAsia="fr-FR"/>
        </w:rPr>
        <w:t>2794</w:t>
      </w:r>
      <w:r w:rsidR="0069262A">
        <w:rPr>
          <w:lang w:eastAsia="fr-FR"/>
        </w:rPr>
        <w:t> :</w:t>
      </w:r>
      <w:r>
        <w:rPr>
          <w:lang w:eastAsia="fr-FR"/>
        </w:rPr>
        <w:t xml:space="preserve"> Accumulateurs électriques remplis d’électrolyte liquide acide (et également sur les </w:t>
      </w:r>
      <w:r w:rsidR="008959DE">
        <w:rPr>
          <w:lang w:eastAsia="fr-FR"/>
        </w:rPr>
        <w:t>Nos ONU </w:t>
      </w:r>
      <w:r>
        <w:rPr>
          <w:lang w:eastAsia="fr-FR"/>
        </w:rPr>
        <w:t>2795</w:t>
      </w:r>
      <w:r w:rsidR="0069262A">
        <w:rPr>
          <w:lang w:eastAsia="fr-FR"/>
        </w:rPr>
        <w:t> :</w:t>
      </w:r>
      <w:r>
        <w:rPr>
          <w:lang w:eastAsia="fr-FR"/>
        </w:rPr>
        <w:t xml:space="preserve"> Accumulateurs électriques remplis d’électrolyte liquide alcalin, 2800</w:t>
      </w:r>
      <w:r w:rsidR="0069262A">
        <w:rPr>
          <w:lang w:eastAsia="fr-FR"/>
        </w:rPr>
        <w:t> :</w:t>
      </w:r>
      <w:r>
        <w:rPr>
          <w:lang w:eastAsia="fr-FR"/>
        </w:rPr>
        <w:t xml:space="preserve"> Accumulateurs électriques inversables remplis d’électrolyte liquide</w:t>
      </w:r>
      <w:r w:rsidR="000B1A31">
        <w:rPr>
          <w:lang w:eastAsia="fr-FR"/>
        </w:rPr>
        <w:t>,</w:t>
      </w:r>
      <w:r>
        <w:rPr>
          <w:lang w:eastAsia="fr-FR"/>
        </w:rPr>
        <w:t xml:space="preserve"> et 3028</w:t>
      </w:r>
      <w:r w:rsidR="0069262A">
        <w:rPr>
          <w:lang w:eastAsia="fr-FR"/>
        </w:rPr>
        <w:t> :</w:t>
      </w:r>
      <w:r>
        <w:rPr>
          <w:lang w:eastAsia="fr-FR"/>
        </w:rPr>
        <w:t xml:space="preserve"> Accumulateurs électriques secs contenant de l’hydroxyde de potassium solide). </w:t>
      </w:r>
    </w:p>
    <w:p w:rsidR="008504A1" w:rsidRDefault="008504A1" w:rsidP="00CD6539">
      <w:pPr>
        <w:pStyle w:val="SingleTxtG"/>
        <w:rPr>
          <w:lang w:eastAsia="fr-FR"/>
        </w:rPr>
      </w:pPr>
      <w:r>
        <w:rPr>
          <w:lang w:eastAsia="fr-FR"/>
        </w:rPr>
        <w:t>2.</w:t>
      </w:r>
      <w:r>
        <w:rPr>
          <w:lang w:eastAsia="fr-FR"/>
        </w:rPr>
        <w:tab/>
        <w:t>L’AP8 exige que le compartiment de charge des véhicules/wagons ou conteneurs soit conçu de façon à résister à toute charge électrique résiduelle et à tout choc dû aux accumulateurs.</w:t>
      </w:r>
    </w:p>
    <w:p w:rsidR="008504A1" w:rsidRDefault="008504A1" w:rsidP="00CD6539">
      <w:pPr>
        <w:pStyle w:val="SingleTxtG"/>
        <w:rPr>
          <w:lang w:eastAsia="fr-FR"/>
        </w:rPr>
      </w:pPr>
      <w:r>
        <w:rPr>
          <w:lang w:eastAsia="fr-FR"/>
        </w:rPr>
        <w:t>3.</w:t>
      </w:r>
      <w:r>
        <w:rPr>
          <w:lang w:eastAsia="fr-FR"/>
        </w:rPr>
        <w:tab/>
        <w:t>La disposition spéciale</w:t>
      </w:r>
      <w:r w:rsidR="00CD6539">
        <w:rPr>
          <w:lang w:eastAsia="fr-FR"/>
        </w:rPr>
        <w:t> </w:t>
      </w:r>
      <w:r>
        <w:rPr>
          <w:lang w:eastAsia="fr-FR"/>
        </w:rPr>
        <w:t xml:space="preserve">598 énonce les conditions dans lesquelles les accumulateurs neufs et usagés de ces numéros ONU ne sont pas soumis aux prescriptions de l’ADR ou du RID. L’une des conditions est qu’ils soient protégés contre les courts-circuits. </w:t>
      </w:r>
    </w:p>
    <w:p w:rsidR="008504A1" w:rsidRDefault="008504A1" w:rsidP="00CD6539">
      <w:pPr>
        <w:pStyle w:val="SingleTxtG"/>
        <w:rPr>
          <w:lang w:eastAsia="fr-FR"/>
        </w:rPr>
      </w:pPr>
      <w:r>
        <w:rPr>
          <w:lang w:eastAsia="fr-FR"/>
        </w:rPr>
        <w:t>4.</w:t>
      </w:r>
      <w:r>
        <w:rPr>
          <w:lang w:eastAsia="fr-FR"/>
        </w:rPr>
        <w:tab/>
        <w:t>Pour le transport en emballage, l’instruction d’emballage</w:t>
      </w:r>
      <w:r w:rsidR="00CD6539">
        <w:rPr>
          <w:lang w:eastAsia="fr-FR"/>
        </w:rPr>
        <w:t> </w:t>
      </w:r>
      <w:r>
        <w:rPr>
          <w:lang w:eastAsia="fr-FR"/>
        </w:rPr>
        <w:t>P801 (ADR/RID 2021) pour les mêmes numéros ONU comporte une prescription visant à protéger les accumulateurs contre les courts-circuits ou, pour les accumulateurs usagés, à prendre des mesures pour éviter les courts-circuits.</w:t>
      </w:r>
    </w:p>
    <w:p w:rsidR="008504A1" w:rsidRDefault="008504A1" w:rsidP="00CD6539">
      <w:pPr>
        <w:pStyle w:val="SingleTxtG"/>
        <w:keepNext/>
        <w:rPr>
          <w:lang w:eastAsia="fr-FR"/>
        </w:rPr>
      </w:pPr>
      <w:r>
        <w:rPr>
          <w:lang w:eastAsia="fr-FR"/>
        </w:rPr>
        <w:t>5.</w:t>
      </w:r>
      <w:r>
        <w:rPr>
          <w:lang w:eastAsia="fr-FR"/>
        </w:rPr>
        <w:tab/>
        <w:t>La Finlande invite la Réunion commune à procéder à un échange de vues sur l’interprétation de la protection contre les courts-circuits dans le transport en vrac s’agissant des aspects suivants</w:t>
      </w:r>
      <w:r w:rsidR="0069262A">
        <w:rPr>
          <w:lang w:eastAsia="fr-FR"/>
        </w:rPr>
        <w:t> :</w:t>
      </w:r>
    </w:p>
    <w:p w:rsidR="008504A1" w:rsidRDefault="008504A1" w:rsidP="00CD6539">
      <w:pPr>
        <w:pStyle w:val="SingleTxtG"/>
        <w:ind w:firstLine="567"/>
        <w:rPr>
          <w:lang w:eastAsia="fr-FR"/>
        </w:rPr>
      </w:pPr>
      <w:r>
        <w:rPr>
          <w:lang w:eastAsia="fr-FR"/>
        </w:rPr>
        <w:t>a)</w:t>
      </w:r>
      <w:r>
        <w:rPr>
          <w:lang w:eastAsia="fr-FR"/>
        </w:rPr>
        <w:tab/>
        <w:t>Les accumulateurs doivent-ils être protégés contre les courts-circuits lorsqu’ils sont transportés en vrac, conformément à l’AP8</w:t>
      </w:r>
      <w:r w:rsidR="00CD6539">
        <w:rPr>
          <w:lang w:eastAsia="fr-FR"/>
        </w:rPr>
        <w:t> </w:t>
      </w:r>
      <w:r>
        <w:rPr>
          <w:lang w:eastAsia="fr-FR"/>
        </w:rPr>
        <w:t xml:space="preserve">? </w:t>
      </w:r>
    </w:p>
    <w:p w:rsidR="008504A1" w:rsidRDefault="008504A1" w:rsidP="003C26CA">
      <w:pPr>
        <w:pStyle w:val="SingleTxtG"/>
        <w:ind w:left="1701" w:firstLine="567"/>
        <w:rPr>
          <w:lang w:eastAsia="fr-FR"/>
        </w:rPr>
      </w:pPr>
      <w:r>
        <w:rPr>
          <w:lang w:eastAsia="fr-FR"/>
        </w:rPr>
        <w:t>La phrase «</w:t>
      </w:r>
      <w:r>
        <w:t> </w:t>
      </w:r>
      <w:bookmarkStart w:id="1" w:name="_Hlk27746363"/>
      <w:r>
        <w:rPr>
          <w:lang w:eastAsia="fr-FR"/>
        </w:rPr>
        <w:t>Le compartiment de charge des véhicules ou conteneurs doit être conçu de façon à résister à toute charge électrique résiduelle et à tout choc dû aux accumulateurs </w:t>
      </w:r>
      <w:bookmarkEnd w:id="1"/>
      <w:r>
        <w:rPr>
          <w:lang w:eastAsia="fr-FR"/>
        </w:rPr>
        <w:t>» signifie-t-elle que les accumulateurs doivent être protégés contre les courts-circuits</w:t>
      </w:r>
      <w:r w:rsidR="00CD6539">
        <w:rPr>
          <w:lang w:eastAsia="fr-FR"/>
        </w:rPr>
        <w:t> </w:t>
      </w:r>
      <w:r>
        <w:rPr>
          <w:lang w:eastAsia="fr-FR"/>
        </w:rPr>
        <w:t xml:space="preserve">? </w:t>
      </w:r>
    </w:p>
    <w:p w:rsidR="008504A1" w:rsidRDefault="008504A1" w:rsidP="00CD6539">
      <w:pPr>
        <w:pStyle w:val="SingleTxtG"/>
        <w:ind w:firstLine="567"/>
        <w:rPr>
          <w:lang w:eastAsia="fr-FR"/>
        </w:rPr>
      </w:pPr>
      <w:r>
        <w:rPr>
          <w:lang w:eastAsia="fr-FR"/>
        </w:rPr>
        <w:t>b)</w:t>
      </w:r>
      <w:r>
        <w:rPr>
          <w:lang w:eastAsia="fr-FR"/>
        </w:rPr>
        <w:tab/>
        <w:t>Les accumulateurs usagés (déchets) peuvent-ils être transportés en vrac en toute sécurité sans protection contre les courts-circuits</w:t>
      </w:r>
      <w:r w:rsidR="00CD6539">
        <w:rPr>
          <w:lang w:eastAsia="fr-FR"/>
        </w:rPr>
        <w:t> </w:t>
      </w:r>
      <w:r>
        <w:rPr>
          <w:lang w:eastAsia="fr-FR"/>
        </w:rPr>
        <w:t xml:space="preserve">? </w:t>
      </w:r>
    </w:p>
    <w:p w:rsidR="008504A1" w:rsidRDefault="008504A1" w:rsidP="00CD6539">
      <w:pPr>
        <w:pStyle w:val="SingleTxtG"/>
        <w:ind w:firstLine="567"/>
        <w:rPr>
          <w:lang w:eastAsia="fr-FR"/>
        </w:rPr>
      </w:pPr>
      <w:r>
        <w:rPr>
          <w:lang w:eastAsia="fr-FR"/>
        </w:rPr>
        <w:t>c)</w:t>
      </w:r>
      <w:r>
        <w:rPr>
          <w:lang w:eastAsia="fr-FR"/>
        </w:rPr>
        <w:tab/>
        <w:t>Que signifie concrètement la prescription suivante</w:t>
      </w:r>
      <w:r w:rsidR="0069262A">
        <w:rPr>
          <w:lang w:eastAsia="fr-FR"/>
        </w:rPr>
        <w:t> :</w:t>
      </w:r>
      <w:r>
        <w:rPr>
          <w:lang w:eastAsia="fr-FR"/>
        </w:rPr>
        <w:t xml:space="preserve"> « Le compartiment de charge des véhicules ou conteneurs doit être conçu de façon à résister à toute charge électrique résiduelle et à tout choc dû aux accumulateurs »</w:t>
      </w:r>
      <w:r w:rsidR="00CD6539">
        <w:rPr>
          <w:lang w:eastAsia="fr-FR"/>
        </w:rPr>
        <w:t> </w:t>
      </w:r>
      <w:r>
        <w:rPr>
          <w:lang w:eastAsia="fr-FR"/>
        </w:rPr>
        <w:t xml:space="preserve">? </w:t>
      </w:r>
    </w:p>
    <w:p w:rsidR="008504A1" w:rsidRDefault="008504A1" w:rsidP="003C26CA">
      <w:pPr>
        <w:pStyle w:val="SingleTxtG"/>
        <w:ind w:left="1701" w:firstLine="567"/>
        <w:rPr>
          <w:lang w:eastAsia="fr-FR"/>
        </w:rPr>
      </w:pPr>
      <w:r>
        <w:rPr>
          <w:lang w:eastAsia="fr-FR"/>
        </w:rPr>
        <w:t>Est-il possible de satisfaire à la prescription relative à la sûreté des transports d’une autre manière qu’en protégeant les accumulateurs contre les courts-circuits</w:t>
      </w:r>
      <w:r w:rsidR="000B1A31">
        <w:rPr>
          <w:lang w:eastAsia="fr-FR"/>
        </w:rPr>
        <w:t> </w:t>
      </w:r>
      <w:r>
        <w:rPr>
          <w:lang w:eastAsia="fr-FR"/>
        </w:rPr>
        <w:t>? Si tel est le cas, de quelle manière</w:t>
      </w:r>
      <w:r w:rsidR="000B1A31">
        <w:rPr>
          <w:lang w:eastAsia="fr-FR"/>
        </w:rPr>
        <w:t> </w:t>
      </w:r>
      <w:r>
        <w:rPr>
          <w:lang w:eastAsia="fr-FR"/>
        </w:rPr>
        <w:t xml:space="preserve">? </w:t>
      </w:r>
    </w:p>
    <w:p w:rsidR="008504A1" w:rsidRDefault="008504A1" w:rsidP="003C26CA">
      <w:pPr>
        <w:pStyle w:val="SingleTxtG"/>
        <w:ind w:firstLine="567"/>
        <w:rPr>
          <w:lang w:eastAsia="fr-FR"/>
        </w:rPr>
      </w:pPr>
      <w:r>
        <w:rPr>
          <w:lang w:eastAsia="fr-FR"/>
        </w:rPr>
        <w:t>d)</w:t>
      </w:r>
      <w:r>
        <w:rPr>
          <w:lang w:eastAsia="fr-FR"/>
        </w:rPr>
        <w:tab/>
        <w:t>Le transport en vrac est-il interdit au titre du</w:t>
      </w:r>
      <w:r w:rsidR="003C26CA">
        <w:rPr>
          <w:lang w:eastAsia="fr-FR"/>
        </w:rPr>
        <w:t> </w:t>
      </w:r>
      <w:r>
        <w:rPr>
          <w:lang w:eastAsia="fr-FR"/>
        </w:rPr>
        <w:t>7.3.1.12 si la possibilité qu’il se produise un court-circuit ne peut être exclue dans le cas du transport de batteries</w:t>
      </w:r>
      <w:r w:rsidR="003C26CA">
        <w:rPr>
          <w:lang w:eastAsia="fr-FR"/>
        </w:rPr>
        <w:t> </w:t>
      </w:r>
      <w:r>
        <w:rPr>
          <w:lang w:eastAsia="fr-FR"/>
        </w:rPr>
        <w:t>? D’après le</w:t>
      </w:r>
      <w:r w:rsidR="003C26CA">
        <w:rPr>
          <w:lang w:eastAsia="fr-FR"/>
        </w:rPr>
        <w:t> </w:t>
      </w:r>
      <w:r>
        <w:rPr>
          <w:lang w:eastAsia="fr-FR"/>
        </w:rPr>
        <w:t>7.3.1.12, les matières qui peuvent réagir dangereusement entre elles, notamment en provoquant une combustion, ne doivent pas être mélangées dans le même conteneur pour vrac, conteneur ou véhicule.</w:t>
      </w:r>
    </w:p>
    <w:p w:rsidR="008504A1" w:rsidRDefault="008504A1" w:rsidP="003C26CA">
      <w:pPr>
        <w:pStyle w:val="SingleTxtG"/>
        <w:rPr>
          <w:rFonts w:eastAsia="Calibri"/>
          <w:sz w:val="24"/>
          <w:lang w:eastAsia="fr-CH"/>
        </w:rPr>
      </w:pPr>
      <w:r>
        <w:rPr>
          <w:lang w:eastAsia="fr-FR"/>
        </w:rPr>
        <w:t>6.</w:t>
      </w:r>
      <w:r>
        <w:rPr>
          <w:lang w:eastAsia="fr-FR"/>
        </w:rPr>
        <w:tab/>
        <w:t>La Réunion commune voudra peut-être envisage</w:t>
      </w:r>
      <w:r w:rsidR="000B1A31">
        <w:rPr>
          <w:lang w:eastAsia="fr-FR"/>
        </w:rPr>
        <w:t>r</w:t>
      </w:r>
      <w:r>
        <w:rPr>
          <w:lang w:eastAsia="fr-FR"/>
        </w:rPr>
        <w:t xml:space="preserve"> de recommander de soumettre la question au groupe informel du transport des déchets dangereux</w:t>
      </w:r>
      <w:r w:rsidR="00B73024">
        <w:rPr>
          <w:rFonts w:eastAsia="Calibri"/>
          <w:sz w:val="24"/>
          <w:lang w:eastAsia="fr-CH"/>
        </w:rPr>
        <w:t>.</w:t>
      </w:r>
    </w:p>
    <w:p w:rsidR="00F9573C" w:rsidRPr="00B73024" w:rsidRDefault="00B73024" w:rsidP="00B73024">
      <w:pPr>
        <w:pStyle w:val="SingleTxtG"/>
        <w:spacing w:before="240" w:after="0"/>
        <w:jc w:val="center"/>
        <w:rPr>
          <w:u w:val="single"/>
        </w:rPr>
      </w:pPr>
      <w:r>
        <w:rPr>
          <w:u w:val="single"/>
        </w:rPr>
        <w:tab/>
      </w:r>
      <w:r>
        <w:rPr>
          <w:u w:val="single"/>
        </w:rPr>
        <w:tab/>
      </w:r>
      <w:r>
        <w:rPr>
          <w:u w:val="single"/>
        </w:rPr>
        <w:tab/>
      </w:r>
    </w:p>
    <w:sectPr w:rsidR="00F9573C" w:rsidRPr="00B73024" w:rsidSect="008116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9E" w:rsidRDefault="006A0E9E" w:rsidP="00F95C08">
      <w:pPr>
        <w:spacing w:line="240" w:lineRule="auto"/>
      </w:pPr>
    </w:p>
  </w:endnote>
  <w:endnote w:type="continuationSeparator" w:id="0">
    <w:p w:rsidR="006A0E9E" w:rsidRPr="00AC3823" w:rsidRDefault="006A0E9E" w:rsidP="00AC3823">
      <w:pPr>
        <w:pStyle w:val="Footer"/>
      </w:pPr>
    </w:p>
  </w:endnote>
  <w:endnote w:type="continuationNotice" w:id="1">
    <w:p w:rsidR="006A0E9E" w:rsidRDefault="006A0E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29" w:rsidRPr="00811629" w:rsidRDefault="00811629" w:rsidP="00811629">
    <w:pPr>
      <w:pStyle w:val="Footer"/>
      <w:tabs>
        <w:tab w:val="right" w:pos="9638"/>
      </w:tabs>
    </w:pPr>
    <w:r w:rsidRPr="00811629">
      <w:rPr>
        <w:b/>
        <w:sz w:val="18"/>
      </w:rPr>
      <w:fldChar w:fldCharType="begin"/>
    </w:r>
    <w:r w:rsidRPr="00811629">
      <w:rPr>
        <w:b/>
        <w:sz w:val="18"/>
      </w:rPr>
      <w:instrText xml:space="preserve"> PAGE  \* MERGEFORMAT </w:instrText>
    </w:r>
    <w:r w:rsidRPr="00811629">
      <w:rPr>
        <w:b/>
        <w:sz w:val="18"/>
      </w:rPr>
      <w:fldChar w:fldCharType="separate"/>
    </w:r>
    <w:r w:rsidRPr="00811629">
      <w:rPr>
        <w:b/>
        <w:noProof/>
        <w:sz w:val="18"/>
      </w:rPr>
      <w:t>2</w:t>
    </w:r>
    <w:r w:rsidRPr="00811629">
      <w:rPr>
        <w:b/>
        <w:sz w:val="18"/>
      </w:rPr>
      <w:fldChar w:fldCharType="end"/>
    </w:r>
    <w:r>
      <w:rPr>
        <w:b/>
        <w:sz w:val="18"/>
      </w:rPr>
      <w:tab/>
    </w:r>
    <w:r>
      <w:t>GE.19-21800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29" w:rsidRPr="00811629" w:rsidRDefault="00811629" w:rsidP="00811629">
    <w:pPr>
      <w:pStyle w:val="Footer"/>
      <w:tabs>
        <w:tab w:val="right" w:pos="9638"/>
      </w:tabs>
      <w:rPr>
        <w:b/>
        <w:sz w:val="18"/>
      </w:rPr>
    </w:pPr>
    <w:r>
      <w:t>GE.19-21800</w:t>
    </w:r>
    <w:r>
      <w:tab/>
    </w:r>
    <w:r w:rsidRPr="00811629">
      <w:rPr>
        <w:b/>
        <w:sz w:val="18"/>
      </w:rPr>
      <w:fldChar w:fldCharType="begin"/>
    </w:r>
    <w:r w:rsidRPr="00811629">
      <w:rPr>
        <w:b/>
        <w:sz w:val="18"/>
      </w:rPr>
      <w:instrText xml:space="preserve"> PAGE  \* MERGEFORMAT </w:instrText>
    </w:r>
    <w:r w:rsidRPr="00811629">
      <w:rPr>
        <w:b/>
        <w:sz w:val="18"/>
      </w:rPr>
      <w:fldChar w:fldCharType="separate"/>
    </w:r>
    <w:r w:rsidRPr="00811629">
      <w:rPr>
        <w:b/>
        <w:noProof/>
        <w:sz w:val="18"/>
      </w:rPr>
      <w:t>3</w:t>
    </w:r>
    <w:r w:rsidRPr="008116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11629" w:rsidRDefault="00811629" w:rsidP="0081162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21800  (</w:t>
    </w:r>
    <w:proofErr w:type="gramEnd"/>
    <w:r>
      <w:rPr>
        <w:sz w:val="20"/>
      </w:rPr>
      <w:t>F)    231219    241219</w:t>
    </w:r>
    <w:r>
      <w:rPr>
        <w:sz w:val="20"/>
      </w:rPr>
      <w:br/>
    </w:r>
    <w:r w:rsidRPr="00811629">
      <w:rPr>
        <w:rFonts w:ascii="C39T30Lfz" w:hAnsi="C39T30Lfz"/>
        <w:sz w:val="56"/>
      </w:rPr>
      <w:t></w:t>
    </w:r>
    <w:r w:rsidRPr="00811629">
      <w:rPr>
        <w:rFonts w:ascii="C39T30Lfz" w:hAnsi="C39T30Lfz"/>
        <w:sz w:val="56"/>
      </w:rPr>
      <w:t></w:t>
    </w:r>
    <w:r w:rsidRPr="00811629">
      <w:rPr>
        <w:rFonts w:ascii="C39T30Lfz" w:hAnsi="C39T30Lfz"/>
        <w:sz w:val="56"/>
      </w:rPr>
      <w:t></w:t>
    </w:r>
    <w:r w:rsidRPr="00811629">
      <w:rPr>
        <w:rFonts w:ascii="C39T30Lfz" w:hAnsi="C39T30Lfz"/>
        <w:sz w:val="56"/>
      </w:rPr>
      <w:t></w:t>
    </w:r>
    <w:r w:rsidRPr="00811629">
      <w:rPr>
        <w:rFonts w:ascii="C39T30Lfz" w:hAnsi="C39T30Lfz"/>
        <w:sz w:val="56"/>
      </w:rPr>
      <w:t></w:t>
    </w:r>
    <w:r w:rsidRPr="00811629">
      <w:rPr>
        <w:rFonts w:ascii="C39T30Lfz" w:hAnsi="C39T30Lfz"/>
        <w:sz w:val="56"/>
      </w:rPr>
      <w:t></w:t>
    </w:r>
    <w:r w:rsidRPr="00811629">
      <w:rPr>
        <w:rFonts w:ascii="C39T30Lfz" w:hAnsi="C39T30Lfz"/>
        <w:sz w:val="56"/>
      </w:rPr>
      <w:t></w:t>
    </w:r>
    <w:r w:rsidRPr="00811629">
      <w:rPr>
        <w:rFonts w:ascii="C39T30Lfz" w:hAnsi="C39T30Lfz"/>
        <w:sz w:val="56"/>
      </w:rPr>
      <w:t></w:t>
    </w:r>
    <w:r w:rsidRPr="0081162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2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9E" w:rsidRPr="00AC3823" w:rsidRDefault="006A0E9E" w:rsidP="00AC3823">
      <w:pPr>
        <w:pStyle w:val="Footer"/>
        <w:tabs>
          <w:tab w:val="right" w:pos="2155"/>
        </w:tabs>
        <w:spacing w:after="80" w:line="240" w:lineRule="atLeast"/>
        <w:ind w:left="680"/>
        <w:rPr>
          <w:u w:val="single"/>
        </w:rPr>
      </w:pPr>
      <w:r>
        <w:rPr>
          <w:u w:val="single"/>
        </w:rPr>
        <w:tab/>
      </w:r>
    </w:p>
  </w:footnote>
  <w:footnote w:type="continuationSeparator" w:id="0">
    <w:p w:rsidR="006A0E9E" w:rsidRPr="00AC3823" w:rsidRDefault="006A0E9E" w:rsidP="00AC3823">
      <w:pPr>
        <w:pStyle w:val="Footer"/>
        <w:tabs>
          <w:tab w:val="right" w:pos="2155"/>
        </w:tabs>
        <w:spacing w:after="80" w:line="240" w:lineRule="atLeast"/>
        <w:ind w:left="680"/>
        <w:rPr>
          <w:u w:val="single"/>
        </w:rPr>
      </w:pPr>
      <w:r>
        <w:rPr>
          <w:u w:val="single"/>
        </w:rPr>
        <w:tab/>
      </w:r>
    </w:p>
  </w:footnote>
  <w:footnote w:type="continuationNotice" w:id="1">
    <w:p w:rsidR="006A0E9E" w:rsidRPr="00AC3823" w:rsidRDefault="006A0E9E">
      <w:pPr>
        <w:spacing w:line="240" w:lineRule="auto"/>
        <w:rPr>
          <w:sz w:val="2"/>
          <w:szCs w:val="2"/>
        </w:rPr>
      </w:pPr>
    </w:p>
  </w:footnote>
  <w:footnote w:id="2">
    <w:p w:rsidR="008504A1" w:rsidRDefault="008504A1" w:rsidP="008504A1">
      <w:pPr>
        <w:pStyle w:val="FootnoteText"/>
        <w:rPr>
          <w:sz w:val="20"/>
        </w:rPr>
      </w:pPr>
      <w:r>
        <w:rPr>
          <w:sz w:val="20"/>
        </w:rPr>
        <w:tab/>
        <w:t>*</w:t>
      </w:r>
      <w:r>
        <w:rPr>
          <w:sz w:val="20"/>
        </w:rPr>
        <w:tab/>
      </w:r>
      <w:r>
        <w:rPr>
          <w:lang w:val="fr-FR" w:eastAsia="en-GB"/>
        </w:rPr>
        <w:t>Conformément au programme de travail du Comité des transports intérieurs pour la période 2018</w:t>
      </w:r>
      <w:r w:rsidR="003B2964">
        <w:rPr>
          <w:lang w:val="fr-FR" w:eastAsia="en-GB"/>
        </w:rPr>
        <w:noBreakHyphen/>
      </w:r>
      <w:r>
        <w:rPr>
          <w:lang w:val="fr-FR" w:eastAsia="en-GB"/>
        </w:rPr>
        <w:t>2019 (ECE/TRANS/WP.15/237, annexe V (9.2)).</w:t>
      </w:r>
    </w:p>
  </w:footnote>
  <w:footnote w:id="3">
    <w:p w:rsidR="008504A1" w:rsidRDefault="008504A1" w:rsidP="008504A1">
      <w:pPr>
        <w:pStyle w:val="FootnoteText"/>
        <w:rPr>
          <w:sz w:val="20"/>
        </w:rPr>
      </w:pPr>
      <w:r>
        <w:rPr>
          <w:sz w:val="20"/>
        </w:rPr>
        <w:tab/>
        <w:t>**</w:t>
      </w:r>
      <w:r>
        <w:rPr>
          <w:sz w:val="20"/>
        </w:rPr>
        <w:tab/>
      </w:r>
      <w:r>
        <w:t>Diffusée par l’Organisation intergouvernementale pour les transports internationaux ferroviaires (OTIF) sous la cote OTIF/RID/RC/2020/2.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29" w:rsidRPr="00811629" w:rsidRDefault="00A7145F">
    <w:pPr>
      <w:pStyle w:val="Header"/>
    </w:pPr>
    <w:r>
      <w:fldChar w:fldCharType="begin"/>
    </w:r>
    <w:r>
      <w:instrText xml:space="preserve"> TITLE  \* MERGEFORMAT </w:instrText>
    </w:r>
    <w:r>
      <w:fldChar w:fldCharType="separate"/>
    </w:r>
    <w:r w:rsidR="00CD67A8">
      <w:t>ECE/TRANS/WP.15/AC.1/2020/2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29" w:rsidRPr="00811629" w:rsidRDefault="00A7145F" w:rsidP="00811629">
    <w:pPr>
      <w:pStyle w:val="Header"/>
      <w:jc w:val="right"/>
    </w:pPr>
    <w:r>
      <w:fldChar w:fldCharType="begin"/>
    </w:r>
    <w:r>
      <w:instrText xml:space="preserve"> TITLE  \* MERGEFORMAT </w:instrText>
    </w:r>
    <w:r>
      <w:fldChar w:fldCharType="separate"/>
    </w:r>
    <w:r w:rsidR="00CD67A8">
      <w:t>ECE/TRANS/WP.15/AC.1/2020/2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9E"/>
    <w:rsid w:val="00017F94"/>
    <w:rsid w:val="00023842"/>
    <w:rsid w:val="000334F9"/>
    <w:rsid w:val="00045FEB"/>
    <w:rsid w:val="0007796D"/>
    <w:rsid w:val="000B1A31"/>
    <w:rsid w:val="000B7790"/>
    <w:rsid w:val="00111F2F"/>
    <w:rsid w:val="00120E4C"/>
    <w:rsid w:val="0014365E"/>
    <w:rsid w:val="00143C66"/>
    <w:rsid w:val="00176178"/>
    <w:rsid w:val="001F525A"/>
    <w:rsid w:val="00223272"/>
    <w:rsid w:val="0024779E"/>
    <w:rsid w:val="00257168"/>
    <w:rsid w:val="002744B8"/>
    <w:rsid w:val="002832AC"/>
    <w:rsid w:val="002D7C93"/>
    <w:rsid w:val="00305801"/>
    <w:rsid w:val="003916DE"/>
    <w:rsid w:val="003B2964"/>
    <w:rsid w:val="003C26CA"/>
    <w:rsid w:val="00421996"/>
    <w:rsid w:val="00441C3B"/>
    <w:rsid w:val="00446FE5"/>
    <w:rsid w:val="00452396"/>
    <w:rsid w:val="004837D8"/>
    <w:rsid w:val="004E2EED"/>
    <w:rsid w:val="004E468C"/>
    <w:rsid w:val="0051494E"/>
    <w:rsid w:val="005505B7"/>
    <w:rsid w:val="00573BE5"/>
    <w:rsid w:val="00586ED3"/>
    <w:rsid w:val="00596AA9"/>
    <w:rsid w:val="00677A58"/>
    <w:rsid w:val="0069262A"/>
    <w:rsid w:val="006A0E9E"/>
    <w:rsid w:val="0071601D"/>
    <w:rsid w:val="007A62E6"/>
    <w:rsid w:val="007F20FA"/>
    <w:rsid w:val="0080684C"/>
    <w:rsid w:val="00811629"/>
    <w:rsid w:val="008504A1"/>
    <w:rsid w:val="00871C75"/>
    <w:rsid w:val="008776DC"/>
    <w:rsid w:val="008959DE"/>
    <w:rsid w:val="009446C0"/>
    <w:rsid w:val="009705C8"/>
    <w:rsid w:val="009C1CF4"/>
    <w:rsid w:val="009F5063"/>
    <w:rsid w:val="009F6B74"/>
    <w:rsid w:val="00A3029F"/>
    <w:rsid w:val="00A30353"/>
    <w:rsid w:val="00A7145F"/>
    <w:rsid w:val="00AC3823"/>
    <w:rsid w:val="00AE323C"/>
    <w:rsid w:val="00AF0CB5"/>
    <w:rsid w:val="00B00181"/>
    <w:rsid w:val="00B00B0D"/>
    <w:rsid w:val="00B45F2E"/>
    <w:rsid w:val="00B73024"/>
    <w:rsid w:val="00B765F7"/>
    <w:rsid w:val="00BA0CA9"/>
    <w:rsid w:val="00C02897"/>
    <w:rsid w:val="00C97039"/>
    <w:rsid w:val="00CD6539"/>
    <w:rsid w:val="00CD67A8"/>
    <w:rsid w:val="00CF71B3"/>
    <w:rsid w:val="00D3439C"/>
    <w:rsid w:val="00D70A2D"/>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DEF1AA-8D9E-425A-BF4E-95A7E691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9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3471</Characters>
  <Application>Microsoft Office Word</Application>
  <DocSecurity>0</DocSecurity>
  <Lines>128</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ECE/TRANS/WP.15/AC.1/2020/2</vt:lpstr>
      <vt:lpstr>ECE/TRANS/WP.15/AC.1/2020/2</vt:lpstr>
    </vt:vector>
  </TitlesOfParts>
  <Company>DCM</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dc:title>
  <dc:subject/>
  <dc:creator>Nathalie VITTOZ</dc:creator>
  <cp:keywords/>
  <cp:lastModifiedBy>Christine Barrio-Champeau</cp:lastModifiedBy>
  <cp:revision>2</cp:revision>
  <cp:lastPrinted>2019-12-24T10:36:00Z</cp:lastPrinted>
  <dcterms:created xsi:type="dcterms:W3CDTF">2020-01-08T10:01:00Z</dcterms:created>
  <dcterms:modified xsi:type="dcterms:W3CDTF">2020-01-08T10:01:00Z</dcterms:modified>
</cp:coreProperties>
</file>