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D4D53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EEFEEB" w14:textId="77777777" w:rsidR="002D5AAC" w:rsidRDefault="002D5AAC" w:rsidP="00D624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B6420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0F08E4" w14:textId="77777777" w:rsidR="002D5AAC" w:rsidRDefault="00D62405" w:rsidP="00D62405">
            <w:pPr>
              <w:jc w:val="right"/>
            </w:pPr>
            <w:r w:rsidRPr="00D62405">
              <w:rPr>
                <w:sz w:val="40"/>
              </w:rPr>
              <w:t>ECE</w:t>
            </w:r>
            <w:r>
              <w:t>/TRANS/WP.15/AC.1/2020/25</w:t>
            </w:r>
          </w:p>
        </w:tc>
      </w:tr>
      <w:tr w:rsidR="002D5AAC" w:rsidRPr="00D62405" w14:paraId="7D52C3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04764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38C53B" wp14:editId="01F32F9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3A265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DE6379" w14:textId="77777777" w:rsidR="002D5AAC" w:rsidRDefault="00D6240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9B00D0" w14:textId="77777777" w:rsidR="00D62405" w:rsidRDefault="00D62405" w:rsidP="00D624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607AD5BF" w14:textId="77777777" w:rsidR="00D62405" w:rsidRDefault="00D62405" w:rsidP="00D624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66E457" w14:textId="77777777" w:rsidR="00D62405" w:rsidRPr="008D53B6" w:rsidRDefault="00D62405" w:rsidP="00D624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B1A8DA6" w14:textId="77777777" w:rsidR="00D6240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B91A1B" w14:textId="77777777" w:rsidR="00D62405" w:rsidRPr="00D62405" w:rsidRDefault="00D62405" w:rsidP="00D62405">
      <w:pPr>
        <w:spacing w:before="120" w:after="120"/>
        <w:rPr>
          <w:sz w:val="28"/>
          <w:szCs w:val="28"/>
        </w:rPr>
      </w:pPr>
      <w:r w:rsidRPr="00D62405">
        <w:rPr>
          <w:sz w:val="28"/>
          <w:szCs w:val="28"/>
        </w:rPr>
        <w:t>Комитет по внутреннему транспорту</w:t>
      </w:r>
    </w:p>
    <w:p w14:paraId="7C2B60EF" w14:textId="77777777" w:rsidR="00D62405" w:rsidRPr="00D62405" w:rsidRDefault="00D62405" w:rsidP="00D62405">
      <w:pPr>
        <w:spacing w:after="120"/>
        <w:rPr>
          <w:b/>
          <w:sz w:val="24"/>
          <w:szCs w:val="24"/>
        </w:rPr>
      </w:pPr>
      <w:r w:rsidRPr="00D62405">
        <w:rPr>
          <w:b/>
          <w:bCs/>
          <w:sz w:val="24"/>
          <w:szCs w:val="24"/>
        </w:rPr>
        <w:t>Рабочая группа по перевозкам опасных грузов</w:t>
      </w:r>
    </w:p>
    <w:p w14:paraId="2732BD04" w14:textId="77777777" w:rsidR="00D62405" w:rsidRDefault="00D62405" w:rsidP="00D62405">
      <w:pPr>
        <w:rPr>
          <w:b/>
          <w:bCs/>
        </w:rPr>
      </w:pPr>
      <w:r w:rsidRPr="00200B6F">
        <w:rPr>
          <w:b/>
          <w:bCs/>
        </w:rPr>
        <w:t>Совместное совещание Комиссии экспертов МПОГ</w:t>
      </w:r>
    </w:p>
    <w:p w14:paraId="608A1699" w14:textId="77777777" w:rsidR="00D62405" w:rsidRPr="00200B6F" w:rsidRDefault="00D62405" w:rsidP="00D62405">
      <w:r w:rsidRPr="00200B6F">
        <w:rPr>
          <w:b/>
          <w:bCs/>
        </w:rPr>
        <w:t>и Рабочей группы по перевозкам опасных грузов</w:t>
      </w:r>
    </w:p>
    <w:p w14:paraId="2C91C4C0" w14:textId="77777777" w:rsidR="00D62405" w:rsidRPr="00200B6F" w:rsidRDefault="00D62405" w:rsidP="00D62405">
      <w:pPr>
        <w:rPr>
          <w:szCs w:val="24"/>
        </w:rPr>
      </w:pPr>
      <w:r w:rsidRPr="00200B6F">
        <w:t>Берн, 16</w:t>
      </w:r>
      <w:r>
        <w:rPr>
          <w:lang w:val="en-US"/>
        </w:rPr>
        <w:t>–</w:t>
      </w:r>
      <w:r w:rsidRPr="00200B6F">
        <w:t>20 марта 2020 года</w:t>
      </w:r>
    </w:p>
    <w:p w14:paraId="6F35B311" w14:textId="77777777" w:rsidR="00D62405" w:rsidRPr="00200B6F" w:rsidRDefault="00D62405" w:rsidP="00D6240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00B6F">
        <w:t>Пункт 5 b) предварительной повестки дня</w:t>
      </w:r>
    </w:p>
    <w:p w14:paraId="7A2391A7" w14:textId="77777777" w:rsidR="00D62405" w:rsidRPr="00200B6F" w:rsidRDefault="00D62405" w:rsidP="00D62405">
      <w:pPr>
        <w:rPr>
          <w:b/>
          <w:bCs/>
        </w:rPr>
      </w:pPr>
      <w:r w:rsidRPr="00200B6F">
        <w:rPr>
          <w:b/>
          <w:bCs/>
        </w:rPr>
        <w:t>Предложения о внесении поправок в МПОГ/ДОПОГ/ВОПОГ</w:t>
      </w:r>
      <w:r>
        <w:rPr>
          <w:b/>
          <w:bCs/>
        </w:rPr>
        <w:br/>
        <w:t>Н</w:t>
      </w:r>
      <w:r w:rsidRPr="00200B6F">
        <w:rPr>
          <w:b/>
          <w:bCs/>
        </w:rPr>
        <w:t>овые предложения</w:t>
      </w:r>
    </w:p>
    <w:p w14:paraId="4197A4E3" w14:textId="77777777" w:rsidR="00D62405" w:rsidRPr="00200B6F" w:rsidRDefault="00D62405" w:rsidP="00D62405">
      <w:pPr>
        <w:pStyle w:val="HChG"/>
      </w:pPr>
      <w:bookmarkStart w:id="1" w:name="_Hlk30406696"/>
      <w:r w:rsidRPr="00200B6F">
        <w:tab/>
      </w:r>
      <w:r w:rsidRPr="00200B6F">
        <w:tab/>
      </w:r>
      <w:r>
        <w:rPr>
          <w:bCs/>
        </w:rPr>
        <w:t>Перевозка</w:t>
      </w:r>
      <w:r w:rsidRPr="00200B6F">
        <w:rPr>
          <w:bCs/>
        </w:rPr>
        <w:t xml:space="preserve"> </w:t>
      </w:r>
      <w:r>
        <w:rPr>
          <w:bCs/>
        </w:rPr>
        <w:t>тары</w:t>
      </w:r>
      <w:r w:rsidRPr="00200B6F">
        <w:rPr>
          <w:bCs/>
        </w:rPr>
        <w:t xml:space="preserve"> с целью </w:t>
      </w:r>
      <w:r>
        <w:rPr>
          <w:bCs/>
        </w:rPr>
        <w:t>утилиз</w:t>
      </w:r>
      <w:r w:rsidRPr="00200B6F">
        <w:rPr>
          <w:bCs/>
        </w:rPr>
        <w:t>а</w:t>
      </w:r>
      <w:r>
        <w:rPr>
          <w:bCs/>
        </w:rPr>
        <w:t>ц</w:t>
      </w:r>
      <w:r w:rsidRPr="00200B6F">
        <w:rPr>
          <w:bCs/>
        </w:rPr>
        <w:t>и</w:t>
      </w:r>
      <w:r>
        <w:rPr>
          <w:bCs/>
        </w:rPr>
        <w:t>и</w:t>
      </w:r>
      <w:r w:rsidRPr="00200B6F">
        <w:rPr>
          <w:bCs/>
        </w:rPr>
        <w:t xml:space="preserve"> или переработки</w:t>
      </w:r>
    </w:p>
    <w:bookmarkEnd w:id="1"/>
    <w:p w14:paraId="719D5D9F" w14:textId="77777777" w:rsidR="00D62405" w:rsidRDefault="00D62405" w:rsidP="00D62405">
      <w:pPr>
        <w:pStyle w:val="H1G"/>
        <w:rPr>
          <w:b w:val="0"/>
        </w:rPr>
      </w:pPr>
      <w:r w:rsidRPr="00200B6F">
        <w:tab/>
      </w:r>
      <w:r w:rsidRPr="00200B6F">
        <w:tab/>
      </w:r>
      <w:r w:rsidRPr="00200B6F">
        <w:rPr>
          <w:bCs/>
        </w:rPr>
        <w:t>Передано правительством Швейцарии</w:t>
      </w:r>
      <w:r w:rsidRPr="00D6240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62405">
        <w:rPr>
          <w:b w:val="0"/>
          <w:bCs/>
          <w:lang w:val="en-US"/>
        </w:rPr>
        <w:t xml:space="preserve"> </w:t>
      </w:r>
      <w:r w:rsidRPr="00D6240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62405" w:rsidRPr="00D62405" w14:paraId="321EB872" w14:textId="77777777" w:rsidTr="00D62405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D1D8FB4" w14:textId="77777777" w:rsidR="00D62405" w:rsidRPr="00D62405" w:rsidRDefault="00D6240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62405">
              <w:rPr>
                <w:rFonts w:cs="Times New Roman"/>
              </w:rPr>
              <w:tab/>
            </w:r>
            <w:r w:rsidRPr="00D6240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62405" w:rsidRPr="00D62405" w14:paraId="32C0A451" w14:textId="77777777" w:rsidTr="00D6240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F96AEE6" w14:textId="77777777" w:rsidR="00D62405" w:rsidRPr="00D62405" w:rsidRDefault="00D62405" w:rsidP="00D62405">
            <w:pPr>
              <w:pStyle w:val="SingleTxtG"/>
              <w:tabs>
                <w:tab w:val="left" w:pos="3535"/>
              </w:tabs>
              <w:ind w:left="3535" w:hanging="2401"/>
            </w:pPr>
            <w:r w:rsidRPr="00200B6F">
              <w:rPr>
                <w:b/>
                <w:bCs/>
              </w:rPr>
              <w:t>Существо предложения:</w:t>
            </w:r>
            <w:r w:rsidRPr="00200B6F">
              <w:tab/>
              <w:t xml:space="preserve">Цель заключается в том, чтобы ввести общее правило, разрешающее перевозку порожней тары, включая контейнеры средней грузоподъемности для массовых грузов (КСМ) и крупногабаритную тару, с целью </w:t>
            </w:r>
            <w:r w:rsidRPr="004041D3">
              <w:t>утилизации</w:t>
            </w:r>
            <w:r w:rsidRPr="00200B6F">
              <w:t>, переработки или рекуперации их материала, даже если они не соответствуют положениям МПОГ/ДОПОГ/ВОПОГ.</w:t>
            </w:r>
          </w:p>
        </w:tc>
      </w:tr>
      <w:tr w:rsidR="00D62405" w:rsidRPr="00D62405" w14:paraId="167B15F9" w14:textId="77777777" w:rsidTr="00D6240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36C8D72" w14:textId="77777777" w:rsidR="00D62405" w:rsidRPr="00200B6F" w:rsidRDefault="00D62405" w:rsidP="00D62405">
            <w:pPr>
              <w:pStyle w:val="SingleTxtG"/>
              <w:tabs>
                <w:tab w:val="left" w:pos="3535"/>
              </w:tabs>
              <w:ind w:left="3686" w:hanging="2552"/>
            </w:pPr>
            <w:r w:rsidRPr="00200B6F">
              <w:rPr>
                <w:b/>
                <w:bCs/>
              </w:rPr>
              <w:t>Предлагаемое решение:</w:t>
            </w:r>
            <w:r w:rsidRPr="00200B6F">
              <w:tab/>
              <w:t>Изменить формулировку специального положения 663.</w:t>
            </w:r>
          </w:p>
        </w:tc>
      </w:tr>
      <w:tr w:rsidR="00D62405" w:rsidRPr="00D62405" w14:paraId="1BA13797" w14:textId="77777777" w:rsidTr="00D6240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B06B6D8" w14:textId="77777777" w:rsidR="00D62405" w:rsidRPr="00D62405" w:rsidRDefault="00D62405" w:rsidP="00D62405">
            <w:pPr>
              <w:pStyle w:val="SingleTxtG"/>
              <w:tabs>
                <w:tab w:val="left" w:pos="3535"/>
              </w:tabs>
              <w:ind w:left="3686" w:hanging="2552"/>
              <w:rPr>
                <w:b/>
                <w:bCs/>
                <w:spacing w:val="-2"/>
              </w:rPr>
            </w:pPr>
            <w:r w:rsidRPr="00D62405">
              <w:rPr>
                <w:b/>
                <w:bCs/>
                <w:spacing w:val="-2"/>
              </w:rPr>
              <w:t>Справочные документы:</w:t>
            </w:r>
            <w:r w:rsidRPr="00D62405">
              <w:rPr>
                <w:spacing w:val="-2"/>
              </w:rPr>
              <w:tab/>
              <w:t>ST/SG/AC.10/C.3/2019/28, ST/SG/AC.10/C.3/110, пункт 40.</w:t>
            </w:r>
          </w:p>
        </w:tc>
      </w:tr>
      <w:tr w:rsidR="00D62405" w:rsidRPr="00D62405" w14:paraId="77650CBA" w14:textId="77777777" w:rsidTr="00D62405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12DE5B66" w14:textId="77777777" w:rsidR="00D62405" w:rsidRPr="00D62405" w:rsidRDefault="00D62405" w:rsidP="00D62405">
            <w:pPr>
              <w:rPr>
                <w:rFonts w:cs="Times New Roman"/>
              </w:rPr>
            </w:pPr>
          </w:p>
        </w:tc>
      </w:tr>
    </w:tbl>
    <w:p w14:paraId="7AA63001" w14:textId="77777777" w:rsidR="00D62405" w:rsidRPr="00D62405" w:rsidRDefault="00D62405" w:rsidP="00D62405">
      <w:pPr>
        <w:pStyle w:val="HChG"/>
      </w:pPr>
      <w:r w:rsidRPr="00D62405">
        <w:tab/>
      </w:r>
      <w:r w:rsidRPr="00D62405">
        <w:tab/>
      </w:r>
      <w:r w:rsidRPr="00D62405">
        <w:tab/>
        <w:t>Введение</w:t>
      </w:r>
    </w:p>
    <w:p w14:paraId="548CA10E" w14:textId="77777777" w:rsidR="00D62405" w:rsidRPr="00200B6F" w:rsidRDefault="00D62405" w:rsidP="00D62405">
      <w:pPr>
        <w:pStyle w:val="SingleTxtG"/>
      </w:pPr>
      <w:r w:rsidRPr="00200B6F">
        <w:t>1.</w:t>
      </w:r>
      <w:r w:rsidRPr="00200B6F">
        <w:tab/>
        <w:t xml:space="preserve">На своей </w:t>
      </w:r>
      <w:r>
        <w:t>пятьдесят пято</w:t>
      </w:r>
      <w:r w:rsidRPr="00200B6F">
        <w:t xml:space="preserve">й сессии Подкомитет экспертов по перевозке опасных грузов на основе документа ST/SG/AC.10/C.3/2019/28 Швейцарии обсудил вопрос о перевозке порожней тары с целью </w:t>
      </w:r>
      <w:r>
        <w:t xml:space="preserve">ее </w:t>
      </w:r>
      <w:r w:rsidRPr="00200B6F">
        <w:t>утилизации. Подкомитет не поддержал предложение о внесении поправок в Типовые правила и высказался за решение на региональном уровне (ST/SG/AC.10/C.3/110, пункт 40). По этой причине Швейцария представляет предложение для рассмотрения Совместным совещанием.</w:t>
      </w:r>
    </w:p>
    <w:p w14:paraId="320B7851" w14:textId="77777777" w:rsidR="00D62405" w:rsidRPr="00200B6F" w:rsidRDefault="00D62405" w:rsidP="00D62405">
      <w:pPr>
        <w:pStyle w:val="SingleTxtG"/>
        <w:spacing w:before="60" w:after="60"/>
      </w:pPr>
      <w:r w:rsidRPr="00200B6F">
        <w:lastRenderedPageBreak/>
        <w:t>2.</w:t>
      </w:r>
      <w:r w:rsidRPr="00200B6F">
        <w:tab/>
        <w:t xml:space="preserve">В соответствии с МПОГ/ДОПОГ перевозка тары, которая более не отвечает требованиям пункта 4.1.1.3 с целью утилизации или переработки и которая содержала или содержит опасные грузы, не разрешается. </w:t>
      </w:r>
    </w:p>
    <w:p w14:paraId="7D139A48" w14:textId="77777777" w:rsidR="00D62405" w:rsidRPr="00200B6F" w:rsidRDefault="00D62405" w:rsidP="00D62405">
      <w:pPr>
        <w:pStyle w:val="SingleTxtG"/>
        <w:spacing w:before="60" w:after="60"/>
      </w:pPr>
      <w:r w:rsidRPr="00200B6F">
        <w:t>3.</w:t>
      </w:r>
      <w:r w:rsidRPr="00200B6F">
        <w:tab/>
      </w:r>
      <w:r>
        <w:t>Устаревшая т</w:t>
      </w:r>
      <w:r w:rsidRPr="00200B6F">
        <w:t xml:space="preserve">ара не может перевозиться для утилизации с маркировкой и при условиях перевозки, действующих в отношении опасных грузов, которые в ней содержатся или которые в ней содержались. В случае больших количеств такой </w:t>
      </w:r>
      <w:r>
        <w:t xml:space="preserve">устаревшей </w:t>
      </w:r>
      <w:r w:rsidRPr="00200B6F">
        <w:t>тары пользовател</w:t>
      </w:r>
      <w:r>
        <w:t>ь</w:t>
      </w:r>
      <w:r w:rsidRPr="00200B6F">
        <w:t xml:space="preserve"> не всегда может </w:t>
      </w:r>
      <w:r>
        <w:t>быть за</w:t>
      </w:r>
      <w:r w:rsidRPr="00200B6F">
        <w:t>интерес</w:t>
      </w:r>
      <w:r>
        <w:t>ован</w:t>
      </w:r>
      <w:r w:rsidRPr="00200B6F">
        <w:t xml:space="preserve"> </w:t>
      </w:r>
      <w:r>
        <w:t>отнести ее</w:t>
      </w:r>
      <w:r>
        <w:br/>
        <w:t xml:space="preserve">к </w:t>
      </w:r>
      <w:r w:rsidRPr="00200B6F">
        <w:t>№ ООН 3509 ТАРА ОТБРАКОВАННАЯ ПОРОЖНЯЯ НЕОЧИЩЕННАЯ. Может быть принято решение о перевозке в соответствии с условиями, определенными характером груза, которы</w:t>
      </w:r>
      <w:r>
        <w:t>й</w:t>
      </w:r>
      <w:r w:rsidRPr="00200B6F">
        <w:t xml:space="preserve"> содержится или содержался в </w:t>
      </w:r>
      <w:r>
        <w:t>емко</w:t>
      </w:r>
      <w:r w:rsidRPr="00200B6F">
        <w:t>с</w:t>
      </w:r>
      <w:r>
        <w:t>ти</w:t>
      </w:r>
      <w:r w:rsidRPr="00200B6F">
        <w:t>, но при условии, что тара отве</w:t>
      </w:r>
      <w:r>
        <w:t>ча</w:t>
      </w:r>
      <w:r w:rsidRPr="00200B6F">
        <w:t xml:space="preserve">ет всем </w:t>
      </w:r>
      <w:r>
        <w:t xml:space="preserve">требованиям </w:t>
      </w:r>
      <w:r w:rsidRPr="00200B6F">
        <w:t>МПОГ/ДОПОГ. Следует отметить, что, даже если груз будет отнесен к № ООН 3509, нет никаких указаний на то, что перевозка порожней неочищенной тары, которая не отвечает требованиям пункта 4.1.1.3, разрешается в соответствии с этой позицией.</w:t>
      </w:r>
    </w:p>
    <w:p w14:paraId="7412BAB5" w14:textId="77777777" w:rsidR="00D62405" w:rsidRPr="00200B6F" w:rsidRDefault="00D62405" w:rsidP="00D62405">
      <w:pPr>
        <w:pStyle w:val="SingleTxtG"/>
        <w:spacing w:before="60" w:after="60"/>
      </w:pPr>
      <w:r w:rsidRPr="00200B6F">
        <w:t>4.</w:t>
      </w:r>
      <w:r w:rsidRPr="00200B6F">
        <w:tab/>
        <w:t>При</w:t>
      </w:r>
      <w:r>
        <w:t>ведение в качестве при</w:t>
      </w:r>
      <w:r w:rsidRPr="00200B6F">
        <w:t>мер</w:t>
      </w:r>
      <w:r>
        <w:t>а</w:t>
      </w:r>
      <w:r w:rsidRPr="00200B6F">
        <w:t xml:space="preserve"> позиции № ООН 3509 ТАРА ОТБРАКОВАННАЯ ПОРОЖНЯЯ НЕОЧИЩЕННАЯ и присвоенно</w:t>
      </w:r>
      <w:r>
        <w:t>го</w:t>
      </w:r>
      <w:r w:rsidRPr="00200B6F">
        <w:t xml:space="preserve"> е</w:t>
      </w:r>
      <w:r>
        <w:t>й</w:t>
      </w:r>
      <w:r w:rsidRPr="00200B6F">
        <w:t xml:space="preserve"> специально</w:t>
      </w:r>
      <w:r>
        <w:t>го</w:t>
      </w:r>
      <w:r w:rsidRPr="00200B6F">
        <w:t xml:space="preserve"> положени</w:t>
      </w:r>
      <w:r>
        <w:t>я</w:t>
      </w:r>
      <w:r w:rsidRPr="00200B6F">
        <w:t xml:space="preserve"> 663 является </w:t>
      </w:r>
      <w:r>
        <w:t>обоснованным</w:t>
      </w:r>
      <w:r w:rsidRPr="00200B6F">
        <w:t>, однако в нынешних текстах вопрос о несоответствующей упаковке еще не урегулирован. В соответствии со специальным положением 663 данная позиция может использоваться для тары, крупногабаритной тары или КСГМГ или их частей, в которых ранее содержались опасные грузы, кроме радиоактивных материалов, которые перевозятся с целью у</w:t>
      </w:r>
      <w:r>
        <w:t>тилиз</w:t>
      </w:r>
      <w:r w:rsidRPr="00200B6F">
        <w:t>а</w:t>
      </w:r>
      <w:r>
        <w:t>ци</w:t>
      </w:r>
      <w:r w:rsidRPr="00200B6F">
        <w:t>и, переработки или рекуперации их материала, кроме восстановления, ремонта, текущего обслуживания, реконструирования или повторного использования, и которые были опорожнены до такой степени, что при их предъявлении для перевозки присутствуют лишь остатки опасных грузов, налипшие на компоненты тары.</w:t>
      </w:r>
    </w:p>
    <w:p w14:paraId="0D91AA04" w14:textId="77777777" w:rsidR="00D62405" w:rsidRPr="00200B6F" w:rsidRDefault="00D62405" w:rsidP="00D62405">
      <w:pPr>
        <w:pStyle w:val="SingleTxtG"/>
        <w:spacing w:before="60" w:after="60"/>
      </w:pPr>
      <w:r w:rsidRPr="00200B6F">
        <w:t>5.</w:t>
      </w:r>
      <w:r w:rsidRPr="00200B6F">
        <w:tab/>
        <w:t xml:space="preserve">Текст специального положения 663 не освобождает от соблюдения других положений, касающихся официального утверждения, испытаний и проверки тары. Приводимые слова </w:t>
      </w:r>
      <w:r>
        <w:t>«</w:t>
      </w:r>
      <w:r w:rsidRPr="00200B6F">
        <w:t>или их частей</w:t>
      </w:r>
      <w:r>
        <w:t>»</w:t>
      </w:r>
      <w:r w:rsidRPr="00200B6F">
        <w:t xml:space="preserve"> в этом контексте понять трудно, поскольку представляется невозможным, чтобы какая-либо часть упаковки соответствовала типу конструкции и могла пройти испытания и проверки. Следует сделать вывод о том, что на самом деле намерение заключалось в том, чтобы разрешить перевозку тары, которая более не соответствует положениям МПОГ/ДОПОГ, в целях ее утилизации. </w:t>
      </w:r>
    </w:p>
    <w:p w14:paraId="28342376" w14:textId="77777777" w:rsidR="00D62405" w:rsidRPr="00200B6F" w:rsidRDefault="00D62405" w:rsidP="00D62405">
      <w:pPr>
        <w:pStyle w:val="SingleTxtG"/>
        <w:spacing w:before="60" w:after="60"/>
      </w:pPr>
      <w:r w:rsidRPr="00200B6F">
        <w:t>6.</w:t>
      </w:r>
      <w:r w:rsidRPr="00200B6F">
        <w:tab/>
        <w:t xml:space="preserve">Если намерение авторов заключалось в том, чтобы разрешить перевозку тары </w:t>
      </w:r>
      <w:r>
        <w:t>с целью</w:t>
      </w:r>
      <w:r w:rsidRPr="00200B6F">
        <w:t xml:space="preserve"> утилизации без соблюдения требований МПОГ/ДОПОГ, а не подразумевать ее под используемыми терминами (</w:t>
      </w:r>
      <w:r>
        <w:t>«</w:t>
      </w:r>
      <w:r w:rsidRPr="00200B6F">
        <w:t>или их частей</w:t>
      </w:r>
      <w:r>
        <w:t>»</w:t>
      </w:r>
      <w:r w:rsidRPr="00200B6F">
        <w:t>), то, как представляется, более уместно было бы сказать об этом прямо.</w:t>
      </w:r>
    </w:p>
    <w:p w14:paraId="73412EB2" w14:textId="77777777" w:rsidR="00D62405" w:rsidRPr="00200B6F" w:rsidRDefault="00D62405" w:rsidP="00D62405">
      <w:pPr>
        <w:pStyle w:val="SingleTxtG"/>
        <w:spacing w:before="60" w:after="60"/>
      </w:pPr>
      <w:r w:rsidRPr="00200B6F">
        <w:t>7.</w:t>
      </w:r>
      <w:r w:rsidRPr="00200B6F">
        <w:tab/>
        <w:t xml:space="preserve">Таким образом, как в случае № ООН 3509, так и в случае упомянутой перевозки продукта, содержащегося или содержавшегося </w:t>
      </w:r>
      <w:r>
        <w:t>в ней из</w:t>
      </w:r>
      <w:r w:rsidRPr="00200B6F">
        <w:t xml:space="preserve">начально, представляется необходимым также разрешить перевозку тары </w:t>
      </w:r>
      <w:r>
        <w:t>с целью</w:t>
      </w:r>
      <w:r w:rsidRPr="00200B6F">
        <w:t xml:space="preserve"> утилизации, даже если она не соответствует нормативным положениям, в силу того, что такая перевозка всегда требует специального разрешения, что не облегчает утилизацию устаревшей тары. Что</w:t>
      </w:r>
      <w:r w:rsidR="007E47BA">
        <w:t> </w:t>
      </w:r>
      <w:r w:rsidRPr="00200B6F">
        <w:t xml:space="preserve">касается перевозки порожней неочищенной тары в соответствии с условиями, предусмотренными для </w:t>
      </w:r>
      <w:r>
        <w:t>из</w:t>
      </w:r>
      <w:r w:rsidRPr="00200B6F">
        <w:t xml:space="preserve">начально содержавшихся в ней опасных грузов, то, как представляется, нет необходимости в получении предварительного разрешения компетентного органа при условии применения специального положения 663. </w:t>
      </w:r>
    </w:p>
    <w:p w14:paraId="26A951C9" w14:textId="77777777" w:rsidR="00D62405" w:rsidRPr="00200B6F" w:rsidRDefault="00D62405" w:rsidP="00D62405">
      <w:pPr>
        <w:pStyle w:val="SingleTxtG"/>
        <w:spacing w:before="60" w:after="60"/>
      </w:pPr>
      <w:r w:rsidRPr="00200B6F">
        <w:t>8.</w:t>
      </w:r>
      <w:r w:rsidRPr="00200B6F">
        <w:tab/>
        <w:t xml:space="preserve">Если делегации сочтут целесообразным разрешить этот вид перевозки, мы предлагаем включить его в качестве общего правила в специальное положение. </w:t>
      </w:r>
    </w:p>
    <w:p w14:paraId="48B34DE2" w14:textId="77777777" w:rsidR="00D62405" w:rsidRPr="00D62405" w:rsidRDefault="00D62405" w:rsidP="00D62405">
      <w:pPr>
        <w:pStyle w:val="HChG"/>
      </w:pPr>
      <w:r w:rsidRPr="00D62405">
        <w:tab/>
      </w:r>
      <w:r w:rsidRPr="00D62405">
        <w:tab/>
        <w:t>Предложение</w:t>
      </w:r>
    </w:p>
    <w:p w14:paraId="21BFA3FB" w14:textId="77777777" w:rsidR="00D62405" w:rsidRPr="00200B6F" w:rsidRDefault="00D62405" w:rsidP="00D62405">
      <w:pPr>
        <w:pStyle w:val="SingleTxtG"/>
      </w:pPr>
      <w:r w:rsidRPr="00200B6F">
        <w:t>9.</w:t>
      </w:r>
      <w:r w:rsidRPr="00200B6F">
        <w:tab/>
        <w:t>Добавить следующий текст в конце первого предложения специального положения 663:</w:t>
      </w:r>
    </w:p>
    <w:p w14:paraId="50029598" w14:textId="77777777" w:rsidR="00D62405" w:rsidRPr="00200B6F" w:rsidRDefault="00D62405" w:rsidP="00D62405">
      <w:pPr>
        <w:pStyle w:val="SingleTxtG"/>
        <w:ind w:left="1701"/>
        <w:rPr>
          <w:bCs/>
        </w:rPr>
      </w:pPr>
      <w:r>
        <w:t>«</w:t>
      </w:r>
      <w:r w:rsidRPr="00200B6F">
        <w:t>В этом случае нет необходимости выполнять положения пункта 4.1.1.3</w:t>
      </w:r>
      <w:r>
        <w:t>.»</w:t>
      </w:r>
      <w:r w:rsidRPr="00200B6F">
        <w:t>.</w:t>
      </w:r>
    </w:p>
    <w:p w14:paraId="0E31D804" w14:textId="77777777" w:rsidR="00E12C5F" w:rsidRPr="00D62405" w:rsidRDefault="00D62405" w:rsidP="00D62405">
      <w:pPr>
        <w:spacing w:before="240"/>
        <w:jc w:val="center"/>
        <w:rPr>
          <w:u w:val="single"/>
        </w:rPr>
      </w:pPr>
      <w:r w:rsidRPr="00200B6F">
        <w:rPr>
          <w:u w:val="single"/>
        </w:rPr>
        <w:tab/>
      </w:r>
      <w:r w:rsidRPr="00200B6F">
        <w:rPr>
          <w:u w:val="single"/>
        </w:rPr>
        <w:tab/>
      </w:r>
      <w:r w:rsidRPr="00200B6F">
        <w:rPr>
          <w:u w:val="single"/>
        </w:rPr>
        <w:tab/>
      </w:r>
    </w:p>
    <w:sectPr w:rsidR="00E12C5F" w:rsidRPr="00D62405" w:rsidSect="00D624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2DDC" w14:textId="77777777" w:rsidR="00B643A5" w:rsidRPr="00A312BC" w:rsidRDefault="00B643A5" w:rsidP="00A312BC"/>
  </w:endnote>
  <w:endnote w:type="continuationSeparator" w:id="0">
    <w:p w14:paraId="5D77F984" w14:textId="77777777" w:rsidR="00B643A5" w:rsidRPr="00A312BC" w:rsidRDefault="00B643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CB2A" w14:textId="77777777" w:rsidR="00D62405" w:rsidRPr="00D62405" w:rsidRDefault="00D62405">
    <w:pPr>
      <w:pStyle w:val="Footer"/>
    </w:pPr>
    <w:r w:rsidRPr="00D62405">
      <w:rPr>
        <w:b/>
        <w:sz w:val="18"/>
      </w:rPr>
      <w:fldChar w:fldCharType="begin"/>
    </w:r>
    <w:r w:rsidRPr="00D62405">
      <w:rPr>
        <w:b/>
        <w:sz w:val="18"/>
      </w:rPr>
      <w:instrText xml:space="preserve"> PAGE  \* MERGEFORMAT </w:instrText>
    </w:r>
    <w:r w:rsidRPr="00D62405">
      <w:rPr>
        <w:b/>
        <w:sz w:val="18"/>
      </w:rPr>
      <w:fldChar w:fldCharType="separate"/>
    </w:r>
    <w:r w:rsidRPr="00D62405">
      <w:rPr>
        <w:b/>
        <w:noProof/>
        <w:sz w:val="18"/>
      </w:rPr>
      <w:t>2</w:t>
    </w:r>
    <w:r w:rsidRPr="00D62405">
      <w:rPr>
        <w:b/>
        <w:sz w:val="18"/>
      </w:rPr>
      <w:fldChar w:fldCharType="end"/>
    </w:r>
    <w:r>
      <w:rPr>
        <w:b/>
        <w:sz w:val="18"/>
      </w:rPr>
      <w:tab/>
    </w:r>
    <w:r>
      <w:t>GE.20-00089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0872" w14:textId="77777777" w:rsidR="00D62405" w:rsidRPr="00D62405" w:rsidRDefault="00D62405" w:rsidP="00D62405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GE.20-00089</w:t>
    </w:r>
    <w:r>
      <w:tab/>
    </w:r>
    <w:r w:rsidRPr="00D62405">
      <w:rPr>
        <w:b/>
        <w:sz w:val="18"/>
      </w:rPr>
      <w:fldChar w:fldCharType="begin"/>
    </w:r>
    <w:r w:rsidRPr="00D62405">
      <w:rPr>
        <w:b/>
        <w:sz w:val="18"/>
      </w:rPr>
      <w:instrText xml:space="preserve"> PAGE  \* MERGEFORMAT </w:instrText>
    </w:r>
    <w:r w:rsidRPr="00D62405">
      <w:rPr>
        <w:b/>
        <w:sz w:val="18"/>
      </w:rPr>
      <w:fldChar w:fldCharType="separate"/>
    </w:r>
    <w:r w:rsidRPr="00D62405">
      <w:rPr>
        <w:b/>
        <w:noProof/>
        <w:sz w:val="18"/>
      </w:rPr>
      <w:t>3</w:t>
    </w:r>
    <w:r w:rsidRPr="00D624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C01F" w14:textId="77777777" w:rsidR="00042B72" w:rsidRPr="00D62405" w:rsidRDefault="00D62405" w:rsidP="00D6240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787280" wp14:editId="04CD51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20-00089  (R)</w:t>
    </w:r>
    <w:r>
      <w:rPr>
        <w:lang w:val="en-US"/>
      </w:rPr>
      <w:t xml:space="preserve">  200120  220120</w:t>
    </w:r>
    <w:r>
      <w:br/>
    </w:r>
    <w:r w:rsidRPr="00D62405">
      <w:rPr>
        <w:rFonts w:ascii="C39T30Lfz" w:hAnsi="C39T30Lfz"/>
        <w:kern w:val="14"/>
        <w:sz w:val="56"/>
      </w:rPr>
      <w:t></w:t>
    </w:r>
    <w:r w:rsidRPr="00D62405">
      <w:rPr>
        <w:rFonts w:ascii="C39T30Lfz" w:hAnsi="C39T30Lfz"/>
        <w:kern w:val="14"/>
        <w:sz w:val="56"/>
      </w:rPr>
      <w:t></w:t>
    </w:r>
    <w:r w:rsidRPr="00D62405">
      <w:rPr>
        <w:rFonts w:ascii="C39T30Lfz" w:hAnsi="C39T30Lfz"/>
        <w:kern w:val="14"/>
        <w:sz w:val="56"/>
      </w:rPr>
      <w:t></w:t>
    </w:r>
    <w:r w:rsidRPr="00D62405">
      <w:rPr>
        <w:rFonts w:ascii="C39T30Lfz" w:hAnsi="C39T30Lfz"/>
        <w:kern w:val="14"/>
        <w:sz w:val="56"/>
      </w:rPr>
      <w:t></w:t>
    </w:r>
    <w:r w:rsidRPr="00D62405">
      <w:rPr>
        <w:rFonts w:ascii="C39T30Lfz" w:hAnsi="C39T30Lfz"/>
        <w:kern w:val="14"/>
        <w:sz w:val="56"/>
      </w:rPr>
      <w:t></w:t>
    </w:r>
    <w:r w:rsidRPr="00D62405">
      <w:rPr>
        <w:rFonts w:ascii="C39T30Lfz" w:hAnsi="C39T30Lfz"/>
        <w:kern w:val="14"/>
        <w:sz w:val="56"/>
      </w:rPr>
      <w:t></w:t>
    </w:r>
    <w:r w:rsidRPr="00D62405">
      <w:rPr>
        <w:rFonts w:ascii="C39T30Lfz" w:hAnsi="C39T30Lfz"/>
        <w:kern w:val="14"/>
        <w:sz w:val="56"/>
      </w:rPr>
      <w:t></w:t>
    </w:r>
    <w:r w:rsidRPr="00D62405">
      <w:rPr>
        <w:rFonts w:ascii="C39T30Lfz" w:hAnsi="C39T30Lfz"/>
        <w:kern w:val="14"/>
        <w:sz w:val="56"/>
      </w:rPr>
      <w:t></w:t>
    </w:r>
    <w:r w:rsidRPr="00D6240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C7E039" wp14:editId="37F1D0E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2180" w14:textId="77777777" w:rsidR="00B643A5" w:rsidRPr="001075E9" w:rsidRDefault="00B643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90C0F8" w14:textId="77777777" w:rsidR="00B643A5" w:rsidRDefault="00B643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E84B31" w14:textId="77777777" w:rsidR="00D62405" w:rsidRPr="00200B6F" w:rsidRDefault="00D62405" w:rsidP="00D62405">
      <w:pPr>
        <w:pStyle w:val="FootnoteText"/>
      </w:pPr>
      <w:r>
        <w:tab/>
      </w:r>
      <w:r w:rsidRPr="00D62405">
        <w:rPr>
          <w:sz w:val="20"/>
        </w:rPr>
        <w:t>*</w:t>
      </w:r>
      <w:r>
        <w:tab/>
      </w:r>
      <w:r w:rsidRPr="004041D3">
        <w:t>2020 год (A/74/6 (Раздел 20) и дополнительная информация, Подпрограмма 2)</w:t>
      </w:r>
      <w:r w:rsidR="00103AC0">
        <w:t>.</w:t>
      </w:r>
    </w:p>
  </w:footnote>
  <w:footnote w:id="2">
    <w:p w14:paraId="34997AC2" w14:textId="77777777" w:rsidR="00D62405" w:rsidRPr="00200B6F" w:rsidRDefault="00D62405" w:rsidP="00D62405">
      <w:pPr>
        <w:pStyle w:val="FootnoteText"/>
      </w:pPr>
      <w:r>
        <w:tab/>
      </w:r>
      <w:r w:rsidRPr="00D6240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2D9" w14:textId="460F5C87" w:rsidR="00D62405" w:rsidRPr="00D62405" w:rsidRDefault="00451A6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52C59">
      <w:t>ECE/TRANS/WP.15/AC.1/2020/25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CC17" w14:textId="5C0F30CE" w:rsidR="00D62405" w:rsidRPr="00D62405" w:rsidRDefault="00451A6C" w:rsidP="00D6240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52C59">
      <w:t>ECE/TRANS/WP.15/AC.1/2020/25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5"/>
    <w:rsid w:val="00033EE1"/>
    <w:rsid w:val="00042B72"/>
    <w:rsid w:val="000558BD"/>
    <w:rsid w:val="000B57E7"/>
    <w:rsid w:val="000B6373"/>
    <w:rsid w:val="000E4E5B"/>
    <w:rsid w:val="000F09DF"/>
    <w:rsid w:val="000F61B2"/>
    <w:rsid w:val="00103AC0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1A6C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71A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7B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43A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240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2C5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A617E"/>
  <w15:docId w15:val="{90EADD1C-0631-4446-A58F-A8B545C1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62405"/>
    <w:rPr>
      <w:lang w:val="ru-RU" w:eastAsia="en-US"/>
    </w:rPr>
  </w:style>
  <w:style w:type="character" w:customStyle="1" w:styleId="HChGChar">
    <w:name w:val="_ H _Ch_G Char"/>
    <w:link w:val="HChG"/>
    <w:rsid w:val="00D6240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ECE/TRANS/WP.15/AC.1/2020/25</vt:lpstr>
      <vt:lpstr>ECE/TRANS/WP.15/AC.1/2020/25</vt:lpstr>
      <vt:lpstr>A/</vt:lpstr>
    </vt:vector>
  </TitlesOfParts>
  <Company>DCM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ECE/TRANS/WP.15/AC.1/2020/25</dc:title>
  <dc:subject/>
  <dc:creator>Uliana ANTIPOVA</dc:creator>
  <cp:keywords/>
  <cp:lastModifiedBy>Christine Barrio-Champeau</cp:lastModifiedBy>
  <cp:revision>2</cp:revision>
  <cp:lastPrinted>2020-01-22T06:35:00Z</cp:lastPrinted>
  <dcterms:created xsi:type="dcterms:W3CDTF">2020-01-22T15:08:00Z</dcterms:created>
  <dcterms:modified xsi:type="dcterms:W3CDTF">2020-01-22T15:08:00Z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