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E56FC5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5815613" w14:textId="77777777" w:rsidR="002D5AAC" w:rsidRDefault="002D5AAC" w:rsidP="007E248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DCFCE5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82C160E" w14:textId="77777777" w:rsidR="002D5AAC" w:rsidRDefault="007E2488" w:rsidP="007E2488">
            <w:pPr>
              <w:jc w:val="right"/>
            </w:pPr>
            <w:r w:rsidRPr="007E2488">
              <w:rPr>
                <w:sz w:val="40"/>
              </w:rPr>
              <w:t>ECE</w:t>
            </w:r>
            <w:r>
              <w:t>/TRANS/WP.15/AC.1/2020/24</w:t>
            </w:r>
          </w:p>
        </w:tc>
      </w:tr>
      <w:tr w:rsidR="002D5AAC" w:rsidRPr="00985497" w14:paraId="7839C02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1A721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BC17F4D" wp14:editId="193D5C7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988F5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BFB70D" w14:textId="77777777" w:rsidR="002D5AAC" w:rsidRDefault="007E248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DE3B46" w14:textId="77777777" w:rsidR="007E2488" w:rsidRDefault="007E2488" w:rsidP="007E24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2020</w:t>
            </w:r>
          </w:p>
          <w:p w14:paraId="0794C633" w14:textId="77777777" w:rsidR="007E2488" w:rsidRDefault="007E2488" w:rsidP="007E24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18436DD" w14:textId="77777777" w:rsidR="007E2488" w:rsidRPr="008D53B6" w:rsidRDefault="007E2488" w:rsidP="007E24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A8DB2BE" w14:textId="77777777" w:rsidR="007E248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0F18BD" w14:textId="77777777" w:rsidR="007E2488" w:rsidRPr="00E0623C" w:rsidRDefault="007E2488" w:rsidP="007E2488">
      <w:pPr>
        <w:spacing w:before="120"/>
        <w:rPr>
          <w:sz w:val="28"/>
          <w:szCs w:val="28"/>
        </w:rPr>
      </w:pPr>
      <w:r w:rsidRPr="00E0623C">
        <w:rPr>
          <w:sz w:val="28"/>
          <w:szCs w:val="28"/>
        </w:rPr>
        <w:t>Комитет по внутреннему транспорту</w:t>
      </w:r>
    </w:p>
    <w:p w14:paraId="2334CBDA" w14:textId="77777777" w:rsidR="007E2488" w:rsidRPr="00E0623C" w:rsidRDefault="007E2488" w:rsidP="007E2488">
      <w:pPr>
        <w:spacing w:before="120" w:after="120"/>
        <w:rPr>
          <w:b/>
          <w:sz w:val="24"/>
          <w:szCs w:val="24"/>
        </w:rPr>
      </w:pPr>
      <w:r w:rsidRPr="00E0623C">
        <w:rPr>
          <w:b/>
          <w:bCs/>
          <w:sz w:val="24"/>
          <w:szCs w:val="24"/>
        </w:rPr>
        <w:t>Рабочая группа по перевозкам опасных грузов</w:t>
      </w:r>
    </w:p>
    <w:p w14:paraId="3B7D1EB8" w14:textId="77777777" w:rsidR="007E2488" w:rsidRPr="00711962" w:rsidRDefault="007E2488" w:rsidP="007E2488">
      <w:pPr>
        <w:rPr>
          <w:b/>
        </w:rPr>
      </w:pPr>
      <w:r>
        <w:rPr>
          <w:b/>
          <w:bCs/>
        </w:rPr>
        <w:t>Совместное совещание Комиссии экспертов МПОГ и</w:t>
      </w:r>
    </w:p>
    <w:p w14:paraId="4A105F58" w14:textId="77777777" w:rsidR="007E2488" w:rsidRPr="00711962" w:rsidRDefault="007E2488" w:rsidP="007E2488">
      <w:pPr>
        <w:rPr>
          <w:b/>
        </w:rPr>
      </w:pPr>
      <w:r>
        <w:rPr>
          <w:b/>
          <w:bCs/>
        </w:rPr>
        <w:t>Рабочей группы по перевозкам опасных грузов</w:t>
      </w:r>
    </w:p>
    <w:p w14:paraId="71269F63" w14:textId="77777777" w:rsidR="007E2488" w:rsidRPr="00711962" w:rsidRDefault="007E2488" w:rsidP="007E2488">
      <w:r>
        <w:t>Берн, 16–20 марта 2020 года</w:t>
      </w:r>
    </w:p>
    <w:p w14:paraId="71BD92CC" w14:textId="77777777" w:rsidR="007E2488" w:rsidRPr="00711962" w:rsidRDefault="007E2488" w:rsidP="007E2488">
      <w:r>
        <w:t>Пункт 5 а) предварительной повестки дня</w:t>
      </w:r>
    </w:p>
    <w:p w14:paraId="10B58370" w14:textId="77777777" w:rsidR="007E2488" w:rsidRPr="00711962" w:rsidRDefault="007E2488" w:rsidP="007E2488">
      <w:pPr>
        <w:spacing w:line="240" w:lineRule="auto"/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 w:rsidR="00971334">
        <w:rPr>
          <w:b/>
          <w:bCs/>
        </w:rPr>
        <w:br/>
      </w:r>
      <w:r>
        <w:rPr>
          <w:b/>
          <w:bCs/>
        </w:rPr>
        <w:t>в МПОГ/ДОПОГ/ВОПОГ: нерассмотренные вопросы</w:t>
      </w:r>
    </w:p>
    <w:p w14:paraId="1E8025BF" w14:textId="77777777" w:rsidR="007E2488" w:rsidRPr="00711962" w:rsidRDefault="007E2488" w:rsidP="007E2488">
      <w:pPr>
        <w:pStyle w:val="HChG"/>
        <w:spacing w:before="240" w:after="120" w:line="240" w:lineRule="exact"/>
      </w:pPr>
      <w:r>
        <w:tab/>
      </w:r>
      <w:r>
        <w:tab/>
      </w:r>
      <w:r>
        <w:rPr>
          <w:bCs/>
        </w:rPr>
        <w:t>Требования к конструктивной пригодности грузовых транспортных единиц</w:t>
      </w:r>
    </w:p>
    <w:p w14:paraId="3534E3DC" w14:textId="77777777" w:rsidR="007E2488" w:rsidRPr="00971334" w:rsidRDefault="007E2488" w:rsidP="00971334">
      <w:pPr>
        <w:pStyle w:val="H1G"/>
        <w:rPr>
          <w:b w:val="0"/>
          <w:szCs w:val="24"/>
        </w:rPr>
      </w:pPr>
      <w:r>
        <w:tab/>
      </w:r>
      <w:r>
        <w:tab/>
        <w:t>Передано экспертом Европейского совета химической промышленности (ЕСФХП)</w:t>
      </w:r>
      <w:r w:rsidRPr="0097133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>
        <w:rPr>
          <w:rStyle w:val="FootnoteReference"/>
          <w:bCs/>
          <w:sz w:val="20"/>
        </w:rPr>
        <w:t xml:space="preserve"> </w:t>
      </w:r>
      <w:r w:rsidRPr="0097133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351"/>
      </w:tblGrid>
      <w:tr w:rsidR="007E2488" w:rsidRPr="00E940D0" w14:paraId="73321DB4" w14:textId="77777777" w:rsidTr="00802801">
        <w:trPr>
          <w:jc w:val="center"/>
        </w:trPr>
        <w:tc>
          <w:tcPr>
            <w:tcW w:w="9351" w:type="dxa"/>
            <w:shd w:val="clear" w:color="auto" w:fill="auto"/>
          </w:tcPr>
          <w:p w14:paraId="49162FBC" w14:textId="77777777" w:rsidR="007E2488" w:rsidRPr="00971334" w:rsidRDefault="007E2488" w:rsidP="00802801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971334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7E2488" w:rsidRPr="006225ED" w14:paraId="7B9D5BC2" w14:textId="77777777" w:rsidTr="00802801">
        <w:trPr>
          <w:jc w:val="center"/>
        </w:trPr>
        <w:tc>
          <w:tcPr>
            <w:tcW w:w="9351" w:type="dxa"/>
            <w:shd w:val="clear" w:color="auto" w:fill="auto"/>
          </w:tcPr>
          <w:p w14:paraId="64AA7D7F" w14:textId="77777777" w:rsidR="007E2488" w:rsidRPr="00711962" w:rsidRDefault="007E2488" w:rsidP="00985497">
            <w:pPr>
              <w:pStyle w:val="SingleTxtG"/>
              <w:tabs>
                <w:tab w:val="left" w:pos="3260"/>
                <w:tab w:val="left" w:pos="3592"/>
              </w:tabs>
              <w:ind w:left="3586" w:right="1138" w:hanging="2448"/>
            </w:pPr>
            <w:r>
              <w:rPr>
                <w:b/>
                <w:bCs/>
              </w:rPr>
              <w:t>Существо предложения:</w:t>
            </w:r>
            <w:r>
              <w:tab/>
            </w:r>
            <w:r w:rsidR="00917CAF">
              <w:t xml:space="preserve">возобновляется </w:t>
            </w:r>
            <w:r>
              <w:t>обсуждение вопроса о требованиях в отношении «конструктивной пригодности» грузовых транспортных единиц с учетом недавних решений Подкомитета экспертов по перевозке опасных грузов, принятых на его пятьдесят шестой сессии.</w:t>
            </w:r>
          </w:p>
        </w:tc>
      </w:tr>
      <w:tr w:rsidR="007E2488" w:rsidRPr="006225ED" w14:paraId="54D1A4D2" w14:textId="77777777" w:rsidTr="00802801">
        <w:trPr>
          <w:jc w:val="center"/>
        </w:trPr>
        <w:tc>
          <w:tcPr>
            <w:tcW w:w="9351" w:type="dxa"/>
            <w:shd w:val="clear" w:color="auto" w:fill="auto"/>
          </w:tcPr>
          <w:p w14:paraId="5ED60D86" w14:textId="1F8DD145" w:rsidR="007E2488" w:rsidRPr="00711962" w:rsidRDefault="007E2488" w:rsidP="00985497">
            <w:pPr>
              <w:pStyle w:val="SingleTxtG"/>
              <w:tabs>
                <w:tab w:val="left" w:pos="3260"/>
                <w:tab w:val="left" w:pos="3592"/>
              </w:tabs>
              <w:ind w:left="3586" w:right="1138" w:hanging="2448"/>
            </w:pPr>
            <w:r>
              <w:rPr>
                <w:b/>
                <w:bCs/>
              </w:rPr>
              <w:t>Предлагаемое решение:</w:t>
            </w:r>
            <w:r>
              <w:tab/>
            </w:r>
            <w:r w:rsidR="00917CAF">
              <w:t xml:space="preserve">предлагается </w:t>
            </w:r>
            <w:r>
              <w:t>внести поправки в пункты 7.1.4 и 7.3.1.13 МПОГ/ДОПОГ.</w:t>
            </w:r>
          </w:p>
        </w:tc>
      </w:tr>
      <w:tr w:rsidR="007E2488" w:rsidRPr="006225ED" w14:paraId="4A72613C" w14:textId="77777777" w:rsidTr="00802801">
        <w:trPr>
          <w:jc w:val="center"/>
        </w:trPr>
        <w:tc>
          <w:tcPr>
            <w:tcW w:w="9351" w:type="dxa"/>
            <w:shd w:val="clear" w:color="auto" w:fill="auto"/>
          </w:tcPr>
          <w:p w14:paraId="4E25DF6A" w14:textId="77777777" w:rsidR="00985497" w:rsidRDefault="007E2488" w:rsidP="00985497">
            <w:pPr>
              <w:pStyle w:val="SingleTxtG"/>
              <w:tabs>
                <w:tab w:val="left" w:pos="3260"/>
                <w:tab w:val="left" w:pos="3592"/>
              </w:tabs>
              <w:spacing w:after="0"/>
              <w:ind w:left="3589" w:right="1140" w:hanging="2449"/>
            </w:pPr>
            <w:r>
              <w:rPr>
                <w:b/>
                <w:bCs/>
              </w:rPr>
              <w:t>Справочные документы:</w:t>
            </w:r>
            <w:r>
              <w:tab/>
            </w:r>
            <w:r w:rsidR="00917CAF">
              <w:t xml:space="preserve">неофициальный </w:t>
            </w:r>
            <w:r>
              <w:t xml:space="preserve">документ INF.15 осенней сессии Совместного совещания 2017 года (ЕСФХП); </w:t>
            </w:r>
          </w:p>
          <w:p w14:paraId="769A40A6" w14:textId="77777777" w:rsidR="00985497" w:rsidRDefault="00985497" w:rsidP="00985497">
            <w:pPr>
              <w:pStyle w:val="SingleTxtG"/>
              <w:tabs>
                <w:tab w:val="left" w:pos="3260"/>
                <w:tab w:val="left" w:pos="3592"/>
              </w:tabs>
              <w:spacing w:after="0"/>
              <w:ind w:left="3589" w:right="1140" w:hanging="2449"/>
            </w:pPr>
            <w:r>
              <w:tab/>
            </w:r>
            <w:r>
              <w:tab/>
            </w:r>
            <w:r w:rsidR="007E2488">
              <w:t>ECE/TRANS/WP.15/AC.1/2018/148, пункт 31 (доклад Совместного совещания Комиссии экспертов МПОГ и</w:t>
            </w:r>
            <w:r>
              <w:rPr>
                <w:lang w:val="en-US"/>
              </w:rPr>
              <w:t> </w:t>
            </w:r>
            <w:r w:rsidR="007E2488">
              <w:t>Рабочей группы по перевозкам опасных грузов о</w:t>
            </w:r>
            <w:r>
              <w:rPr>
                <w:lang w:val="en-US"/>
              </w:rPr>
              <w:t> </w:t>
            </w:r>
            <w:r w:rsidR="007E2488">
              <w:t>работе его осенней сессии 2017</w:t>
            </w:r>
            <w:r>
              <w:rPr>
                <w:lang w:val="en-US"/>
              </w:rPr>
              <w:t> </w:t>
            </w:r>
            <w:r w:rsidR="007E2488">
              <w:t xml:space="preserve">года); </w:t>
            </w:r>
          </w:p>
          <w:p w14:paraId="09ACEFA6" w14:textId="45832DE4" w:rsidR="007E2488" w:rsidRPr="00711962" w:rsidRDefault="00985497" w:rsidP="00985497">
            <w:pPr>
              <w:pStyle w:val="SingleTxtG"/>
              <w:tabs>
                <w:tab w:val="left" w:pos="3260"/>
                <w:tab w:val="left" w:pos="3592"/>
              </w:tabs>
              <w:ind w:left="3586" w:right="1138" w:hanging="2448"/>
            </w:pPr>
            <w:r>
              <w:tab/>
            </w:r>
            <w:r>
              <w:tab/>
            </w:r>
            <w:r w:rsidR="007E2488">
              <w:t>ST/SG/AC.10/C.3/2019/40 (Германия, ЕСФХП), Подкомитет экспертов по перевозке опасных грузов, пятьдесят шестая сессия.</w:t>
            </w:r>
          </w:p>
        </w:tc>
      </w:tr>
      <w:tr w:rsidR="007E2488" w:rsidRPr="006225ED" w14:paraId="76664BFE" w14:textId="77777777" w:rsidTr="00802801">
        <w:trPr>
          <w:jc w:val="center"/>
        </w:trPr>
        <w:tc>
          <w:tcPr>
            <w:tcW w:w="9351" w:type="dxa"/>
            <w:shd w:val="clear" w:color="auto" w:fill="auto"/>
          </w:tcPr>
          <w:p w14:paraId="210921E7" w14:textId="77777777" w:rsidR="007E2488" w:rsidRPr="00971334" w:rsidRDefault="007E2488" w:rsidP="00971334"/>
        </w:tc>
      </w:tr>
    </w:tbl>
    <w:p w14:paraId="4D7E4E80" w14:textId="77777777" w:rsidR="007E2488" w:rsidRPr="009A2C3D" w:rsidRDefault="007E2488" w:rsidP="007E2488">
      <w:pPr>
        <w:pStyle w:val="HChG"/>
        <w:spacing w:before="240"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01966ED4" w14:textId="77777777" w:rsidR="007E2488" w:rsidRPr="00F7579D" w:rsidRDefault="007E2488" w:rsidP="007E2488">
      <w:pPr>
        <w:pStyle w:val="SingleTxtG"/>
      </w:pPr>
      <w:r>
        <w:t>1.</w:t>
      </w:r>
      <w:r>
        <w:tab/>
        <w:t>В настоящем документе резюмируется отличающаяся сфера охвата требований в отношении конструктивной пригодности в соответствии с пунктом 7.1.3.3.1 Типовых правил, применимых к грузовым транспортным единицам при их использовании для перевозки только взрывчатых веществ и изделий класса 1, в том виде, в каком они установлены в разделе 7.1.2 МКМПОГ, в сравнении с требованиями в отношении конструктивной пригодности больших контейнеров, изложенными в пункте 7.1.4 МПОГ/ДОПОГ, которые в целом применимы к перевозке грузов всех классов. Таким образом, применение требований в отношении конструктивной пригодности не согласовано между различными видами транспорта, за единственным исключением контейнеров для массовых грузов или мягких контейнеров для массовых грузов, для которых требования предписаны в пунктах 7.3.1.13 и 7.3.2.10 МПОГ/ДОПОГ, включенных соответственно в МКМПОГ.</w:t>
      </w:r>
    </w:p>
    <w:p w14:paraId="032664D4" w14:textId="77777777" w:rsidR="007E2488" w:rsidRPr="00F7579D" w:rsidRDefault="007E2488" w:rsidP="007E2488">
      <w:pPr>
        <w:pStyle w:val="HChG"/>
        <w:spacing w:before="240"/>
      </w:pPr>
      <w:r>
        <w:tab/>
      </w:r>
      <w:r>
        <w:tab/>
      </w:r>
      <w:r>
        <w:rPr>
          <w:bCs/>
        </w:rPr>
        <w:t>Справочная информация</w:t>
      </w:r>
    </w:p>
    <w:p w14:paraId="72F6DA20" w14:textId="77777777" w:rsidR="007E2488" w:rsidRPr="00F7579D" w:rsidRDefault="007E2488" w:rsidP="007E2488">
      <w:pPr>
        <w:pStyle w:val="SingleTxtG"/>
      </w:pPr>
      <w:r>
        <w:t>2.</w:t>
      </w:r>
      <w:r>
        <w:tab/>
        <w:t>Вопрос об отсутствии согласования обсуждался в неофициальном документе</w:t>
      </w:r>
      <w:r w:rsidR="00971334">
        <w:rPr>
          <w:lang w:val="en-US"/>
        </w:rPr>
        <w:t> </w:t>
      </w:r>
      <w:r>
        <w:t>INF.15, подготовленном ЕСФХП для сессии Совместного совещания МПОГ/ДОПОГ/ВОПОГ в сентябре 2017 года</w:t>
      </w:r>
      <w:r>
        <w:rPr>
          <w:rStyle w:val="FootnoteReference"/>
        </w:rPr>
        <w:footnoteReference w:customMarkFollows="1" w:id="3"/>
        <w:t>1</w:t>
      </w:r>
      <w:r w:rsidR="008C059E">
        <w:rPr>
          <w:rStyle w:val="FootnoteReference"/>
          <w:vertAlign w:val="baseline"/>
        </w:rPr>
        <w:t>.</w:t>
      </w:r>
      <w:r>
        <w:t xml:space="preserve"> Совместное совещание сочло, что ЕСФХП следует в первую очередь довести свою обеспокоенность до сведения Подкомитета экспертов Организации Объединенных Наций, что позволит ему представить официальное предложение с учетом мнения Подкомитета (ECE/TRANS/</w:t>
      </w:r>
      <w:r w:rsidR="00971334">
        <w:br/>
      </w:r>
      <w:r>
        <w:t>WP.15/AC.1/2018/148).</w:t>
      </w:r>
    </w:p>
    <w:p w14:paraId="031B0369" w14:textId="77777777" w:rsidR="007E2488" w:rsidRPr="00F7579D" w:rsidRDefault="007E2488" w:rsidP="007E2488">
      <w:pPr>
        <w:pStyle w:val="SingleTxtG"/>
      </w:pPr>
      <w:r>
        <w:t>3.</w:t>
      </w:r>
      <w:r>
        <w:tab/>
        <w:t>На пятьдесят шестой сессии Подкомитета эксперты от Германии и ЕСФХП совместно представили предложения по унификации требования в отношении «конструктивной пригодности» для всех контейнеров (ST/SG/AC.10/C.3/2019/40)</w:t>
      </w:r>
      <w:r>
        <w:rPr>
          <w:rStyle w:val="FootnoteReference"/>
        </w:rPr>
        <w:footnoteReference w:customMarkFollows="1" w:id="4"/>
        <w:t>2</w:t>
      </w:r>
      <w:r w:rsidR="00971334" w:rsidRPr="00985497">
        <w:rPr>
          <w:rStyle w:val="FootnoteReference"/>
          <w:vertAlign w:val="baseline"/>
        </w:rPr>
        <w:t>.</w:t>
      </w:r>
      <w:r>
        <w:t xml:space="preserve"> Большинство делегаций сочли, что существующие различия между требованиями в отношении «конструктивной пригодности» грузовых транспортных единиц для перевозки взрывчатых веществ и соответствующими требованиями для грузов других классов являются неоправданными, и приветствовали согласованный подход для всех видов транспорта. Предложенные поправки к соответствующим разделам Типовых правил ООН были в итоге приняты без дальнейших изменений.</w:t>
      </w:r>
    </w:p>
    <w:p w14:paraId="3E5E8F2A" w14:textId="77777777" w:rsidR="007E2488" w:rsidRPr="00F7579D" w:rsidRDefault="007E2488" w:rsidP="007E2488">
      <w:pPr>
        <w:pStyle w:val="HChG"/>
        <w:spacing w:before="240"/>
        <w:rPr>
          <w:rFonts w:eastAsiaTheme="minorEastAsia"/>
        </w:rPr>
      </w:pPr>
      <w:r>
        <w:tab/>
      </w:r>
      <w:r>
        <w:tab/>
      </w:r>
      <w:r>
        <w:rPr>
          <w:bCs/>
        </w:rPr>
        <w:t>Заключение</w:t>
      </w:r>
    </w:p>
    <w:p w14:paraId="4CA704B1" w14:textId="77777777" w:rsidR="007E2488" w:rsidRPr="00F7579D" w:rsidRDefault="007E2488" w:rsidP="007E2488">
      <w:pPr>
        <w:pStyle w:val="SingleTxtG"/>
      </w:pPr>
      <w:r>
        <w:t>4.</w:t>
      </w:r>
      <w:r>
        <w:tab/>
        <w:t>Все грузовые транспортные единицы, используемые для перевозки опасных грузов, должны быть конструктивно пригодными, т.</w:t>
      </w:r>
      <w:r w:rsidR="008C059E">
        <w:t> </w:t>
      </w:r>
      <w:r>
        <w:t>е. нынешний подход в рамках МПОГ/ДОПОГ должен быть сохранен. Однако определение термина «конструктивно пригодный» следует изменить с учетом развития технического прогресса в последние годы. Ссылки на выбоины или изгибы глубиной более 19 мм и на соединения следует исключить. Техническое обоснование критерия «19 мм» отсутствует, и его применение приводит к проблемам на практике, поскольку противоречит «Рекомендациям по согласованному толкованию и осуществлению Международной конвенции по безопасным контейнерам 1972 года», обновленным в 2013 году, включая руководство по серьезным конструктивным недостаткам в контейнерах (циркуляр ИМО CSC.1/Circ.138/Rev.1).</w:t>
      </w:r>
    </w:p>
    <w:p w14:paraId="3E6BE141" w14:textId="77777777" w:rsidR="007E2488" w:rsidRPr="00F7579D" w:rsidRDefault="007E2488" w:rsidP="007E2488">
      <w:pPr>
        <w:pStyle w:val="SingleTxtG"/>
      </w:pPr>
      <w:r>
        <w:t>5.</w:t>
      </w:r>
      <w:r>
        <w:tab/>
        <w:t>На основе недавно принятого текста, подготовленного для двадцать второго пересмотренного издания Типовых правил ООН (с 2021 года), о требовании в отношении «конструктивной пригодности» грузовых транспортных единиц, применяемых для перевозки опасных грузов всех классов, предлагаются поправки к соответствующим разделам МПОГ/ДОПОГ.</w:t>
      </w:r>
    </w:p>
    <w:p w14:paraId="4BAD441E" w14:textId="77777777" w:rsidR="007E2488" w:rsidRPr="00711962" w:rsidRDefault="007E2488" w:rsidP="007E2488">
      <w:pPr>
        <w:pStyle w:val="HChG"/>
        <w:spacing w:before="240"/>
        <w:rPr>
          <w:rFonts w:eastAsiaTheme="minorEastAsia"/>
        </w:rPr>
      </w:pPr>
      <w:r w:rsidRPr="00BD6D36">
        <w:lastRenderedPageBreak/>
        <w:tab/>
      </w:r>
      <w:r w:rsidRPr="00BD6D36">
        <w:tab/>
      </w:r>
      <w:r w:rsidRPr="00BD6D36">
        <w:tab/>
      </w:r>
      <w:r>
        <w:rPr>
          <w:bCs/>
        </w:rPr>
        <w:t>Предложение</w:t>
      </w:r>
    </w:p>
    <w:p w14:paraId="511B1401" w14:textId="77777777" w:rsidR="007E2488" w:rsidRPr="00711962" w:rsidRDefault="007E2488" w:rsidP="007E2488">
      <w:pPr>
        <w:pStyle w:val="SingleTxtG"/>
        <w:rPr>
          <w:b/>
        </w:rPr>
      </w:pPr>
      <w:r>
        <w:t>6.</w:t>
      </w:r>
      <w:r>
        <w:tab/>
      </w:r>
      <w:bookmarkStart w:id="1" w:name="_Hlk29461505"/>
      <w:r>
        <w:t xml:space="preserve">Предлагается изменить пункт 7.1.4 ДОПОГ следующим образом, при этом текст, относящийся только к МПОГ, заключен в [квадратные скобки] (исключенный текст выделен </w:t>
      </w:r>
      <w:r>
        <w:rPr>
          <w:strike/>
        </w:rPr>
        <w:t>зачеркиванием</w:t>
      </w:r>
      <w:r>
        <w:t xml:space="preserve">; новый текст </w:t>
      </w:r>
      <w:r>
        <w:rPr>
          <w:u w:val="single"/>
        </w:rPr>
        <w:t>подчеркнут</w:t>
      </w:r>
      <w:r>
        <w:t xml:space="preserve">): </w:t>
      </w:r>
    </w:p>
    <w:bookmarkEnd w:id="1"/>
    <w:p w14:paraId="16DB53CA" w14:textId="77777777" w:rsidR="007E2488" w:rsidRPr="00711962" w:rsidRDefault="007E2488" w:rsidP="007E2488">
      <w:pPr>
        <w:tabs>
          <w:tab w:val="left" w:pos="2694"/>
        </w:tabs>
        <w:spacing w:after="120"/>
        <w:ind w:left="2552" w:right="1134" w:hanging="851"/>
        <w:jc w:val="both"/>
        <w:rPr>
          <w:i/>
          <w:strike/>
        </w:rPr>
      </w:pPr>
      <w:r>
        <w:t>«</w:t>
      </w:r>
      <w:r>
        <w:rPr>
          <w:i/>
          <w:iCs/>
        </w:rPr>
        <w:t>7.1.4</w:t>
      </w:r>
      <w:r>
        <w:tab/>
      </w:r>
      <w:r>
        <w:rPr>
          <w:i/>
          <w:iCs/>
          <w:strike/>
        </w:rPr>
        <w:t>Большой контейнер может предъявляться к перевозке только в том случае, если он является конструктивно пригодным.</w:t>
      </w:r>
    </w:p>
    <w:p w14:paraId="772A35A9" w14:textId="77777777" w:rsidR="007E2488" w:rsidRPr="00711962" w:rsidRDefault="007E2488" w:rsidP="007E2488">
      <w:pPr>
        <w:tabs>
          <w:tab w:val="left" w:pos="2694"/>
        </w:tabs>
        <w:spacing w:after="120"/>
        <w:ind w:left="2552" w:right="1134"/>
        <w:jc w:val="both"/>
        <w:rPr>
          <w:i/>
          <w:strike/>
        </w:rPr>
      </w:pPr>
      <w:r>
        <w:rPr>
          <w:i/>
          <w:iCs/>
          <w:strike/>
        </w:rPr>
        <w:t>Термин "конструктивно пригодный" означает, что контейнер не имеет крупных дефектов в таких своих конструкционных компонентах, как верхняя и нижняя боковые балки, порог двери и ее стык, поперечные детали покрытия пола, угловые стойки и угловые фитинги.</w:t>
      </w:r>
      <w:r>
        <w:t xml:space="preserve"> </w:t>
      </w:r>
      <w:r>
        <w:rPr>
          <w:i/>
          <w:iCs/>
          <w:strike/>
        </w:rPr>
        <w:t>"Крупными дефектами" являются изгибы или выбоины глубиной более 19 мм в конструкционных деталях, независимо от их длины;</w:t>
      </w:r>
      <w:r>
        <w:t xml:space="preserve"> </w:t>
      </w:r>
      <w:r>
        <w:rPr>
          <w:i/>
          <w:iCs/>
          <w:strike/>
        </w:rPr>
        <w:t>трещины или поломка конструкционных деталей;</w:t>
      </w:r>
      <w:r>
        <w:t xml:space="preserve"> </w:t>
      </w:r>
      <w:r>
        <w:rPr>
          <w:i/>
          <w:iCs/>
          <w:strike/>
        </w:rPr>
        <w:t>более одного соединения или неправильное соединение (например, внахлест) верхних или нижних торцевых балок или дверных стыков, либо более двух соединений в любой верхней или нижней боковой балке или любое соединение в дверном пороге или угловых стойках;</w:t>
      </w:r>
      <w:r>
        <w:t xml:space="preserve"> </w:t>
      </w:r>
      <w:r>
        <w:rPr>
          <w:i/>
          <w:iCs/>
          <w:strike/>
        </w:rPr>
        <w:t>дверные петли и другая металлическая гарнитура, которые заклинены, деформированы, поломаны, отсутствуют или являются в том или ином отношении непригодными;</w:t>
      </w:r>
      <w:r>
        <w:t xml:space="preserve"> </w:t>
      </w:r>
      <w:r>
        <w:rPr>
          <w:i/>
          <w:iCs/>
          <w:strike/>
        </w:rPr>
        <w:t>негерметичные прокладки, изоляционные материалы и уплотнители;</w:t>
      </w:r>
      <w:r>
        <w:t xml:space="preserve"> </w:t>
      </w:r>
      <w:r>
        <w:rPr>
          <w:i/>
          <w:iCs/>
          <w:strike/>
        </w:rPr>
        <w:t>какие-либо нарушения общей конфигурации, являющиеся достаточно значительными, чтобы препятствовать надлежащему применению погрузочно-разгрузочных средств, установке и закреплению на шасси или транспортном средстве.</w:t>
      </w:r>
    </w:p>
    <w:p w14:paraId="295986F6" w14:textId="77777777" w:rsidR="007E2488" w:rsidRPr="00711962" w:rsidRDefault="007E2488" w:rsidP="007E2488">
      <w:pPr>
        <w:tabs>
          <w:tab w:val="left" w:pos="2694"/>
        </w:tabs>
        <w:spacing w:after="120"/>
        <w:ind w:left="2552" w:right="1134"/>
        <w:jc w:val="both"/>
        <w:rPr>
          <w:i/>
          <w:strike/>
        </w:rPr>
      </w:pPr>
      <w:r>
        <w:rPr>
          <w:i/>
          <w:iCs/>
          <w:strike/>
        </w:rPr>
        <w:t>Кроме того, недопустимо ухудшение состояния любой детали контейнера, независимо от конструкционного материала, например проржавевший металл стенок или разрушенный фибергласс.</w:t>
      </w:r>
      <w:r>
        <w:t xml:space="preserve"> </w:t>
      </w:r>
      <w:r>
        <w:rPr>
          <w:i/>
          <w:iCs/>
          <w:strike/>
        </w:rPr>
        <w:t>Допустим, однако, нормальный износ, включая окисление (ржавчину), незначительные погнутости, вмятины и царапины, а также другие повреждения, не влияющие на пригодность к использованию или на стойкость к воздействию атмосферы.</w:t>
      </w:r>
    </w:p>
    <w:p w14:paraId="6A9B5ADD" w14:textId="77777777" w:rsidR="007E2488" w:rsidRPr="00711962" w:rsidRDefault="007E2488" w:rsidP="007E2488">
      <w:pPr>
        <w:tabs>
          <w:tab w:val="left" w:pos="2694"/>
        </w:tabs>
        <w:spacing w:after="120"/>
        <w:ind w:left="2552" w:right="1134"/>
        <w:jc w:val="both"/>
        <w:rPr>
          <w:i/>
          <w:strike/>
        </w:rPr>
      </w:pPr>
      <w:r>
        <w:rPr>
          <w:i/>
          <w:iCs/>
          <w:strike/>
        </w:rPr>
        <w:t>Перед загрузкой контейнер должен быть также проверен, с тем чтобы убедиться в отсутствии в нем каких-либо остатков предшествующего груза и в отсутствии выступов на внутренних стенках и поверхности пола.</w:t>
      </w:r>
    </w:p>
    <w:p w14:paraId="64F9C5C5" w14:textId="77777777" w:rsidR="007E2488" w:rsidRPr="00711962" w:rsidRDefault="007E2488" w:rsidP="007E2488">
      <w:pPr>
        <w:tabs>
          <w:tab w:val="left" w:pos="2552"/>
        </w:tabs>
        <w:spacing w:after="120"/>
        <w:ind w:left="2552" w:right="1134"/>
        <w:jc w:val="both"/>
        <w:rPr>
          <w:i/>
          <w:u w:val="single"/>
        </w:rPr>
      </w:pPr>
      <w:r>
        <w:rPr>
          <w:i/>
          <w:iCs/>
          <w:u w:val="single"/>
        </w:rPr>
        <w:t>Перед погрузкой грузовая транспортная единица должна быть осмотрена снаружи и изнутри, с тем чтобы убедиться в отсутствии каких-либо повреждений, способных нарушить целостность грузовой транспортной единицы или груза, который в нее будет погружен.</w:t>
      </w:r>
    </w:p>
    <w:p w14:paraId="5D250F93" w14:textId="77777777" w:rsidR="007E2488" w:rsidRPr="00711962" w:rsidRDefault="007E2488" w:rsidP="007E2488">
      <w:pPr>
        <w:tabs>
          <w:tab w:val="left" w:pos="2552"/>
        </w:tabs>
        <w:spacing w:after="120"/>
        <w:ind w:left="2552" w:right="1134"/>
        <w:jc w:val="both"/>
        <w:rPr>
          <w:i/>
          <w:u w:val="single"/>
        </w:rPr>
      </w:pPr>
      <w:r>
        <w:rPr>
          <w:i/>
          <w:iCs/>
          <w:u w:val="single"/>
        </w:rPr>
        <w:t>Грузовая транспортная единица должна быть проверена, с тем чтобы убедиться в ее конструктивной пригодности, отсутствии в ней возможных остатков, несовместимых с грузом, и отсутствии на внутренней поверхности пола, стенок и потолка, где это применимо, выступов или повреждений, которые могут повлиять на содержащийся в ней груз, и отсутствии в больших контейнерах повреждений, влияющих на стойкость контейнера к воздействию погодных условий, когда это необходимо.</w:t>
      </w:r>
    </w:p>
    <w:p w14:paraId="71D361A7" w14:textId="77777777" w:rsidR="007E2488" w:rsidRPr="00711962" w:rsidRDefault="007E2488" w:rsidP="007E2488">
      <w:pPr>
        <w:spacing w:after="120"/>
        <w:ind w:left="2552" w:right="1134"/>
        <w:jc w:val="both"/>
        <w:rPr>
          <w:i/>
          <w:u w:val="single"/>
        </w:rPr>
      </w:pPr>
      <w:r>
        <w:rPr>
          <w:i/>
          <w:iCs/>
          <w:u w:val="single"/>
        </w:rPr>
        <w:t>Термин "конструктивно пригодный" означает, что грузовая транспортная единица не имеет крупных дефектов в своих конструкционных компонентах.</w:t>
      </w:r>
      <w:r w:rsidRPr="00977C9C">
        <w:rPr>
          <w:u w:val="single"/>
        </w:rPr>
        <w:t xml:space="preserve"> </w:t>
      </w:r>
      <w:r>
        <w:rPr>
          <w:i/>
          <w:iCs/>
          <w:u w:val="single"/>
        </w:rPr>
        <w:t xml:space="preserve">Конструктивными компонентами грузовых транспортных единиц для мультимодальных целей являются, например, верхние и нижние боковые балки, верхние и </w:t>
      </w:r>
      <w:r>
        <w:rPr>
          <w:i/>
          <w:iCs/>
          <w:u w:val="single"/>
        </w:rPr>
        <w:lastRenderedPageBreak/>
        <w:t>нижние торцевые поперечные элементы, угловые стойки, угловые фитинги и для больших контейнеров порог двери, верхний брус дверной рамы и поперечные детали покрытия пола.</w:t>
      </w:r>
      <w:r w:rsidRPr="00977C9C">
        <w:rPr>
          <w:u w:val="single"/>
        </w:rPr>
        <w:t xml:space="preserve"> </w:t>
      </w:r>
      <w:r>
        <w:rPr>
          <w:i/>
          <w:iCs/>
          <w:u w:val="single"/>
        </w:rPr>
        <w:t>Крупными дефектами являются:</w:t>
      </w:r>
    </w:p>
    <w:p w14:paraId="5556290C" w14:textId="77777777" w:rsidR="007E2488" w:rsidRPr="00977C9C" w:rsidRDefault="007E2488" w:rsidP="007E2488">
      <w:pPr>
        <w:spacing w:after="120"/>
        <w:ind w:left="3119" w:right="1134" w:hanging="567"/>
        <w:jc w:val="both"/>
        <w:rPr>
          <w:i/>
          <w:iCs/>
          <w:u w:val="single"/>
        </w:rPr>
      </w:pPr>
      <w:r w:rsidRPr="00977C9C">
        <w:rPr>
          <w:i/>
          <w:iCs/>
          <w:u w:val="single"/>
        </w:rPr>
        <w:t>а)</w:t>
      </w:r>
      <w:r w:rsidRPr="00977C9C">
        <w:rPr>
          <w:i/>
          <w:iCs/>
          <w:u w:val="single"/>
        </w:rPr>
        <w:tab/>
        <w:t>изгибы, трещины или разрывы в конструкционных или опорных элементах и любое повреждение сервисного или эксплуатационного оборудования, которое нарушает целостность единицы;</w:t>
      </w:r>
    </w:p>
    <w:p w14:paraId="6571820E" w14:textId="77777777" w:rsidR="007E2488" w:rsidRPr="00977C9C" w:rsidRDefault="007E2488" w:rsidP="007E2488">
      <w:pPr>
        <w:spacing w:after="120"/>
        <w:ind w:left="3119" w:right="1134" w:hanging="567"/>
        <w:jc w:val="both"/>
        <w:rPr>
          <w:i/>
          <w:iCs/>
          <w:u w:val="single"/>
        </w:rPr>
      </w:pPr>
      <w:r w:rsidRPr="00977C9C">
        <w:rPr>
          <w:i/>
          <w:iCs/>
          <w:u w:val="single"/>
        </w:rPr>
        <w:t>b)</w:t>
      </w:r>
      <w:r w:rsidRPr="00977C9C">
        <w:rPr>
          <w:i/>
          <w:iCs/>
          <w:u w:val="single"/>
        </w:rPr>
        <w:tab/>
        <w:t>люб</w:t>
      </w:r>
      <w:r>
        <w:rPr>
          <w:i/>
          <w:iCs/>
          <w:u w:val="single"/>
        </w:rPr>
        <w:t>о</w:t>
      </w:r>
      <w:r w:rsidRPr="00977C9C">
        <w:rPr>
          <w:i/>
          <w:iCs/>
          <w:u w:val="single"/>
        </w:rPr>
        <w:t>е нарушени</w:t>
      </w:r>
      <w:r>
        <w:rPr>
          <w:i/>
          <w:iCs/>
          <w:u w:val="single"/>
        </w:rPr>
        <w:t>е</w:t>
      </w:r>
      <w:r w:rsidRPr="00977C9C">
        <w:rPr>
          <w:i/>
          <w:iCs/>
          <w:u w:val="single"/>
        </w:rPr>
        <w:t xml:space="preserve"> общей конфигурации или любое повреждение подъемных приспособлени</w:t>
      </w:r>
      <w:r>
        <w:rPr>
          <w:i/>
          <w:iCs/>
          <w:u w:val="single"/>
        </w:rPr>
        <w:t>й</w:t>
      </w:r>
      <w:r w:rsidRPr="00977C9C">
        <w:rPr>
          <w:i/>
          <w:iCs/>
          <w:u w:val="single"/>
        </w:rPr>
        <w:t xml:space="preserve"> или </w:t>
      </w:r>
      <w:r>
        <w:rPr>
          <w:i/>
          <w:iCs/>
          <w:u w:val="single"/>
        </w:rPr>
        <w:t>стыковочных</w:t>
      </w:r>
      <w:r w:rsidRPr="00977C9C">
        <w:rPr>
          <w:i/>
          <w:iCs/>
          <w:u w:val="single"/>
        </w:rPr>
        <w:t xml:space="preserve"> устройств погрузочно-разгрузочного оборудования, являющ</w:t>
      </w:r>
      <w:r>
        <w:rPr>
          <w:i/>
          <w:iCs/>
          <w:u w:val="single"/>
        </w:rPr>
        <w:t>е</w:t>
      </w:r>
      <w:r w:rsidRPr="00977C9C">
        <w:rPr>
          <w:i/>
          <w:iCs/>
          <w:u w:val="single"/>
        </w:rPr>
        <w:t xml:space="preserve">еся достаточно значительными, чтобы препятствовать надлежащему применению </w:t>
      </w:r>
      <w:bookmarkStart w:id="2" w:name="_Hlk29462068"/>
      <w:r w:rsidRPr="00977C9C">
        <w:rPr>
          <w:i/>
          <w:iCs/>
          <w:u w:val="single"/>
        </w:rPr>
        <w:t>погрузочно-разгрузочн</w:t>
      </w:r>
      <w:r>
        <w:rPr>
          <w:i/>
          <w:iCs/>
          <w:u w:val="single"/>
        </w:rPr>
        <w:t>ого</w:t>
      </w:r>
      <w:r w:rsidRPr="00977C9C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оборудования</w:t>
      </w:r>
      <w:bookmarkEnd w:id="2"/>
      <w:r>
        <w:rPr>
          <w:i/>
          <w:iCs/>
          <w:u w:val="single"/>
        </w:rPr>
        <w:t>,</w:t>
      </w:r>
      <w:r w:rsidRPr="00977C9C">
        <w:rPr>
          <w:i/>
          <w:iCs/>
          <w:u w:val="single"/>
        </w:rPr>
        <w:t xml:space="preserve"> установке и закреплению на шасси, транспортном средстве или вагоне или установке в контейнерные ячейки на судне; и, когда это </w:t>
      </w:r>
      <w:r>
        <w:rPr>
          <w:i/>
          <w:iCs/>
          <w:u w:val="single"/>
        </w:rPr>
        <w:t>применимо,</w:t>
      </w:r>
    </w:p>
    <w:p w14:paraId="4E9744FA" w14:textId="77777777" w:rsidR="007E2488" w:rsidRPr="00977C9C" w:rsidRDefault="007E2488" w:rsidP="007E2488">
      <w:pPr>
        <w:spacing w:after="120"/>
        <w:ind w:left="3119" w:right="1134" w:hanging="567"/>
        <w:jc w:val="both"/>
        <w:rPr>
          <w:i/>
          <w:iCs/>
          <w:u w:val="single"/>
        </w:rPr>
      </w:pPr>
      <w:r w:rsidRPr="00977C9C">
        <w:rPr>
          <w:i/>
          <w:iCs/>
          <w:u w:val="single"/>
        </w:rPr>
        <w:t>c)</w:t>
      </w:r>
      <w:r w:rsidRPr="00977C9C">
        <w:rPr>
          <w:i/>
          <w:iCs/>
          <w:u w:val="single"/>
        </w:rPr>
        <w:tab/>
        <w:t>дверные петли, дверные пороги и другая металлическая гарнитура, которые заклинены, деформированы, поломаны, отсутствуют или являются в том или ином отношении непригодными.</w:t>
      </w:r>
    </w:p>
    <w:p w14:paraId="1C3E0842" w14:textId="77777777" w:rsidR="007E2488" w:rsidRPr="00977C9C" w:rsidRDefault="007E2488" w:rsidP="007E2488">
      <w:pPr>
        <w:tabs>
          <w:tab w:val="left" w:pos="2127"/>
        </w:tabs>
        <w:spacing w:after="120"/>
        <w:ind w:left="2552" w:right="1134"/>
        <w:jc w:val="both"/>
        <w:rPr>
          <w:i/>
          <w:iCs/>
          <w:u w:val="single"/>
        </w:rPr>
      </w:pPr>
      <w:r w:rsidRPr="00977C9C">
        <w:rPr>
          <w:b/>
          <w:bCs/>
          <w:i/>
          <w:iCs/>
          <w:u w:val="single"/>
        </w:rPr>
        <w:t>ПРИМЕЧАНИЕ:</w:t>
      </w:r>
      <w:r w:rsidRPr="00977C9C">
        <w:rPr>
          <w:i/>
          <w:iCs/>
          <w:u w:val="single"/>
        </w:rPr>
        <w:tab/>
        <w:t>В отношении наполнения переносных цистерн и многоэлементных газовых контейнеров (МЭГК) "UN" см. главу 4.2; в отношении наполнения встроенных цистерн (автоцистерн)</w:t>
      </w:r>
      <w:r w:rsidR="00971334">
        <w:rPr>
          <w:i/>
          <w:iCs/>
          <w:u w:val="single"/>
        </w:rPr>
        <w:br/>
      </w:r>
      <w:r w:rsidRPr="00977C9C">
        <w:rPr>
          <w:i/>
          <w:iCs/>
          <w:u w:val="single"/>
        </w:rPr>
        <w:t>[вагонов-цистерн], съемных цистерн, контейнеров-цистерн и съемных кузовов-цистерн, корпуса которых изготовлены из металлических материалов, а также транспортных средств-батарей [вагонов-батарей] и многоэлементных газовых контейнеров (МЭГК) см. главу 4.3; в отношении наполнения цистерн из армированных волокном пластмасс [пластмассовых контейнеров-цистерн] см. главу 4.4; в отношении вакуумных цистерн для отходов см. главу 4.5; в отношении наполнения контейнеров для массовых грузов см. главу 7.3.</w:t>
      </w:r>
      <w:r w:rsidRPr="006A6673">
        <w:t>».</w:t>
      </w:r>
    </w:p>
    <w:p w14:paraId="12CF92DD" w14:textId="77777777" w:rsidR="007E2488" w:rsidRPr="00711962" w:rsidRDefault="007E2488" w:rsidP="007E2488">
      <w:pPr>
        <w:pStyle w:val="SingleTxtG"/>
        <w:rPr>
          <w:b/>
        </w:rPr>
      </w:pPr>
      <w:r>
        <w:t>7.</w:t>
      </w:r>
      <w:r>
        <w:tab/>
        <w:t>Предлагается изменить пункт</w:t>
      </w:r>
      <w:r w:rsidRPr="006A6673">
        <w:t xml:space="preserve"> </w:t>
      </w:r>
      <w:r>
        <w:t xml:space="preserve">7.3.1.13 ДОПОГ следующим образом, при этом текст, относящийся только к МПОГ, заключен в [квадратные скобки] (исключенный текст выделен </w:t>
      </w:r>
      <w:r>
        <w:rPr>
          <w:strike/>
        </w:rPr>
        <w:t>зачеркиванием</w:t>
      </w:r>
      <w:r>
        <w:t xml:space="preserve">; новый текст </w:t>
      </w:r>
      <w:r>
        <w:rPr>
          <w:u w:val="single"/>
        </w:rPr>
        <w:t>подчеркнут</w:t>
      </w:r>
      <w:r>
        <w:t xml:space="preserve">): </w:t>
      </w:r>
    </w:p>
    <w:p w14:paraId="4041D551" w14:textId="77777777" w:rsidR="007E2488" w:rsidRPr="00E57E9D" w:rsidRDefault="007E2488" w:rsidP="007E2488">
      <w:pPr>
        <w:tabs>
          <w:tab w:val="left" w:pos="2694"/>
        </w:tabs>
        <w:spacing w:after="120"/>
        <w:ind w:left="2552" w:right="1134" w:hanging="851"/>
        <w:jc w:val="both"/>
        <w:rPr>
          <w:i/>
        </w:rPr>
      </w:pPr>
      <w:r>
        <w:t>«</w:t>
      </w:r>
      <w:r>
        <w:rPr>
          <w:i/>
          <w:iCs/>
        </w:rPr>
        <w:t>7.3.1.13</w:t>
      </w:r>
      <w:r>
        <w:tab/>
      </w:r>
      <w:r>
        <w:rPr>
          <w:i/>
          <w:iCs/>
        </w:rPr>
        <w:t>Перед наполнением контейнер для массовых грузов, контейнер или транспортное средство [или вагон] должны подвергаться осмотру, с тем чтобы убедиться в том, что они конструктивно пригодны, что на их внутренних стенках, потолке и полу отсутствуют выступы или повреждения</w:t>
      </w:r>
      <w:r>
        <w:rPr>
          <w:i/>
          <w:iCs/>
          <w:u w:val="single"/>
        </w:rPr>
        <w:t>, способные повлиять на груз,</w:t>
      </w:r>
      <w:r>
        <w:rPr>
          <w:i/>
          <w:iCs/>
        </w:rPr>
        <w:t xml:space="preserve"> и что на внутренних вкладышах или на оборудовании для удержания вещества не имеется разрезов, разрывов или любых повреждений, которые могут поставить под угрозу их способность удерживать груз.</w:t>
      </w:r>
      <w:r>
        <w:t xml:space="preserve"> </w:t>
      </w:r>
      <w:r>
        <w:rPr>
          <w:i/>
          <w:iCs/>
        </w:rPr>
        <w:t>Термин "конструктивно пригодный" означает, что контейнер для массовых грузов, контейнер или транспортное средство [или вагон] не имеет крупных дефектов в таких своих конструкционных компонентах, как верхние и нижние боковые балки, верхние и нижние торцевые поперечные элементы, порог двери и верхний брус дверной рамы, поперечные детали покрытия пола, угловые стойки и угловые фитинги контейнера для массовых грузов или контейнера.</w:t>
      </w:r>
      <w:r>
        <w:t xml:space="preserve"> </w:t>
      </w:r>
      <w:r>
        <w:rPr>
          <w:i/>
          <w:iCs/>
        </w:rPr>
        <w:t>Крупными дефектами [</w:t>
      </w:r>
      <w:r>
        <w:rPr>
          <w:i/>
          <w:iCs/>
          <w:strike/>
        </w:rPr>
        <w:t>, когда это имеет отношение к соответствующим транспортным средствам,</w:t>
      </w:r>
      <w:r>
        <w:rPr>
          <w:i/>
          <w:iCs/>
        </w:rPr>
        <w:t>] являются:</w:t>
      </w:r>
    </w:p>
    <w:p w14:paraId="38A164A2" w14:textId="77777777" w:rsidR="007E2488" w:rsidRPr="006A6673" w:rsidRDefault="007E2488" w:rsidP="007E2488">
      <w:pPr>
        <w:spacing w:after="120"/>
        <w:ind w:left="3119" w:right="1134" w:hanging="567"/>
        <w:jc w:val="both"/>
        <w:rPr>
          <w:i/>
          <w:iCs/>
        </w:rPr>
      </w:pPr>
      <w:r w:rsidRPr="006A6673">
        <w:rPr>
          <w:i/>
          <w:iCs/>
        </w:rPr>
        <w:t>а)</w:t>
      </w:r>
      <w:r w:rsidRPr="006A6673">
        <w:rPr>
          <w:i/>
          <w:iCs/>
        </w:rPr>
        <w:tab/>
        <w:t xml:space="preserve">изгибы, трещины или разрывы в конструкционных или опорных элементах </w:t>
      </w:r>
      <w:r w:rsidRPr="006A6673">
        <w:rPr>
          <w:i/>
          <w:iCs/>
          <w:u w:val="single"/>
        </w:rPr>
        <w:t>и любое повреждение сервисного или эксплуатационного оборудования</w:t>
      </w:r>
      <w:r w:rsidRPr="006A6673">
        <w:rPr>
          <w:i/>
          <w:iCs/>
        </w:rPr>
        <w:t>, котор</w:t>
      </w:r>
      <w:r w:rsidRPr="006A6673">
        <w:rPr>
          <w:i/>
          <w:iCs/>
          <w:strike/>
        </w:rPr>
        <w:t>ые</w:t>
      </w:r>
      <w:r w:rsidRPr="006A6673">
        <w:rPr>
          <w:i/>
          <w:iCs/>
          <w:u w:val="single"/>
        </w:rPr>
        <w:t>ое</w:t>
      </w:r>
      <w:r w:rsidRPr="006A6673">
        <w:rPr>
          <w:i/>
          <w:iCs/>
        </w:rPr>
        <w:t xml:space="preserve"> наруша</w:t>
      </w:r>
      <w:r w:rsidRPr="006A6673">
        <w:rPr>
          <w:i/>
          <w:iCs/>
          <w:strike/>
        </w:rPr>
        <w:t>ют</w:t>
      </w:r>
      <w:r w:rsidRPr="006A6673">
        <w:rPr>
          <w:i/>
          <w:iCs/>
          <w:u w:val="single"/>
        </w:rPr>
        <w:t>ет</w:t>
      </w:r>
      <w:r w:rsidRPr="006A6673">
        <w:rPr>
          <w:i/>
          <w:iCs/>
        </w:rPr>
        <w:t xml:space="preserve"> </w:t>
      </w:r>
      <w:r w:rsidRPr="006A6673">
        <w:rPr>
          <w:i/>
          <w:iCs/>
        </w:rPr>
        <w:lastRenderedPageBreak/>
        <w:t>целостность контейнера для массовых грузов, контейнера или кузова транспортного средства [или вагона];</w:t>
      </w:r>
    </w:p>
    <w:p w14:paraId="229E7D62" w14:textId="77777777" w:rsidR="007E2488" w:rsidRPr="000B1E74" w:rsidRDefault="007E2488" w:rsidP="007E2488">
      <w:pPr>
        <w:spacing w:after="120"/>
        <w:ind w:left="3119" w:right="1134" w:hanging="567"/>
        <w:jc w:val="both"/>
        <w:rPr>
          <w:i/>
          <w:u w:val="single"/>
        </w:rPr>
      </w:pPr>
      <w:r>
        <w:rPr>
          <w:i/>
          <w:iCs/>
        </w:rPr>
        <w:t>b)</w:t>
      </w:r>
      <w:r>
        <w:tab/>
      </w:r>
      <w:r>
        <w:rPr>
          <w:i/>
          <w:iCs/>
          <w:strike/>
        </w:rPr>
        <w:t>более одного соединения или неправильное соединение (например, внахлест) в верхних или нижних торцевых поперечных элементах или в верхнем брусе дверной рамы;</w:t>
      </w:r>
      <w:r>
        <w:t xml:space="preserve"> </w:t>
      </w:r>
      <w:r>
        <w:rPr>
          <w:i/>
          <w:iCs/>
          <w:u w:val="single"/>
        </w:rPr>
        <w:t xml:space="preserve">любое нарушение общей конфигурации или любое повреждение подъемных приспособлений или стыковочных устройств </w:t>
      </w:r>
      <w:r w:rsidRPr="000B1E74">
        <w:rPr>
          <w:i/>
          <w:iCs/>
          <w:u w:val="single"/>
        </w:rPr>
        <w:t>погрузочно-разгрузочного оборудования, являющееся достаточно значительными, чтобы препятствовать надлежащему применению погрузочно-разгрузочного оборудования, установке и закреплению на шасси, транспортном средстве или вагоне или установке в контейнерные ячейки на судне;</w:t>
      </w:r>
      <w:r w:rsidRPr="000B1E74">
        <w:rPr>
          <w:u w:val="single"/>
        </w:rPr>
        <w:t xml:space="preserve"> </w:t>
      </w:r>
      <w:r w:rsidRPr="000B1E74">
        <w:rPr>
          <w:i/>
          <w:iCs/>
          <w:u w:val="single"/>
        </w:rPr>
        <w:t>и, когда это применимо</w:t>
      </w:r>
      <w:r>
        <w:rPr>
          <w:i/>
          <w:iCs/>
          <w:u w:val="single"/>
        </w:rPr>
        <w:t>,</w:t>
      </w:r>
    </w:p>
    <w:p w14:paraId="353CECF9" w14:textId="77777777" w:rsidR="007E2488" w:rsidRPr="000B1E74" w:rsidRDefault="007E2488" w:rsidP="007E2488">
      <w:pPr>
        <w:spacing w:after="120"/>
        <w:ind w:left="3119" w:right="1134" w:hanging="567"/>
        <w:jc w:val="both"/>
        <w:rPr>
          <w:i/>
          <w:strike/>
        </w:rPr>
      </w:pPr>
      <w:r w:rsidRPr="000B1E74">
        <w:rPr>
          <w:i/>
          <w:iCs/>
          <w:strike/>
        </w:rPr>
        <w:t>c)</w:t>
      </w:r>
      <w:r w:rsidRPr="000B1E74">
        <w:rPr>
          <w:strike/>
        </w:rPr>
        <w:tab/>
      </w:r>
      <w:r w:rsidRPr="000B1E74">
        <w:rPr>
          <w:i/>
          <w:iCs/>
          <w:strike/>
        </w:rPr>
        <w:t>более двух соединений в любой верхней или нижней боковой балке;</w:t>
      </w:r>
    </w:p>
    <w:p w14:paraId="7D5BD429" w14:textId="77777777" w:rsidR="007E2488" w:rsidRPr="000B1E74" w:rsidRDefault="007E2488" w:rsidP="007E2488">
      <w:pPr>
        <w:spacing w:after="120"/>
        <w:ind w:left="3119" w:right="1134" w:hanging="567"/>
        <w:jc w:val="both"/>
        <w:rPr>
          <w:i/>
          <w:strike/>
        </w:rPr>
      </w:pPr>
      <w:r w:rsidRPr="000B1E74">
        <w:rPr>
          <w:i/>
          <w:iCs/>
          <w:strike/>
        </w:rPr>
        <w:t>d)</w:t>
      </w:r>
      <w:r w:rsidRPr="000B1E74">
        <w:rPr>
          <w:strike/>
        </w:rPr>
        <w:tab/>
      </w:r>
      <w:r w:rsidRPr="000B1E74">
        <w:rPr>
          <w:i/>
          <w:iCs/>
          <w:strike/>
        </w:rPr>
        <w:t>любое соединение в дверном пороге или угловых стойках;</w:t>
      </w:r>
    </w:p>
    <w:p w14:paraId="46E72294" w14:textId="77777777" w:rsidR="007E2488" w:rsidRPr="00711962" w:rsidRDefault="007E2488" w:rsidP="007E2488">
      <w:pPr>
        <w:spacing w:after="120"/>
        <w:ind w:left="3119" w:right="1134" w:hanging="567"/>
        <w:jc w:val="both"/>
        <w:rPr>
          <w:i/>
        </w:rPr>
      </w:pPr>
      <w:r>
        <w:rPr>
          <w:i/>
          <w:iCs/>
          <w:strike/>
        </w:rPr>
        <w:t>е</w:t>
      </w:r>
      <w:r>
        <w:rPr>
          <w:i/>
          <w:iCs/>
        </w:rPr>
        <w:t>с)</w:t>
      </w:r>
      <w:r>
        <w:tab/>
      </w:r>
      <w:r>
        <w:rPr>
          <w:i/>
          <w:iCs/>
        </w:rPr>
        <w:t xml:space="preserve">дверные петли, </w:t>
      </w:r>
      <w:r>
        <w:rPr>
          <w:i/>
          <w:iCs/>
          <w:u w:val="single"/>
        </w:rPr>
        <w:t>дверные пороги</w:t>
      </w:r>
      <w:r>
        <w:rPr>
          <w:i/>
          <w:iCs/>
        </w:rPr>
        <w:t xml:space="preserve"> и другая металлическая гарнитура, которые заклинены, деформированы, поломаны, отсутствуют или являются в том или ином отношении непригодными;</w:t>
      </w:r>
    </w:p>
    <w:p w14:paraId="2C266102" w14:textId="77777777" w:rsidR="007E2488" w:rsidRPr="000B1E74" w:rsidRDefault="007E2488" w:rsidP="007E2488">
      <w:pPr>
        <w:spacing w:after="120"/>
        <w:ind w:left="3119" w:right="1134" w:hanging="567"/>
        <w:jc w:val="both"/>
        <w:rPr>
          <w:i/>
          <w:strike/>
        </w:rPr>
      </w:pPr>
      <w:r w:rsidRPr="000B1E74">
        <w:rPr>
          <w:i/>
          <w:iCs/>
          <w:strike/>
        </w:rPr>
        <w:t>f)</w:t>
      </w:r>
      <w:r w:rsidRPr="000B1E74">
        <w:rPr>
          <w:strike/>
        </w:rPr>
        <w:t xml:space="preserve"> </w:t>
      </w:r>
      <w:r w:rsidRPr="000B1E74">
        <w:rPr>
          <w:strike/>
        </w:rPr>
        <w:tab/>
      </w:r>
      <w:r w:rsidRPr="000B1E74">
        <w:rPr>
          <w:i/>
          <w:iCs/>
          <w:strike/>
        </w:rPr>
        <w:t>негерметичные прокладки, изоляционные материалы и уплотнители;</w:t>
      </w:r>
      <w:r w:rsidRPr="000B1E74">
        <w:rPr>
          <w:strike/>
        </w:rPr>
        <w:t xml:space="preserve"> </w:t>
      </w:r>
    </w:p>
    <w:p w14:paraId="57644A04" w14:textId="77777777" w:rsidR="007E2488" w:rsidRPr="00E57E9D" w:rsidRDefault="007E2488" w:rsidP="007E2488">
      <w:pPr>
        <w:spacing w:after="120"/>
        <w:ind w:left="3119" w:right="1134" w:hanging="567"/>
        <w:jc w:val="both"/>
        <w:rPr>
          <w:i/>
          <w:strike/>
        </w:rPr>
      </w:pPr>
      <w:r>
        <w:rPr>
          <w:i/>
          <w:iCs/>
          <w:strike/>
        </w:rPr>
        <w:t>g</w:t>
      </w:r>
      <w:r w:rsidRPr="000B1E74">
        <w:rPr>
          <w:i/>
          <w:iCs/>
          <w:strike/>
        </w:rPr>
        <w:t>)</w:t>
      </w:r>
      <w:r w:rsidRPr="000B1E74">
        <w:rPr>
          <w:strike/>
        </w:rPr>
        <w:tab/>
      </w:r>
      <w:r w:rsidRPr="000B1E74">
        <w:rPr>
          <w:i/>
          <w:iCs/>
          <w:strike/>
        </w:rPr>
        <w:t>любое</w:t>
      </w:r>
      <w:r>
        <w:rPr>
          <w:i/>
          <w:iCs/>
          <w:strike/>
        </w:rPr>
        <w:t xml:space="preserve"> нарушение общей конфигурации контейнера для массовых грузов или контейнера или любое повреждение в подъемных приспособлениях или в соединительных устройствах погрузочно-разгрузочного оборудования, являющиеся достаточно значительными, чтобы препятствовать надлежащему применению погрузочно-разгрузочных средств, установке и закреплению на шасси,[или вагоне] или транспортном средстве [или установке в контейнерные ячейки на судне];</w:t>
      </w:r>
    </w:p>
    <w:p w14:paraId="3D784F73" w14:textId="77777777" w:rsidR="007E2488" w:rsidRPr="00711962" w:rsidRDefault="007E2488" w:rsidP="007E2488">
      <w:pPr>
        <w:spacing w:after="120"/>
        <w:ind w:left="3119" w:right="1134" w:hanging="567"/>
        <w:jc w:val="both"/>
        <w:rPr>
          <w:i/>
          <w:strike/>
        </w:rPr>
      </w:pPr>
      <w:r>
        <w:rPr>
          <w:i/>
          <w:iCs/>
          <w:strike/>
        </w:rPr>
        <w:t>h</w:t>
      </w:r>
      <w:r w:rsidRPr="000B1E74">
        <w:rPr>
          <w:i/>
          <w:iCs/>
          <w:strike/>
        </w:rPr>
        <w:t>)</w:t>
      </w:r>
      <w:r w:rsidRPr="000B1E74">
        <w:rPr>
          <w:strike/>
        </w:rPr>
        <w:tab/>
      </w:r>
      <w:r>
        <w:rPr>
          <w:i/>
          <w:iCs/>
          <w:strike/>
        </w:rPr>
        <w:t>любое повреждение в подъемных приспособлениях или в соединительных устройствах погрузочно-разгрузочного оборудования;</w:t>
      </w:r>
      <w:r>
        <w:t xml:space="preserve"> </w:t>
      </w:r>
      <w:r>
        <w:rPr>
          <w:i/>
          <w:iCs/>
          <w:strike/>
        </w:rPr>
        <w:t>или</w:t>
      </w:r>
    </w:p>
    <w:p w14:paraId="4B8CBA01" w14:textId="77777777" w:rsidR="007E2488" w:rsidRPr="00711962" w:rsidRDefault="007E2488" w:rsidP="007E2488">
      <w:pPr>
        <w:spacing w:after="120"/>
        <w:ind w:left="3119" w:right="1134" w:hanging="567"/>
        <w:jc w:val="both"/>
        <w:rPr>
          <w:i/>
        </w:rPr>
      </w:pPr>
      <w:r>
        <w:rPr>
          <w:i/>
          <w:iCs/>
          <w:strike/>
        </w:rPr>
        <w:t>i)</w:t>
      </w:r>
      <w:r w:rsidRPr="000B1E74">
        <w:rPr>
          <w:strike/>
        </w:rPr>
        <w:tab/>
      </w:r>
      <w:r>
        <w:rPr>
          <w:i/>
          <w:iCs/>
          <w:strike/>
        </w:rPr>
        <w:t>любое повреждение сервисного или эксплуатационного оборудования.</w:t>
      </w:r>
      <w:r>
        <w:t>».</w:t>
      </w:r>
    </w:p>
    <w:p w14:paraId="70C8A049" w14:textId="77777777" w:rsidR="007E2488" w:rsidRPr="00711962" w:rsidRDefault="007E2488" w:rsidP="007E2488">
      <w:pPr>
        <w:spacing w:before="240"/>
        <w:jc w:val="center"/>
        <w:rPr>
          <w:u w:val="single"/>
        </w:rPr>
      </w:pPr>
      <w:r w:rsidRPr="00711962">
        <w:rPr>
          <w:u w:val="single"/>
        </w:rPr>
        <w:tab/>
      </w:r>
      <w:r w:rsidRPr="00711962">
        <w:rPr>
          <w:u w:val="single"/>
        </w:rPr>
        <w:tab/>
      </w:r>
      <w:r w:rsidRPr="00711962">
        <w:rPr>
          <w:u w:val="single"/>
        </w:rPr>
        <w:tab/>
      </w:r>
    </w:p>
    <w:p w14:paraId="5BBA0E3F" w14:textId="77777777" w:rsidR="00E12C5F" w:rsidRPr="008D53B6" w:rsidRDefault="00E12C5F" w:rsidP="00D9145B"/>
    <w:sectPr w:rsidR="00E12C5F" w:rsidRPr="008D53B6" w:rsidSect="007E248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56AB4" w14:textId="77777777" w:rsidR="00BF3892" w:rsidRPr="00A312BC" w:rsidRDefault="00BF3892" w:rsidP="00A312BC"/>
  </w:endnote>
  <w:endnote w:type="continuationSeparator" w:id="0">
    <w:p w14:paraId="0D4F7790" w14:textId="77777777" w:rsidR="00BF3892" w:rsidRPr="00A312BC" w:rsidRDefault="00BF38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4533" w14:textId="77777777" w:rsidR="007E2488" w:rsidRPr="007E2488" w:rsidRDefault="007E2488">
    <w:pPr>
      <w:pStyle w:val="Footer"/>
    </w:pPr>
    <w:r w:rsidRPr="007E2488">
      <w:rPr>
        <w:b/>
        <w:sz w:val="18"/>
      </w:rPr>
      <w:fldChar w:fldCharType="begin"/>
    </w:r>
    <w:r w:rsidRPr="007E2488">
      <w:rPr>
        <w:b/>
        <w:sz w:val="18"/>
      </w:rPr>
      <w:instrText xml:space="preserve"> PAGE  \* MERGEFORMAT </w:instrText>
    </w:r>
    <w:r w:rsidRPr="007E2488">
      <w:rPr>
        <w:b/>
        <w:sz w:val="18"/>
      </w:rPr>
      <w:fldChar w:fldCharType="separate"/>
    </w:r>
    <w:r w:rsidRPr="007E2488">
      <w:rPr>
        <w:b/>
        <w:noProof/>
        <w:sz w:val="18"/>
      </w:rPr>
      <w:t>2</w:t>
    </w:r>
    <w:r w:rsidRPr="007E2488">
      <w:rPr>
        <w:b/>
        <w:sz w:val="18"/>
      </w:rPr>
      <w:fldChar w:fldCharType="end"/>
    </w:r>
    <w:r>
      <w:rPr>
        <w:b/>
        <w:sz w:val="18"/>
      </w:rPr>
      <w:tab/>
    </w:r>
    <w:r>
      <w:t>GE.20-00088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F4AF" w14:textId="77777777" w:rsidR="007E2488" w:rsidRPr="007E2488" w:rsidRDefault="007E2488" w:rsidP="007E2488">
    <w:pPr>
      <w:pStyle w:val="Footer"/>
      <w:tabs>
        <w:tab w:val="clear" w:pos="9639"/>
        <w:tab w:val="right" w:pos="9638"/>
      </w:tabs>
      <w:rPr>
        <w:b/>
        <w:sz w:val="18"/>
      </w:rPr>
    </w:pPr>
    <w:r>
      <w:t>GE.20-00088</w:t>
    </w:r>
    <w:r>
      <w:tab/>
    </w:r>
    <w:r w:rsidRPr="007E2488">
      <w:rPr>
        <w:b/>
        <w:sz w:val="18"/>
      </w:rPr>
      <w:fldChar w:fldCharType="begin"/>
    </w:r>
    <w:r w:rsidRPr="007E2488">
      <w:rPr>
        <w:b/>
        <w:sz w:val="18"/>
      </w:rPr>
      <w:instrText xml:space="preserve"> PAGE  \* MERGEFORMAT </w:instrText>
    </w:r>
    <w:r w:rsidRPr="007E2488">
      <w:rPr>
        <w:b/>
        <w:sz w:val="18"/>
      </w:rPr>
      <w:fldChar w:fldCharType="separate"/>
    </w:r>
    <w:r w:rsidRPr="007E2488">
      <w:rPr>
        <w:b/>
        <w:noProof/>
        <w:sz w:val="18"/>
      </w:rPr>
      <w:t>3</w:t>
    </w:r>
    <w:r w:rsidRPr="007E24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8FA0" w14:textId="77777777" w:rsidR="00042B72" w:rsidRPr="007E2488" w:rsidRDefault="007E2488" w:rsidP="007E248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3893E0" wp14:editId="618DD39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20-00088  (R)</w:t>
    </w:r>
    <w:r w:rsidR="00971334">
      <w:rPr>
        <w:lang w:val="en-US"/>
      </w:rPr>
      <w:t xml:space="preserve">  090120  090120</w:t>
    </w:r>
    <w:r>
      <w:br/>
    </w:r>
    <w:r w:rsidRPr="007E2488">
      <w:rPr>
        <w:rFonts w:ascii="C39T30Lfz" w:hAnsi="C39T30Lfz"/>
        <w:kern w:val="14"/>
        <w:sz w:val="56"/>
      </w:rPr>
      <w:t></w:t>
    </w:r>
    <w:r w:rsidRPr="007E2488">
      <w:rPr>
        <w:rFonts w:ascii="C39T30Lfz" w:hAnsi="C39T30Lfz"/>
        <w:kern w:val="14"/>
        <w:sz w:val="56"/>
      </w:rPr>
      <w:t></w:t>
    </w:r>
    <w:r w:rsidRPr="007E2488">
      <w:rPr>
        <w:rFonts w:ascii="C39T30Lfz" w:hAnsi="C39T30Lfz"/>
        <w:kern w:val="14"/>
        <w:sz w:val="56"/>
      </w:rPr>
      <w:t></w:t>
    </w:r>
    <w:r w:rsidRPr="007E2488">
      <w:rPr>
        <w:rFonts w:ascii="C39T30Lfz" w:hAnsi="C39T30Lfz"/>
        <w:kern w:val="14"/>
        <w:sz w:val="56"/>
      </w:rPr>
      <w:t></w:t>
    </w:r>
    <w:r w:rsidRPr="007E2488">
      <w:rPr>
        <w:rFonts w:ascii="C39T30Lfz" w:hAnsi="C39T30Lfz"/>
        <w:kern w:val="14"/>
        <w:sz w:val="56"/>
      </w:rPr>
      <w:t></w:t>
    </w:r>
    <w:r w:rsidRPr="007E2488">
      <w:rPr>
        <w:rFonts w:ascii="C39T30Lfz" w:hAnsi="C39T30Lfz"/>
        <w:kern w:val="14"/>
        <w:sz w:val="56"/>
      </w:rPr>
      <w:t></w:t>
    </w:r>
    <w:r w:rsidRPr="007E2488">
      <w:rPr>
        <w:rFonts w:ascii="C39T30Lfz" w:hAnsi="C39T30Lfz"/>
        <w:kern w:val="14"/>
        <w:sz w:val="56"/>
      </w:rPr>
      <w:t></w:t>
    </w:r>
    <w:r w:rsidRPr="007E2488">
      <w:rPr>
        <w:rFonts w:ascii="C39T30Lfz" w:hAnsi="C39T30Lfz"/>
        <w:kern w:val="14"/>
        <w:sz w:val="56"/>
      </w:rPr>
      <w:t></w:t>
    </w:r>
    <w:r w:rsidRPr="007E248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8F3748" wp14:editId="1D48C05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4B8C" w14:textId="77777777" w:rsidR="00BF3892" w:rsidRPr="001075E9" w:rsidRDefault="00BF38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EF6761" w14:textId="77777777" w:rsidR="00BF3892" w:rsidRDefault="00BF38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0794C3" w14:textId="77777777" w:rsidR="007E2488" w:rsidRPr="00711962" w:rsidRDefault="007E2488" w:rsidP="007E2488">
      <w:pPr>
        <w:pStyle w:val="FootnoteText"/>
        <w:rPr>
          <w:sz w:val="20"/>
        </w:rPr>
      </w:pPr>
      <w:r>
        <w:tab/>
      </w:r>
      <w:r w:rsidRPr="00971334">
        <w:rPr>
          <w:sz w:val="20"/>
        </w:rPr>
        <w:t>*</w:t>
      </w:r>
      <w:r>
        <w:tab/>
        <w:t>2020 год (A/74/6 (Раздел 20) и дополнительная информация, Подпрограмма 2).</w:t>
      </w:r>
    </w:p>
  </w:footnote>
  <w:footnote w:id="2">
    <w:p w14:paraId="3CE2B76F" w14:textId="77777777" w:rsidR="007E2488" w:rsidRPr="00711962" w:rsidRDefault="007E2488" w:rsidP="007E2488">
      <w:pPr>
        <w:pStyle w:val="FootnoteText"/>
        <w:rPr>
          <w:sz w:val="20"/>
        </w:rPr>
      </w:pPr>
      <w:r>
        <w:tab/>
      </w:r>
      <w:r w:rsidRPr="00971334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OTIF/RID/RC/2020/24.</w:t>
      </w:r>
    </w:p>
  </w:footnote>
  <w:footnote w:id="3">
    <w:p w14:paraId="60A3F8CF" w14:textId="77777777" w:rsidR="007E2488" w:rsidRPr="00985497" w:rsidRDefault="007E2488" w:rsidP="007E2488">
      <w:pPr>
        <w:pStyle w:val="FootnoteText"/>
        <w:tabs>
          <w:tab w:val="left" w:pos="1418"/>
        </w:tabs>
        <w:ind w:firstLine="0"/>
      </w:pPr>
      <w:r>
        <w:rPr>
          <w:vertAlign w:val="superscript"/>
        </w:rPr>
        <w:t>1</w:t>
      </w:r>
      <w:r>
        <w:t xml:space="preserve"> </w:t>
      </w:r>
      <w:r>
        <w:tab/>
      </w:r>
      <w:hyperlink r:id="rId1" w:history="1">
        <w:r w:rsidR="00971334" w:rsidRPr="009B550D">
          <w:rPr>
            <w:rStyle w:val="Hyperlink"/>
          </w:rPr>
          <w:t>http://www.unece.org/fileadmin/DAM/trans/doc/2017/dgwp15a1/INF15e.pdf</w:t>
        </w:r>
      </w:hyperlink>
      <w:r w:rsidR="00971334" w:rsidRPr="00985497">
        <w:t xml:space="preserve">. </w:t>
      </w:r>
    </w:p>
  </w:footnote>
  <w:footnote w:id="4">
    <w:p w14:paraId="0D8D1516" w14:textId="77777777" w:rsidR="007E2488" w:rsidRPr="00985497" w:rsidRDefault="007E2488" w:rsidP="007E2488">
      <w:pPr>
        <w:pStyle w:val="FootnoteText"/>
        <w:tabs>
          <w:tab w:val="left" w:pos="1418"/>
        </w:tabs>
        <w:ind w:firstLine="0"/>
      </w:pPr>
      <w:r>
        <w:rPr>
          <w:vertAlign w:val="superscript"/>
        </w:rPr>
        <w:t>2</w:t>
      </w:r>
      <w:r>
        <w:t xml:space="preserve"> </w:t>
      </w:r>
      <w:r>
        <w:tab/>
      </w:r>
      <w:hyperlink r:id="rId2" w:history="1">
        <w:r w:rsidR="00971334" w:rsidRPr="009B550D">
          <w:rPr>
            <w:rStyle w:val="Hyperlink"/>
          </w:rPr>
          <w:t>http://www.unece.org/fileadmin/DAM/trans/doc/2019/dgac10c3/2019-40e.pdf</w:t>
        </w:r>
      </w:hyperlink>
      <w:r w:rsidR="00971334" w:rsidRPr="00985497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84D7" w14:textId="0D735A2F" w:rsidR="007E2488" w:rsidRPr="007E2488" w:rsidRDefault="00DF7C4D">
    <w:pPr>
      <w:pStyle w:val="Header"/>
    </w:pPr>
    <w:r>
      <w:fldChar w:fldCharType="begin"/>
    </w:r>
    <w:r>
      <w:instrText xml:space="preserve"> TITLE  \* MERGE</w:instrText>
    </w:r>
    <w:r>
      <w:instrText xml:space="preserve">FORMAT </w:instrText>
    </w:r>
    <w:r>
      <w:fldChar w:fldCharType="separate"/>
    </w:r>
    <w:r w:rsidR="0038265A">
      <w:t>ECE/TRANS/WP.15/AC.1/2020/24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AA87" w14:textId="3E7D0348" w:rsidR="007E2488" w:rsidRPr="007E2488" w:rsidRDefault="00DF7C4D" w:rsidP="007E248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8265A">
      <w:t>ECE/TRANS/WP.15/AC.1/2020/24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92"/>
    <w:rsid w:val="00033EE1"/>
    <w:rsid w:val="00042B72"/>
    <w:rsid w:val="000558BD"/>
    <w:rsid w:val="000B57E7"/>
    <w:rsid w:val="000B6373"/>
    <w:rsid w:val="000E4E5B"/>
    <w:rsid w:val="000F09DF"/>
    <w:rsid w:val="000F61B2"/>
    <w:rsid w:val="0010078D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265A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65E2"/>
    <w:rsid w:val="007021FF"/>
    <w:rsid w:val="00712895"/>
    <w:rsid w:val="00734ACB"/>
    <w:rsid w:val="00757357"/>
    <w:rsid w:val="00792497"/>
    <w:rsid w:val="007E2488"/>
    <w:rsid w:val="00806737"/>
    <w:rsid w:val="00825F8D"/>
    <w:rsid w:val="00834B71"/>
    <w:rsid w:val="0086445C"/>
    <w:rsid w:val="00885041"/>
    <w:rsid w:val="00894693"/>
    <w:rsid w:val="008A08D7"/>
    <w:rsid w:val="008A37C8"/>
    <w:rsid w:val="008B6909"/>
    <w:rsid w:val="008C059E"/>
    <w:rsid w:val="008D53B6"/>
    <w:rsid w:val="008F7609"/>
    <w:rsid w:val="00906890"/>
    <w:rsid w:val="00911BE4"/>
    <w:rsid w:val="00917CAF"/>
    <w:rsid w:val="00951972"/>
    <w:rsid w:val="009608F3"/>
    <w:rsid w:val="00971334"/>
    <w:rsid w:val="00985497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452D"/>
    <w:rsid w:val="00B10CC7"/>
    <w:rsid w:val="00B325E9"/>
    <w:rsid w:val="00B36DF7"/>
    <w:rsid w:val="00B539E7"/>
    <w:rsid w:val="00B62458"/>
    <w:rsid w:val="00BC18B2"/>
    <w:rsid w:val="00BD33EE"/>
    <w:rsid w:val="00BE1CC7"/>
    <w:rsid w:val="00BF3892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DF7C4D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19AD0F"/>
  <w15:docId w15:val="{3A9EB521-3370-4908-8387-E68325D9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7E2488"/>
    <w:rPr>
      <w:lang w:val="ru-RU" w:eastAsia="en-US"/>
    </w:rPr>
  </w:style>
  <w:style w:type="character" w:customStyle="1" w:styleId="HChGChar">
    <w:name w:val="_ H _Ch_G Char"/>
    <w:link w:val="HChG"/>
    <w:rsid w:val="007E2488"/>
    <w:rPr>
      <w:b/>
      <w:sz w:val="28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71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fileadmin/DAM/trans/doc/2019/dgac10c3/2019-40e.pdf" TargetMode="External"/><Relationship Id="rId1" Type="http://schemas.openxmlformats.org/officeDocument/2006/relationships/hyperlink" Target="http://www.unece.org/fileadmin/DAM/trans/doc/2017/dgwp15a1/INF15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08AE2-E116-4B4A-8833-A494EBDA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1840</Words>
  <Characters>10493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ECE/TRANS/WP.15/AC.1/2020/24</vt:lpstr>
      <vt:lpstr>ECE/TRANS/WP.15/AC.1/2020/24</vt:lpstr>
      <vt:lpstr>A/</vt:lpstr>
    </vt:vector>
  </TitlesOfParts>
  <Company>DCM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ECE/TRANS/WP.15/AC.1/2020/24</dc:title>
  <dc:subject/>
  <dc:creator>Assistant</dc:creator>
  <cp:keywords/>
  <cp:lastModifiedBy>Christine Barrio-Champeau</cp:lastModifiedBy>
  <cp:revision>2</cp:revision>
  <cp:lastPrinted>2020-01-09T16:18:00Z</cp:lastPrinted>
  <dcterms:created xsi:type="dcterms:W3CDTF">2020-01-17T09:41:00Z</dcterms:created>
  <dcterms:modified xsi:type="dcterms:W3CDTF">2020-01-17T09:41:00Z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