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5F3556">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5F3556" w:rsidP="005F3556">
            <w:pPr>
              <w:jc w:val="right"/>
            </w:pPr>
            <w:r w:rsidRPr="005F3556">
              <w:rPr>
                <w:sz w:val="40"/>
              </w:rPr>
              <w:t>ECE</w:t>
            </w:r>
            <w:r>
              <w:t>/TRANS/WP.15/AC.1/2020/24</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5F3556" w:rsidP="00C97039">
            <w:pPr>
              <w:spacing w:before="240"/>
            </w:pPr>
            <w:r>
              <w:t>Distr. générale</w:t>
            </w:r>
          </w:p>
          <w:p w:rsidR="005F3556" w:rsidRDefault="005F3556" w:rsidP="005F3556">
            <w:pPr>
              <w:spacing w:line="240" w:lineRule="exact"/>
            </w:pPr>
            <w:r>
              <w:t>6 janvier 2020</w:t>
            </w:r>
          </w:p>
          <w:p w:rsidR="005F3556" w:rsidRDefault="005F3556" w:rsidP="005F3556">
            <w:pPr>
              <w:spacing w:line="240" w:lineRule="exact"/>
            </w:pPr>
            <w:r>
              <w:t>Français</w:t>
            </w:r>
          </w:p>
          <w:p w:rsidR="005F3556" w:rsidRPr="00DB58B5" w:rsidRDefault="005F3556" w:rsidP="005F3556">
            <w:pPr>
              <w:spacing w:line="240" w:lineRule="exact"/>
            </w:pPr>
            <w:r>
              <w:t>Original</w:t>
            </w:r>
            <w:r w:rsidR="00227366">
              <w:t> :</w:t>
            </w:r>
            <w:r>
              <w:t xml:space="preserve">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3B42E0" w:rsidRPr="00227366" w:rsidRDefault="003B42E0" w:rsidP="003B42E0">
      <w:pPr>
        <w:kinsoku/>
        <w:overflowPunct/>
        <w:autoSpaceDE/>
        <w:autoSpaceDN/>
        <w:adjustRightInd/>
        <w:snapToGrid/>
        <w:spacing w:before="120" w:after="120"/>
        <w:rPr>
          <w:rFonts w:eastAsia="Times New Roman"/>
          <w:b/>
          <w:sz w:val="24"/>
          <w:szCs w:val="24"/>
          <w:lang w:eastAsia="fr-FR"/>
        </w:rPr>
      </w:pPr>
      <w:r w:rsidRPr="00227366">
        <w:rPr>
          <w:rFonts w:eastAsia="Times New Roman"/>
          <w:b/>
          <w:sz w:val="24"/>
          <w:szCs w:val="24"/>
          <w:lang w:eastAsia="fr-FR"/>
        </w:rPr>
        <w:t>Groupe de travail des transports de marchandises dangereuses</w:t>
      </w:r>
    </w:p>
    <w:p w:rsidR="003B42E0" w:rsidRPr="00E53EE2" w:rsidRDefault="003B42E0" w:rsidP="003B42E0">
      <w:pPr>
        <w:kinsoku/>
        <w:overflowPunct/>
        <w:autoSpaceDE/>
        <w:autoSpaceDN/>
        <w:adjustRightInd/>
        <w:snapToGrid/>
        <w:rPr>
          <w:rFonts w:eastAsia="Times New Roman"/>
          <w:b/>
          <w:lang w:eastAsia="fr-FR"/>
        </w:rPr>
      </w:pPr>
      <w:r w:rsidRPr="00E53EE2">
        <w:rPr>
          <w:rFonts w:eastAsia="Times New Roman"/>
          <w:b/>
          <w:lang w:eastAsia="fr-FR"/>
        </w:rPr>
        <w:t>Réunion commune de la Commission d</w:t>
      </w:r>
      <w:r>
        <w:rPr>
          <w:rFonts w:eastAsia="Times New Roman"/>
          <w:b/>
          <w:lang w:eastAsia="fr-FR"/>
        </w:rPr>
        <w:t>’</w:t>
      </w:r>
      <w:r w:rsidRPr="00E53EE2">
        <w:rPr>
          <w:rFonts w:eastAsia="Times New Roman"/>
          <w:b/>
          <w:lang w:eastAsia="fr-FR"/>
        </w:rPr>
        <w:t xml:space="preserve">experts du RID </w:t>
      </w:r>
      <w:r w:rsidR="00227366">
        <w:rPr>
          <w:rFonts w:eastAsia="Times New Roman"/>
          <w:b/>
          <w:lang w:eastAsia="fr-FR"/>
        </w:rPr>
        <w:br/>
      </w:r>
      <w:r w:rsidRPr="00E53EE2">
        <w:rPr>
          <w:rFonts w:eastAsia="Times New Roman"/>
          <w:b/>
          <w:lang w:eastAsia="fr-FR"/>
        </w:rPr>
        <w:t>et du Groupe de travail</w:t>
      </w:r>
      <w:r w:rsidR="00227366">
        <w:rPr>
          <w:rFonts w:eastAsia="Times New Roman"/>
          <w:b/>
          <w:lang w:eastAsia="fr-FR"/>
        </w:rPr>
        <w:t xml:space="preserve"> </w:t>
      </w:r>
      <w:r w:rsidRPr="00E53EE2">
        <w:rPr>
          <w:rFonts w:eastAsia="Times New Roman"/>
          <w:b/>
          <w:lang w:eastAsia="fr-FR"/>
        </w:rPr>
        <w:t xml:space="preserve">des transports </w:t>
      </w:r>
      <w:r w:rsidR="00227366">
        <w:rPr>
          <w:rFonts w:eastAsia="Times New Roman"/>
          <w:b/>
          <w:lang w:eastAsia="fr-FR"/>
        </w:rPr>
        <w:br/>
      </w:r>
      <w:r w:rsidRPr="00E53EE2">
        <w:rPr>
          <w:rFonts w:eastAsia="Times New Roman"/>
          <w:b/>
          <w:lang w:eastAsia="fr-FR"/>
        </w:rPr>
        <w:t xml:space="preserve">de marchandises dangereuses </w:t>
      </w:r>
    </w:p>
    <w:p w:rsidR="003B42E0" w:rsidRPr="00E53EE2" w:rsidRDefault="003B42E0" w:rsidP="003B42E0">
      <w:pPr>
        <w:kinsoku/>
        <w:overflowPunct/>
        <w:autoSpaceDE/>
        <w:autoSpaceDN/>
        <w:adjustRightInd/>
        <w:snapToGrid/>
        <w:rPr>
          <w:rFonts w:eastAsia="Times New Roman"/>
          <w:lang w:eastAsia="fr-FR"/>
        </w:rPr>
      </w:pPr>
      <w:r w:rsidRPr="00E53EE2">
        <w:rPr>
          <w:rFonts w:eastAsia="Times New Roman"/>
          <w:lang w:eastAsia="fr-FR"/>
        </w:rPr>
        <w:t>Bern</w:t>
      </w:r>
      <w:r w:rsidR="00227366">
        <w:rPr>
          <w:rFonts w:eastAsia="Times New Roman"/>
          <w:lang w:eastAsia="fr-FR"/>
        </w:rPr>
        <w:t>e</w:t>
      </w:r>
      <w:r w:rsidRPr="00E53EE2">
        <w:rPr>
          <w:rFonts w:eastAsia="Times New Roman"/>
          <w:lang w:eastAsia="fr-FR"/>
        </w:rPr>
        <w:t>, 16</w:t>
      </w:r>
      <w:r w:rsidR="00227366">
        <w:rPr>
          <w:rFonts w:eastAsia="Times New Roman"/>
          <w:lang w:eastAsia="fr-FR"/>
        </w:rPr>
        <w:t>-</w:t>
      </w:r>
      <w:r w:rsidRPr="00E53EE2">
        <w:rPr>
          <w:rFonts w:eastAsia="Times New Roman"/>
          <w:lang w:eastAsia="fr-FR"/>
        </w:rPr>
        <w:t xml:space="preserve">20 </w:t>
      </w:r>
      <w:r w:rsidR="00227366">
        <w:rPr>
          <w:rFonts w:eastAsia="Times New Roman"/>
          <w:lang w:eastAsia="fr-FR"/>
        </w:rPr>
        <w:t xml:space="preserve">mars </w:t>
      </w:r>
      <w:r w:rsidRPr="00E53EE2">
        <w:rPr>
          <w:rFonts w:eastAsia="Times New Roman"/>
          <w:lang w:eastAsia="fr-FR"/>
        </w:rPr>
        <w:t>2020</w:t>
      </w:r>
    </w:p>
    <w:p w:rsidR="003B42E0" w:rsidRPr="00E53EE2" w:rsidRDefault="003B42E0" w:rsidP="003B42E0">
      <w:pPr>
        <w:kinsoku/>
        <w:overflowPunct/>
        <w:autoSpaceDE/>
        <w:autoSpaceDN/>
        <w:adjustRightInd/>
        <w:snapToGrid/>
        <w:rPr>
          <w:rFonts w:eastAsia="Times New Roman"/>
          <w:lang w:eastAsia="fr-FR"/>
        </w:rPr>
      </w:pPr>
      <w:r w:rsidRPr="00E53EE2">
        <w:rPr>
          <w:rFonts w:eastAsia="Times New Roman"/>
          <w:lang w:eastAsia="fr-FR"/>
        </w:rPr>
        <w:t>Point 5 a) de l</w:t>
      </w:r>
      <w:r>
        <w:rPr>
          <w:rFonts w:eastAsia="Times New Roman"/>
          <w:lang w:eastAsia="fr-FR"/>
        </w:rPr>
        <w:t>’</w:t>
      </w:r>
      <w:r w:rsidRPr="00E53EE2">
        <w:rPr>
          <w:rFonts w:eastAsia="Times New Roman"/>
          <w:lang w:eastAsia="fr-FR"/>
        </w:rPr>
        <w:t>ordre du jour provisoire</w:t>
      </w:r>
    </w:p>
    <w:p w:rsidR="003B42E0" w:rsidRPr="00E53EE2" w:rsidRDefault="003B42E0" w:rsidP="003B42E0">
      <w:pPr>
        <w:kinsoku/>
        <w:overflowPunct/>
        <w:autoSpaceDE/>
        <w:autoSpaceDN/>
        <w:adjustRightInd/>
        <w:snapToGrid/>
        <w:spacing w:line="240" w:lineRule="auto"/>
        <w:rPr>
          <w:rFonts w:eastAsia="Times New Roman"/>
          <w:b/>
          <w:bCs/>
          <w:lang w:eastAsia="fr-FR"/>
        </w:rPr>
      </w:pPr>
      <w:r w:rsidRPr="00E53EE2">
        <w:rPr>
          <w:rFonts w:eastAsia="Times New Roman"/>
          <w:b/>
          <w:lang w:eastAsia="fr-FR"/>
        </w:rPr>
        <w:t>Propositions d</w:t>
      </w:r>
      <w:r>
        <w:rPr>
          <w:rFonts w:eastAsia="Times New Roman"/>
          <w:b/>
          <w:lang w:eastAsia="fr-FR"/>
        </w:rPr>
        <w:t>’</w:t>
      </w:r>
      <w:r w:rsidRPr="00E53EE2">
        <w:rPr>
          <w:rFonts w:eastAsia="Times New Roman"/>
          <w:b/>
          <w:lang w:eastAsia="fr-FR"/>
        </w:rPr>
        <w:t>amendements au RID/ADR/ADN</w:t>
      </w:r>
      <w:r w:rsidR="00227366">
        <w:rPr>
          <w:rFonts w:eastAsia="Times New Roman"/>
          <w:b/>
          <w:lang w:eastAsia="fr-FR"/>
        </w:rPr>
        <w:t> :</w:t>
      </w:r>
      <w:r w:rsidRPr="00E53EE2">
        <w:rPr>
          <w:rFonts w:eastAsia="Times New Roman"/>
          <w:b/>
          <w:lang w:eastAsia="fr-FR"/>
        </w:rPr>
        <w:br/>
      </w:r>
      <w:r w:rsidR="00227366">
        <w:rPr>
          <w:rFonts w:eastAsia="Times New Roman"/>
          <w:b/>
          <w:bCs/>
          <w:lang w:eastAsia="fr-FR"/>
        </w:rPr>
        <w:t>q</w:t>
      </w:r>
      <w:r w:rsidRPr="00E53EE2">
        <w:rPr>
          <w:rFonts w:eastAsia="Times New Roman"/>
          <w:b/>
          <w:bCs/>
          <w:lang w:eastAsia="fr-FR"/>
        </w:rPr>
        <w:t>uestions en suspens</w:t>
      </w:r>
    </w:p>
    <w:p w:rsidR="003B42E0" w:rsidRPr="00E53EE2" w:rsidRDefault="003B42E0" w:rsidP="00297E5B">
      <w:pPr>
        <w:pStyle w:val="HChG"/>
        <w:rPr>
          <w:lang w:eastAsia="fr-FR"/>
        </w:rPr>
      </w:pPr>
      <w:r w:rsidRPr="00E53EE2">
        <w:rPr>
          <w:lang w:eastAsia="fr-FR"/>
        </w:rPr>
        <w:tab/>
      </w:r>
      <w:r w:rsidRPr="00E53EE2">
        <w:rPr>
          <w:lang w:eastAsia="fr-FR"/>
        </w:rPr>
        <w:tab/>
        <w:t>Prescriptions applicables aux engins de transport structurellement propres à l</w:t>
      </w:r>
      <w:r>
        <w:rPr>
          <w:lang w:eastAsia="fr-FR"/>
        </w:rPr>
        <w:t>’</w:t>
      </w:r>
      <w:r w:rsidRPr="00E53EE2">
        <w:rPr>
          <w:lang w:eastAsia="fr-FR"/>
        </w:rPr>
        <w:t>emploi</w:t>
      </w:r>
    </w:p>
    <w:p w:rsidR="003B42E0" w:rsidRPr="00E53EE2" w:rsidRDefault="003B42E0" w:rsidP="00CD693F">
      <w:pPr>
        <w:pStyle w:val="H1G"/>
        <w:rPr>
          <w:szCs w:val="24"/>
          <w:lang w:eastAsia="zh-CN"/>
        </w:rPr>
      </w:pPr>
      <w:r w:rsidRPr="00E53EE2">
        <w:rPr>
          <w:sz w:val="20"/>
          <w:lang w:eastAsia="fr-FR"/>
        </w:rPr>
        <w:tab/>
      </w:r>
      <w:r w:rsidR="00297E5B">
        <w:rPr>
          <w:lang w:eastAsia="fr-FR"/>
        </w:rPr>
        <w:tab/>
      </w:r>
      <w:r w:rsidRPr="00E53EE2">
        <w:rPr>
          <w:lang w:eastAsia="fr-FR"/>
        </w:rPr>
        <w:t>Communication de l</w:t>
      </w:r>
      <w:r>
        <w:rPr>
          <w:lang w:eastAsia="fr-FR"/>
        </w:rPr>
        <w:t>’</w:t>
      </w:r>
      <w:r w:rsidRPr="00E53EE2">
        <w:rPr>
          <w:lang w:eastAsia="fr-FR"/>
        </w:rPr>
        <w:t xml:space="preserve">expert du Conseil européen </w:t>
      </w:r>
      <w:r w:rsidR="00CD693F">
        <w:rPr>
          <w:lang w:eastAsia="fr-FR"/>
        </w:rPr>
        <w:br/>
      </w:r>
      <w:r w:rsidRPr="00E53EE2">
        <w:rPr>
          <w:lang w:eastAsia="fr-FR"/>
        </w:rPr>
        <w:t>de l</w:t>
      </w:r>
      <w:r>
        <w:rPr>
          <w:lang w:eastAsia="fr-FR"/>
        </w:rPr>
        <w:t>’</w:t>
      </w:r>
      <w:r w:rsidRPr="00E53EE2">
        <w:rPr>
          <w:lang w:eastAsia="fr-FR"/>
        </w:rPr>
        <w:t>industrie chimique (CEFIC)</w:t>
      </w:r>
      <w:r w:rsidRPr="00CD693F">
        <w:rPr>
          <w:b w:val="0"/>
          <w:bCs/>
          <w:sz w:val="20"/>
          <w:lang w:eastAsia="fr-FR"/>
        </w:rPr>
        <w:footnoteReference w:customMarkFollows="1" w:id="2"/>
        <w:t>*</w:t>
      </w:r>
      <w:r w:rsidRPr="00E53EE2">
        <w:rPr>
          <w:bCs/>
          <w:sz w:val="20"/>
          <w:vertAlign w:val="superscript"/>
          <w:lang w:eastAsia="fr-FR"/>
        </w:rPr>
        <w:t xml:space="preserve">, </w:t>
      </w:r>
      <w:r w:rsidRPr="00CD693F">
        <w:rPr>
          <w:b w:val="0"/>
          <w:bCs/>
          <w:sz w:val="20"/>
          <w:lang w:eastAsia="fr-FR"/>
        </w:rPr>
        <w:footnoteReference w:customMarkFollows="1" w:id="3"/>
        <w:t>**</w:t>
      </w:r>
      <w:r w:rsidRPr="00E53EE2">
        <w:rPr>
          <w:szCs w:val="24"/>
          <w:lang w:eastAsia="zh-CN"/>
        </w:rPr>
        <w:t xml:space="preserve"> </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351"/>
      </w:tblGrid>
      <w:tr w:rsidR="003B42E0" w:rsidRPr="00E53EE2" w:rsidTr="00733D6B">
        <w:trPr>
          <w:jc w:val="center"/>
        </w:trPr>
        <w:tc>
          <w:tcPr>
            <w:tcW w:w="9351" w:type="dxa"/>
            <w:shd w:val="clear" w:color="auto" w:fill="auto"/>
          </w:tcPr>
          <w:p w:rsidR="003B42E0" w:rsidRPr="00784807" w:rsidRDefault="003B42E0" w:rsidP="00733D6B">
            <w:pPr>
              <w:kinsoku/>
              <w:overflowPunct/>
              <w:autoSpaceDE/>
              <w:autoSpaceDN/>
              <w:adjustRightInd/>
              <w:snapToGrid/>
              <w:spacing w:before="240" w:after="120"/>
              <w:ind w:left="255"/>
              <w:rPr>
                <w:rFonts w:eastAsia="Times New Roman"/>
                <w:i/>
                <w:sz w:val="24"/>
                <w:szCs w:val="24"/>
                <w:lang w:eastAsia="fr-FR"/>
              </w:rPr>
            </w:pPr>
            <w:r w:rsidRPr="00784807">
              <w:rPr>
                <w:rFonts w:eastAsia="Times New Roman"/>
                <w:i/>
                <w:sz w:val="24"/>
                <w:szCs w:val="24"/>
                <w:lang w:eastAsia="fr-FR"/>
              </w:rPr>
              <w:t>Résumé</w:t>
            </w:r>
          </w:p>
        </w:tc>
      </w:tr>
      <w:tr w:rsidR="003B42E0" w:rsidRPr="00E53EE2" w:rsidTr="00733D6B">
        <w:trPr>
          <w:jc w:val="center"/>
        </w:trPr>
        <w:tc>
          <w:tcPr>
            <w:tcW w:w="9351" w:type="dxa"/>
            <w:shd w:val="clear" w:color="auto" w:fill="auto"/>
          </w:tcPr>
          <w:p w:rsidR="003B42E0" w:rsidRPr="00E53EE2" w:rsidRDefault="003B42E0" w:rsidP="00733D6B">
            <w:pPr>
              <w:tabs>
                <w:tab w:val="left" w:pos="3260"/>
              </w:tabs>
              <w:kinsoku/>
              <w:overflowPunct/>
              <w:autoSpaceDE/>
              <w:autoSpaceDN/>
              <w:adjustRightInd/>
              <w:snapToGrid/>
              <w:spacing w:after="120"/>
              <w:ind w:left="3260" w:right="1134" w:hanging="2126"/>
              <w:rPr>
                <w:rFonts w:eastAsia="Times New Roman"/>
                <w:lang w:eastAsia="fr-FR"/>
              </w:rPr>
            </w:pPr>
            <w:r w:rsidRPr="00E53EE2">
              <w:rPr>
                <w:rFonts w:eastAsia="Times New Roman"/>
                <w:b/>
                <w:lang w:eastAsia="fr-FR"/>
              </w:rPr>
              <w:t>Résumé analytique</w:t>
            </w:r>
            <w:r w:rsidR="00227366">
              <w:rPr>
                <w:rFonts w:eastAsia="Times New Roman"/>
                <w:b/>
                <w:lang w:eastAsia="fr-FR"/>
              </w:rPr>
              <w:t> :</w:t>
            </w:r>
            <w:r w:rsidRPr="00E53EE2">
              <w:rPr>
                <w:rFonts w:eastAsia="Times New Roman"/>
                <w:lang w:eastAsia="fr-FR"/>
              </w:rPr>
              <w:tab/>
              <w:t xml:space="preserve">La question des prescriptions applicables aux engins de transport </w:t>
            </w:r>
            <w:r w:rsidR="000B12C6">
              <w:rPr>
                <w:rFonts w:eastAsia="Times New Roman"/>
                <w:lang w:eastAsia="fr-FR"/>
              </w:rPr>
              <w:t>« </w:t>
            </w:r>
            <w:r w:rsidRPr="00E53EE2">
              <w:rPr>
                <w:rFonts w:eastAsia="Times New Roman"/>
                <w:lang w:eastAsia="fr-FR"/>
              </w:rPr>
              <w:t>structurellement propres à l</w:t>
            </w:r>
            <w:r>
              <w:rPr>
                <w:rFonts w:eastAsia="Times New Roman"/>
                <w:lang w:eastAsia="fr-FR"/>
              </w:rPr>
              <w:t>’</w:t>
            </w:r>
            <w:r w:rsidRPr="00E53EE2">
              <w:rPr>
                <w:rFonts w:eastAsia="Times New Roman"/>
                <w:lang w:eastAsia="fr-FR"/>
              </w:rPr>
              <w:t>emploi</w:t>
            </w:r>
            <w:r w:rsidR="000B12C6">
              <w:rPr>
                <w:rFonts w:eastAsia="Times New Roman"/>
                <w:lang w:eastAsia="fr-FR"/>
              </w:rPr>
              <w:t> »</w:t>
            </w:r>
            <w:r w:rsidRPr="00E53EE2">
              <w:rPr>
                <w:rFonts w:eastAsia="Times New Roman"/>
                <w:lang w:eastAsia="fr-FR"/>
              </w:rPr>
              <w:t xml:space="preserve"> est réexaminée à la lumière des récentes décisions du Sous</w:t>
            </w:r>
            <w:r w:rsidR="000B12C6">
              <w:rPr>
                <w:rFonts w:eastAsia="Times New Roman"/>
                <w:lang w:eastAsia="fr-FR"/>
              </w:rPr>
              <w:noBreakHyphen/>
            </w:r>
            <w:r w:rsidRPr="00E53EE2">
              <w:rPr>
                <w:rFonts w:eastAsia="Times New Roman"/>
                <w:lang w:eastAsia="fr-FR"/>
              </w:rPr>
              <w:t>Comité d</w:t>
            </w:r>
            <w:r>
              <w:rPr>
                <w:rFonts w:eastAsia="Times New Roman"/>
                <w:lang w:eastAsia="fr-FR"/>
              </w:rPr>
              <w:t>’</w:t>
            </w:r>
            <w:r w:rsidRPr="00E53EE2">
              <w:rPr>
                <w:rFonts w:eastAsia="Times New Roman"/>
                <w:lang w:eastAsia="fr-FR"/>
              </w:rPr>
              <w:t>experts du transport des marchandises dangereuses à sa cinquante-sixième session.</w:t>
            </w:r>
          </w:p>
        </w:tc>
      </w:tr>
      <w:tr w:rsidR="003B42E0" w:rsidRPr="00E53EE2" w:rsidTr="00733D6B">
        <w:trPr>
          <w:jc w:val="center"/>
        </w:trPr>
        <w:tc>
          <w:tcPr>
            <w:tcW w:w="9351" w:type="dxa"/>
            <w:shd w:val="clear" w:color="auto" w:fill="auto"/>
          </w:tcPr>
          <w:p w:rsidR="003B42E0" w:rsidRPr="00E53EE2" w:rsidRDefault="003B42E0" w:rsidP="00733D6B">
            <w:pPr>
              <w:tabs>
                <w:tab w:val="left" w:pos="3260"/>
              </w:tabs>
              <w:kinsoku/>
              <w:overflowPunct/>
              <w:autoSpaceDE/>
              <w:autoSpaceDN/>
              <w:adjustRightInd/>
              <w:snapToGrid/>
              <w:spacing w:after="120"/>
              <w:ind w:left="3260" w:right="1134" w:hanging="2126"/>
              <w:jc w:val="both"/>
              <w:rPr>
                <w:rFonts w:eastAsia="Times New Roman"/>
                <w:lang w:eastAsia="fr-FR"/>
              </w:rPr>
            </w:pPr>
            <w:r w:rsidRPr="00E53EE2">
              <w:rPr>
                <w:rFonts w:eastAsia="Times New Roman"/>
                <w:b/>
                <w:lang w:eastAsia="fr-FR"/>
              </w:rPr>
              <w:t>Mesure à prendre</w:t>
            </w:r>
            <w:r w:rsidR="00227366">
              <w:rPr>
                <w:rFonts w:eastAsia="Times New Roman"/>
                <w:b/>
                <w:lang w:eastAsia="fr-FR"/>
              </w:rPr>
              <w:t> :</w:t>
            </w:r>
            <w:r w:rsidRPr="00E53EE2">
              <w:rPr>
                <w:rFonts w:eastAsia="Times New Roman"/>
                <w:b/>
                <w:lang w:eastAsia="fr-FR"/>
              </w:rPr>
              <w:tab/>
            </w:r>
            <w:r w:rsidRPr="00E53EE2">
              <w:rPr>
                <w:rFonts w:eastAsia="Times New Roman"/>
                <w:lang w:eastAsia="fr-FR"/>
              </w:rPr>
              <w:t>Il est proposé d</w:t>
            </w:r>
            <w:r>
              <w:rPr>
                <w:rFonts w:eastAsia="Times New Roman"/>
                <w:lang w:eastAsia="fr-FR"/>
              </w:rPr>
              <w:t>’</w:t>
            </w:r>
            <w:r w:rsidRPr="00E53EE2">
              <w:rPr>
                <w:rFonts w:eastAsia="Times New Roman"/>
                <w:lang w:eastAsia="fr-FR"/>
              </w:rPr>
              <w:t>apporter des modifications à la section</w:t>
            </w:r>
            <w:r w:rsidR="000B12C6">
              <w:rPr>
                <w:rFonts w:eastAsia="Times New Roman"/>
                <w:lang w:eastAsia="fr-FR"/>
              </w:rPr>
              <w:t> </w:t>
            </w:r>
            <w:r w:rsidRPr="00E53EE2">
              <w:rPr>
                <w:rFonts w:eastAsia="Times New Roman"/>
                <w:lang w:eastAsia="fr-FR"/>
              </w:rPr>
              <w:t>7.1.4 et au paragraphe 7.3.1.13 du RID/ADR.</w:t>
            </w:r>
          </w:p>
        </w:tc>
      </w:tr>
      <w:tr w:rsidR="003B42E0" w:rsidRPr="00E53EE2" w:rsidTr="00733D6B">
        <w:trPr>
          <w:jc w:val="center"/>
        </w:trPr>
        <w:tc>
          <w:tcPr>
            <w:tcW w:w="9351" w:type="dxa"/>
            <w:shd w:val="clear" w:color="auto" w:fill="auto"/>
          </w:tcPr>
          <w:p w:rsidR="003B42E0" w:rsidRPr="00E53EE2" w:rsidRDefault="003B42E0" w:rsidP="00733D6B">
            <w:pPr>
              <w:tabs>
                <w:tab w:val="left" w:pos="3260"/>
              </w:tabs>
              <w:kinsoku/>
              <w:overflowPunct/>
              <w:autoSpaceDE/>
              <w:autoSpaceDN/>
              <w:adjustRightInd/>
              <w:snapToGrid/>
              <w:ind w:left="3260" w:right="1134" w:hanging="2126"/>
              <w:rPr>
                <w:rFonts w:eastAsia="Times New Roman"/>
                <w:lang w:eastAsia="fr-FR"/>
              </w:rPr>
            </w:pPr>
            <w:r w:rsidRPr="00E53EE2">
              <w:rPr>
                <w:rFonts w:eastAsia="Times New Roman"/>
                <w:b/>
                <w:lang w:eastAsia="fr-FR"/>
              </w:rPr>
              <w:t>Documents</w:t>
            </w:r>
            <w:r w:rsidR="00227366">
              <w:rPr>
                <w:rFonts w:eastAsia="Times New Roman"/>
                <w:b/>
                <w:lang w:eastAsia="fr-FR"/>
              </w:rPr>
              <w:t> :</w:t>
            </w:r>
            <w:r w:rsidRPr="00E53EE2">
              <w:rPr>
                <w:rFonts w:eastAsia="Times New Roman"/>
                <w:b/>
                <w:lang w:eastAsia="fr-FR"/>
              </w:rPr>
              <w:tab/>
            </w:r>
            <w:r w:rsidRPr="00E53EE2">
              <w:rPr>
                <w:rFonts w:eastAsia="Times New Roman"/>
                <w:lang w:eastAsia="fr-FR"/>
              </w:rPr>
              <w:t>D</w:t>
            </w:r>
            <w:r w:rsidRPr="00E53EE2">
              <w:rPr>
                <w:rFonts w:eastAsia="Times New Roman"/>
                <w:bCs/>
                <w:lang w:eastAsia="en-GB"/>
              </w:rPr>
              <w:t>ocument informel INF.15 de la session d</w:t>
            </w:r>
            <w:r>
              <w:rPr>
                <w:rFonts w:eastAsia="Times New Roman"/>
                <w:bCs/>
                <w:lang w:eastAsia="en-GB"/>
              </w:rPr>
              <w:t>’</w:t>
            </w:r>
            <w:r w:rsidRPr="00E53EE2">
              <w:rPr>
                <w:rFonts w:eastAsia="Times New Roman"/>
                <w:bCs/>
                <w:lang w:eastAsia="en-GB"/>
              </w:rPr>
              <w:t>automne 2017 de</w:t>
            </w:r>
            <w:r w:rsidR="000B12C6">
              <w:rPr>
                <w:rFonts w:eastAsia="Times New Roman"/>
                <w:bCs/>
                <w:lang w:eastAsia="en-GB"/>
              </w:rPr>
              <w:t> </w:t>
            </w:r>
            <w:r w:rsidRPr="00E53EE2">
              <w:rPr>
                <w:rFonts w:eastAsia="Times New Roman"/>
                <w:bCs/>
                <w:lang w:eastAsia="en-GB"/>
              </w:rPr>
              <w:t>la Réunion commune (CEFIC)</w:t>
            </w:r>
            <w:r w:rsidR="00227366">
              <w:rPr>
                <w:rFonts w:eastAsia="Times New Roman"/>
                <w:bCs/>
                <w:lang w:eastAsia="en-GB"/>
              </w:rPr>
              <w:t> ;</w:t>
            </w:r>
            <w:r w:rsidRPr="00E53EE2">
              <w:rPr>
                <w:rFonts w:eastAsia="Times New Roman"/>
                <w:bCs/>
                <w:lang w:eastAsia="en-GB"/>
              </w:rPr>
              <w:br/>
            </w:r>
            <w:r w:rsidRPr="00E53EE2">
              <w:rPr>
                <w:rFonts w:eastAsia="Times New Roman"/>
                <w:lang w:eastAsia="fr-FR"/>
              </w:rPr>
              <w:t>ECE/TRANS/WP.15/AC.1/2018/148, par.</w:t>
            </w:r>
            <w:r w:rsidR="000B12C6">
              <w:rPr>
                <w:rFonts w:eastAsia="Times New Roman"/>
                <w:lang w:eastAsia="fr-FR"/>
              </w:rPr>
              <w:t> </w:t>
            </w:r>
            <w:r w:rsidRPr="00E53EE2">
              <w:rPr>
                <w:rFonts w:eastAsia="Times New Roman"/>
                <w:lang w:eastAsia="fr-FR"/>
              </w:rPr>
              <w:t>31</w:t>
            </w:r>
            <w:r w:rsidR="009C7E1B">
              <w:rPr>
                <w:rFonts w:eastAsia="Times New Roman"/>
                <w:lang w:eastAsia="fr-FR"/>
              </w:rPr>
              <w:t xml:space="preserve"> </w:t>
            </w:r>
            <w:r w:rsidRPr="00E53EE2">
              <w:rPr>
                <w:rFonts w:eastAsia="Times New Roman"/>
                <w:lang w:eastAsia="fr-FR"/>
              </w:rPr>
              <w:t>(</w:t>
            </w:r>
            <w:r w:rsidR="009C7E1B">
              <w:rPr>
                <w:rFonts w:eastAsia="Times New Roman"/>
                <w:lang w:eastAsia="fr-FR"/>
              </w:rPr>
              <w:t>r</w:t>
            </w:r>
            <w:r w:rsidRPr="00E53EE2">
              <w:rPr>
                <w:rFonts w:eastAsia="Times New Roman"/>
                <w:lang w:eastAsia="fr-FR"/>
              </w:rPr>
              <w:t>apport de la Réunion commune de la Commission d</w:t>
            </w:r>
            <w:r>
              <w:rPr>
                <w:rFonts w:eastAsia="Times New Roman"/>
                <w:lang w:eastAsia="fr-FR"/>
              </w:rPr>
              <w:t>’</w:t>
            </w:r>
            <w:r w:rsidRPr="00E53EE2">
              <w:rPr>
                <w:rFonts w:eastAsia="Times New Roman"/>
                <w:lang w:eastAsia="fr-FR"/>
              </w:rPr>
              <w:t>experts du RID et du Groupe de travail des transports de</w:t>
            </w:r>
            <w:r w:rsidR="000B12C6">
              <w:rPr>
                <w:rFonts w:eastAsia="Times New Roman"/>
                <w:lang w:eastAsia="fr-FR"/>
              </w:rPr>
              <w:t> </w:t>
            </w:r>
            <w:r w:rsidRPr="00E53EE2">
              <w:rPr>
                <w:rFonts w:eastAsia="Times New Roman"/>
                <w:lang w:eastAsia="fr-FR"/>
              </w:rPr>
              <w:t>marchandises dangereuses sur sa session de l</w:t>
            </w:r>
            <w:r>
              <w:rPr>
                <w:rFonts w:eastAsia="Times New Roman"/>
                <w:lang w:eastAsia="fr-FR"/>
              </w:rPr>
              <w:t>’</w:t>
            </w:r>
            <w:r w:rsidRPr="00E53EE2">
              <w:rPr>
                <w:rFonts w:eastAsia="Times New Roman"/>
                <w:lang w:eastAsia="fr-FR"/>
              </w:rPr>
              <w:t>automne 2017)</w:t>
            </w:r>
            <w:r w:rsidR="00227366">
              <w:rPr>
                <w:rFonts w:eastAsia="Times New Roman"/>
                <w:lang w:eastAsia="fr-FR"/>
              </w:rPr>
              <w:t> ;</w:t>
            </w:r>
            <w:r w:rsidRPr="00E53EE2">
              <w:rPr>
                <w:rFonts w:eastAsia="Times New Roman"/>
                <w:lang w:eastAsia="fr-FR"/>
              </w:rPr>
              <w:br/>
              <w:t xml:space="preserve">ST/SG/AC.10/C.3/2019/40 (Allemagne, </w:t>
            </w:r>
            <w:r w:rsidRPr="00E53EE2">
              <w:rPr>
                <w:rFonts w:eastAsia="Times New Roman"/>
                <w:bCs/>
                <w:lang w:eastAsia="en-GB"/>
              </w:rPr>
              <w:t>CEFIC</w:t>
            </w:r>
            <w:r w:rsidRPr="00E53EE2">
              <w:rPr>
                <w:rFonts w:eastAsia="Times New Roman"/>
                <w:lang w:eastAsia="fr-FR"/>
              </w:rPr>
              <w:t>),</w:t>
            </w:r>
            <w:r w:rsidRPr="00E53EE2">
              <w:rPr>
                <w:rFonts w:eastAsia="Times New Roman"/>
                <w:lang w:eastAsia="fr-FR"/>
              </w:rPr>
              <w:br/>
              <w:t>Sous-Comité d</w:t>
            </w:r>
            <w:r>
              <w:rPr>
                <w:rFonts w:eastAsia="Times New Roman"/>
                <w:lang w:eastAsia="fr-FR"/>
              </w:rPr>
              <w:t>’</w:t>
            </w:r>
            <w:r w:rsidRPr="00E53EE2">
              <w:rPr>
                <w:rFonts w:eastAsia="Times New Roman"/>
                <w:lang w:eastAsia="fr-FR"/>
              </w:rPr>
              <w:t>experts du transport des marchandises dangereuses, cinquante-sixième session.</w:t>
            </w:r>
          </w:p>
        </w:tc>
      </w:tr>
      <w:tr w:rsidR="003B42E0" w:rsidRPr="00E53EE2" w:rsidTr="00733D6B">
        <w:trPr>
          <w:jc w:val="center"/>
        </w:trPr>
        <w:tc>
          <w:tcPr>
            <w:tcW w:w="9351" w:type="dxa"/>
            <w:shd w:val="clear" w:color="auto" w:fill="auto"/>
          </w:tcPr>
          <w:p w:rsidR="003B42E0" w:rsidRPr="00E53EE2" w:rsidRDefault="003B42E0" w:rsidP="00733D6B">
            <w:pPr>
              <w:tabs>
                <w:tab w:val="left" w:pos="3260"/>
              </w:tabs>
              <w:kinsoku/>
              <w:overflowPunct/>
              <w:autoSpaceDE/>
              <w:autoSpaceDN/>
              <w:adjustRightInd/>
              <w:snapToGrid/>
              <w:ind w:left="3260" w:right="1134" w:hanging="2126"/>
              <w:rPr>
                <w:rFonts w:eastAsia="Times New Roman"/>
                <w:b/>
                <w:lang w:eastAsia="fr-FR"/>
              </w:rPr>
            </w:pPr>
          </w:p>
        </w:tc>
      </w:tr>
    </w:tbl>
    <w:p w:rsidR="003B42E0" w:rsidRPr="00E53EE2" w:rsidRDefault="003B42E0" w:rsidP="00EB53FF">
      <w:pPr>
        <w:pStyle w:val="HChG"/>
        <w:rPr>
          <w:lang w:eastAsia="fr-FR"/>
        </w:rPr>
      </w:pPr>
      <w:r w:rsidRPr="00E53EE2">
        <w:rPr>
          <w:lang w:eastAsia="fr-FR"/>
        </w:rPr>
        <w:lastRenderedPageBreak/>
        <w:tab/>
      </w:r>
      <w:r w:rsidRPr="00E53EE2">
        <w:rPr>
          <w:lang w:eastAsia="fr-FR"/>
        </w:rPr>
        <w:tab/>
        <w:t>Introduction</w:t>
      </w:r>
    </w:p>
    <w:p w:rsidR="003B42E0" w:rsidRPr="00E53EE2" w:rsidRDefault="003B42E0" w:rsidP="00EB53FF">
      <w:pPr>
        <w:pStyle w:val="SingleTxtG"/>
        <w:rPr>
          <w:rFonts w:eastAsia="Times New Roman"/>
          <w:lang w:eastAsia="fr-FR"/>
        </w:rPr>
      </w:pPr>
      <w:r w:rsidRPr="00E53EE2">
        <w:rPr>
          <w:lang w:eastAsia="zh-CN"/>
        </w:rPr>
        <w:t>1.</w:t>
      </w:r>
      <w:r w:rsidRPr="00E53EE2">
        <w:rPr>
          <w:lang w:eastAsia="zh-CN"/>
        </w:rPr>
        <w:tab/>
        <w:t xml:space="preserve">Le présent document résume les différentes portées des prescriptions concernant la notion de </w:t>
      </w:r>
      <w:r w:rsidR="00893311">
        <w:rPr>
          <w:rFonts w:eastAsia="Times New Roman"/>
          <w:lang w:eastAsia="fr-FR"/>
        </w:rPr>
        <w:t>« </w:t>
      </w:r>
      <w:r w:rsidR="00893311" w:rsidRPr="00E53EE2">
        <w:rPr>
          <w:rFonts w:eastAsia="Times New Roman"/>
          <w:lang w:eastAsia="fr-FR"/>
        </w:rPr>
        <w:t>structurellement propre à l</w:t>
      </w:r>
      <w:r w:rsidR="00893311">
        <w:rPr>
          <w:rFonts w:eastAsia="Times New Roman"/>
          <w:lang w:eastAsia="fr-FR"/>
        </w:rPr>
        <w:t>’</w:t>
      </w:r>
      <w:r w:rsidR="00893311" w:rsidRPr="00E53EE2">
        <w:rPr>
          <w:rFonts w:eastAsia="Times New Roman"/>
          <w:lang w:eastAsia="fr-FR"/>
        </w:rPr>
        <w:t>emploi</w:t>
      </w:r>
      <w:r w:rsidR="00893311">
        <w:rPr>
          <w:rFonts w:eastAsia="Times New Roman"/>
          <w:lang w:eastAsia="fr-FR"/>
        </w:rPr>
        <w:t> »</w:t>
      </w:r>
      <w:r w:rsidR="00893311" w:rsidRPr="00E53EE2">
        <w:rPr>
          <w:rFonts w:eastAsia="Times New Roman"/>
          <w:lang w:eastAsia="fr-FR"/>
        </w:rPr>
        <w:t xml:space="preserve"> </w:t>
      </w:r>
      <w:r w:rsidRPr="00E53EE2">
        <w:rPr>
          <w:lang w:eastAsia="zh-CN"/>
        </w:rPr>
        <w:t>applicables en vertu du paragraphe</w:t>
      </w:r>
      <w:r w:rsidR="00EB53FF">
        <w:rPr>
          <w:lang w:eastAsia="zh-CN"/>
        </w:rPr>
        <w:t> </w:t>
      </w:r>
      <w:r w:rsidRPr="00E53EE2">
        <w:rPr>
          <w:lang w:eastAsia="zh-CN"/>
        </w:rPr>
        <w:t>7.1.3.3.1 du Règlement type aux engins de transport lorsqu</w:t>
      </w:r>
      <w:r>
        <w:rPr>
          <w:lang w:eastAsia="zh-CN"/>
        </w:rPr>
        <w:t>’</w:t>
      </w:r>
      <w:r w:rsidRPr="00E53EE2">
        <w:rPr>
          <w:lang w:eastAsia="zh-CN"/>
        </w:rPr>
        <w:t>ils sont utilisés uniquement pour le transport de matières et objets explosibles de la classe 1, telles qu</w:t>
      </w:r>
      <w:r>
        <w:rPr>
          <w:lang w:eastAsia="zh-CN"/>
        </w:rPr>
        <w:t>’</w:t>
      </w:r>
      <w:r w:rsidRPr="00E53EE2">
        <w:rPr>
          <w:lang w:eastAsia="zh-CN"/>
        </w:rPr>
        <w:t>elles ont été adoptées dans la section</w:t>
      </w:r>
      <w:r w:rsidR="00EB53FF">
        <w:rPr>
          <w:lang w:eastAsia="zh-CN"/>
        </w:rPr>
        <w:t> </w:t>
      </w:r>
      <w:r w:rsidRPr="00E53EE2">
        <w:rPr>
          <w:lang w:eastAsia="zh-CN"/>
        </w:rPr>
        <w:t>7.1.2 du code IMDG, comparées aux prescriptions applicables aux grands conteneurs structurellement propres à l</w:t>
      </w:r>
      <w:r>
        <w:rPr>
          <w:lang w:eastAsia="zh-CN"/>
        </w:rPr>
        <w:t>’</w:t>
      </w:r>
      <w:r w:rsidRPr="00E53EE2">
        <w:rPr>
          <w:lang w:eastAsia="zh-CN"/>
        </w:rPr>
        <w:t>emploi évoqués au paragraphe 7.1.4 du RID/ADR, qui sont généralement applicables au transport de toutes les classes</w:t>
      </w:r>
      <w:r w:rsidRPr="00E53EE2">
        <w:rPr>
          <w:rFonts w:eastAsia="Times New Roman"/>
          <w:lang w:eastAsia="fr-FR"/>
        </w:rPr>
        <w:t>. L</w:t>
      </w:r>
      <w:r>
        <w:rPr>
          <w:rFonts w:eastAsia="Times New Roman"/>
          <w:lang w:eastAsia="fr-FR"/>
        </w:rPr>
        <w:t>’</w:t>
      </w:r>
      <w:r w:rsidRPr="00E53EE2">
        <w:rPr>
          <w:rFonts w:eastAsia="Times New Roman"/>
          <w:lang w:eastAsia="fr-FR"/>
        </w:rPr>
        <w:t xml:space="preserve">application des prescriptions concernant la notion de </w:t>
      </w:r>
      <w:r w:rsidR="00893311">
        <w:rPr>
          <w:rFonts w:eastAsia="Times New Roman"/>
          <w:lang w:eastAsia="fr-FR"/>
        </w:rPr>
        <w:t>« </w:t>
      </w:r>
      <w:r w:rsidR="00893311" w:rsidRPr="00E53EE2">
        <w:rPr>
          <w:rFonts w:eastAsia="Times New Roman"/>
          <w:lang w:eastAsia="fr-FR"/>
        </w:rPr>
        <w:t>structurellement propre à l</w:t>
      </w:r>
      <w:r w:rsidR="00893311">
        <w:rPr>
          <w:rFonts w:eastAsia="Times New Roman"/>
          <w:lang w:eastAsia="fr-FR"/>
        </w:rPr>
        <w:t>’</w:t>
      </w:r>
      <w:r w:rsidR="00893311" w:rsidRPr="00E53EE2">
        <w:rPr>
          <w:rFonts w:eastAsia="Times New Roman"/>
          <w:lang w:eastAsia="fr-FR"/>
        </w:rPr>
        <w:t>emploi</w:t>
      </w:r>
      <w:r w:rsidR="00893311">
        <w:rPr>
          <w:rFonts w:eastAsia="Times New Roman"/>
          <w:lang w:eastAsia="fr-FR"/>
        </w:rPr>
        <w:t> »</w:t>
      </w:r>
      <w:r w:rsidR="00893311" w:rsidRPr="00E53EE2">
        <w:rPr>
          <w:rFonts w:eastAsia="Times New Roman"/>
          <w:lang w:eastAsia="fr-FR"/>
        </w:rPr>
        <w:t xml:space="preserve"> </w:t>
      </w:r>
      <w:r w:rsidRPr="00E53EE2">
        <w:rPr>
          <w:rFonts w:eastAsia="Times New Roman"/>
          <w:lang w:eastAsia="fr-FR"/>
        </w:rPr>
        <w:t>n</w:t>
      </w:r>
      <w:r>
        <w:rPr>
          <w:rFonts w:eastAsia="Times New Roman"/>
          <w:lang w:eastAsia="fr-FR"/>
        </w:rPr>
        <w:t>’</w:t>
      </w:r>
      <w:r w:rsidRPr="00E53EE2">
        <w:rPr>
          <w:rFonts w:eastAsia="Times New Roman"/>
          <w:lang w:eastAsia="fr-FR"/>
        </w:rPr>
        <w:t>est donc pas harmonisée entre les différents modes, à la seule exception de celles concernant les conteneurs pour vrac et les conteneurs pour vrac souple, qui sont prescrites aux paragraphes</w:t>
      </w:r>
      <w:r w:rsidR="00145FF8">
        <w:rPr>
          <w:rFonts w:eastAsia="Times New Roman"/>
          <w:lang w:eastAsia="fr-FR"/>
        </w:rPr>
        <w:t> </w:t>
      </w:r>
      <w:r w:rsidRPr="00E53EE2">
        <w:rPr>
          <w:rFonts w:eastAsia="Times New Roman"/>
          <w:lang w:eastAsia="fr-FR"/>
        </w:rPr>
        <w:t>7.3.1.13 et 7.3.2.10 du RID/ADR et contenues en conséquence dans le code IMDG.</w:t>
      </w:r>
    </w:p>
    <w:p w:rsidR="003B42E0" w:rsidRPr="00E53EE2" w:rsidRDefault="003B42E0" w:rsidP="00145FF8">
      <w:pPr>
        <w:pStyle w:val="HChG"/>
        <w:rPr>
          <w:lang w:eastAsia="fr-FR"/>
        </w:rPr>
      </w:pPr>
      <w:r w:rsidRPr="00E53EE2">
        <w:rPr>
          <w:lang w:eastAsia="fr-FR"/>
        </w:rPr>
        <w:tab/>
      </w:r>
      <w:r w:rsidRPr="00E53EE2">
        <w:rPr>
          <w:lang w:eastAsia="fr-FR"/>
        </w:rPr>
        <w:tab/>
        <w:t>Contexte</w:t>
      </w:r>
    </w:p>
    <w:p w:rsidR="003B42E0" w:rsidRPr="00E53EE2" w:rsidRDefault="003B42E0" w:rsidP="00145FF8">
      <w:pPr>
        <w:pStyle w:val="SingleTxtG"/>
        <w:rPr>
          <w:lang w:eastAsia="fr-FR"/>
        </w:rPr>
      </w:pPr>
      <w:r w:rsidRPr="00E53EE2">
        <w:rPr>
          <w:lang w:eastAsia="fr-FR"/>
        </w:rPr>
        <w:t>2.</w:t>
      </w:r>
      <w:r w:rsidRPr="00E53EE2">
        <w:rPr>
          <w:lang w:eastAsia="fr-FR"/>
        </w:rPr>
        <w:tab/>
        <w:t>Le manque d</w:t>
      </w:r>
      <w:r>
        <w:rPr>
          <w:lang w:eastAsia="fr-FR"/>
        </w:rPr>
        <w:t>’</w:t>
      </w:r>
      <w:r w:rsidRPr="00E53EE2">
        <w:rPr>
          <w:lang w:eastAsia="fr-FR"/>
        </w:rPr>
        <w:t>harmonisation a fait l</w:t>
      </w:r>
      <w:r>
        <w:rPr>
          <w:lang w:eastAsia="fr-FR"/>
        </w:rPr>
        <w:t>’</w:t>
      </w:r>
      <w:r w:rsidRPr="00E53EE2">
        <w:rPr>
          <w:lang w:eastAsia="fr-FR"/>
        </w:rPr>
        <w:t>objet du document INF.15 élaboré par le CEFIC pour la</w:t>
      </w:r>
      <w:r w:rsidRPr="00E53EE2">
        <w:rPr>
          <w:b/>
          <w:lang w:eastAsia="fr-FR"/>
        </w:rPr>
        <w:t xml:space="preserve"> </w:t>
      </w:r>
      <w:r w:rsidRPr="00E53EE2">
        <w:rPr>
          <w:lang w:eastAsia="fr-FR"/>
        </w:rPr>
        <w:t>Réunion commune RID/ADR/ADN en septembre 2017</w:t>
      </w:r>
      <w:r w:rsidR="00145FF8">
        <w:rPr>
          <w:rStyle w:val="FootnoteReference"/>
          <w:lang w:eastAsia="fr-FR"/>
        </w:rPr>
        <w:footnoteReference w:id="4"/>
      </w:r>
      <w:r w:rsidRPr="00E53EE2">
        <w:rPr>
          <w:lang w:eastAsia="fr-FR"/>
        </w:rPr>
        <w:t>. La Réunion commune a estimé que le CEFIC devrait d</w:t>
      </w:r>
      <w:r>
        <w:rPr>
          <w:lang w:eastAsia="fr-FR"/>
        </w:rPr>
        <w:t>’</w:t>
      </w:r>
      <w:r w:rsidRPr="00E53EE2">
        <w:rPr>
          <w:lang w:eastAsia="fr-FR"/>
        </w:rPr>
        <w:t>abord faire part de ses préoccupations au Sous-Comité d</w:t>
      </w:r>
      <w:r>
        <w:rPr>
          <w:lang w:eastAsia="fr-FR"/>
        </w:rPr>
        <w:t>’</w:t>
      </w:r>
      <w:r w:rsidRPr="00E53EE2">
        <w:rPr>
          <w:lang w:eastAsia="fr-FR"/>
        </w:rPr>
        <w:t>experts de l</w:t>
      </w:r>
      <w:r>
        <w:rPr>
          <w:lang w:eastAsia="fr-FR"/>
        </w:rPr>
        <w:t>’</w:t>
      </w:r>
      <w:r w:rsidRPr="00E53EE2">
        <w:rPr>
          <w:lang w:eastAsia="fr-FR"/>
        </w:rPr>
        <w:t>ONU, ce qui lui permettrait de soumettre une proposition officielle qui tienne compte de l</w:t>
      </w:r>
      <w:r>
        <w:rPr>
          <w:lang w:eastAsia="fr-FR"/>
        </w:rPr>
        <w:t>’</w:t>
      </w:r>
      <w:r w:rsidRPr="00E53EE2">
        <w:rPr>
          <w:lang w:eastAsia="fr-FR"/>
        </w:rPr>
        <w:t>opinion du Sous-Comité (ECE/TRANS/WP.15/AC.1/2018/148).</w:t>
      </w:r>
    </w:p>
    <w:p w:rsidR="003B42E0" w:rsidRPr="00E53EE2" w:rsidRDefault="003B42E0" w:rsidP="003B42E0">
      <w:pPr>
        <w:kinsoku/>
        <w:overflowPunct/>
        <w:autoSpaceDE/>
        <w:autoSpaceDN/>
        <w:adjustRightInd/>
        <w:snapToGrid/>
        <w:spacing w:after="120"/>
        <w:ind w:left="1134" w:right="1134"/>
        <w:jc w:val="both"/>
        <w:rPr>
          <w:rFonts w:eastAsia="Times New Roman"/>
          <w:lang w:eastAsia="fr-FR"/>
        </w:rPr>
      </w:pPr>
      <w:r w:rsidRPr="00E53EE2">
        <w:rPr>
          <w:rFonts w:eastAsia="Times New Roman"/>
          <w:lang w:eastAsia="fr-FR"/>
        </w:rPr>
        <w:t>3.</w:t>
      </w:r>
      <w:r w:rsidRPr="00E53EE2">
        <w:rPr>
          <w:rFonts w:eastAsia="Times New Roman"/>
          <w:lang w:eastAsia="fr-FR"/>
        </w:rPr>
        <w:tab/>
        <w:t>Lors de la cinquante-sixième session du Sous-Comité, les experts de l</w:t>
      </w:r>
      <w:r>
        <w:rPr>
          <w:rFonts w:eastAsia="Times New Roman"/>
          <w:lang w:eastAsia="fr-FR"/>
        </w:rPr>
        <w:t>’</w:t>
      </w:r>
      <w:r w:rsidRPr="00E53EE2">
        <w:rPr>
          <w:rFonts w:eastAsia="Times New Roman"/>
          <w:lang w:eastAsia="fr-FR"/>
        </w:rPr>
        <w:t xml:space="preserve">Allemagne et du CEFIC ont présenté conjointement des propositions visant à harmoniser les prescriptions relatives à la notion de </w:t>
      </w:r>
      <w:r w:rsidR="00145FF8">
        <w:rPr>
          <w:rFonts w:eastAsia="Times New Roman"/>
          <w:lang w:eastAsia="fr-FR"/>
        </w:rPr>
        <w:t>« </w:t>
      </w:r>
      <w:r w:rsidRPr="00E53EE2">
        <w:rPr>
          <w:rFonts w:eastAsia="Times New Roman"/>
          <w:lang w:eastAsia="fr-FR"/>
        </w:rPr>
        <w:t>structurellement propre à l</w:t>
      </w:r>
      <w:r>
        <w:rPr>
          <w:rFonts w:eastAsia="Times New Roman"/>
          <w:lang w:eastAsia="fr-FR"/>
        </w:rPr>
        <w:t>’</w:t>
      </w:r>
      <w:r w:rsidRPr="00E53EE2">
        <w:rPr>
          <w:rFonts w:eastAsia="Times New Roman"/>
          <w:lang w:eastAsia="fr-FR"/>
        </w:rPr>
        <w:t>emploi</w:t>
      </w:r>
      <w:r w:rsidR="00145FF8">
        <w:rPr>
          <w:rFonts w:eastAsia="Times New Roman"/>
          <w:lang w:eastAsia="fr-FR"/>
        </w:rPr>
        <w:t> »</w:t>
      </w:r>
      <w:r w:rsidRPr="00E53EE2">
        <w:rPr>
          <w:rFonts w:eastAsia="Times New Roman"/>
          <w:lang w:eastAsia="fr-FR"/>
        </w:rPr>
        <w:t xml:space="preserve"> pour tous les conteneurs (ST/SG/AC.10/C.3/2019/40</w:t>
      </w:r>
      <w:r w:rsidR="00816DC9">
        <w:rPr>
          <w:rStyle w:val="FootnoteReference"/>
          <w:rFonts w:eastAsia="Times New Roman"/>
          <w:lang w:eastAsia="fr-FR"/>
        </w:rPr>
        <w:footnoteReference w:id="5"/>
      </w:r>
      <w:r w:rsidRPr="00E53EE2">
        <w:rPr>
          <w:rFonts w:eastAsia="Times New Roman"/>
          <w:lang w:eastAsia="fr-FR"/>
        </w:rPr>
        <w:t>). La plupart des délégations ont estimé que les différences qui existent entre les</w:t>
      </w:r>
      <w:r w:rsidRPr="00E53EE2">
        <w:t xml:space="preserve"> </w:t>
      </w:r>
      <w:r w:rsidRPr="00E53EE2">
        <w:rPr>
          <w:rFonts w:eastAsia="Times New Roman"/>
          <w:lang w:eastAsia="fr-FR"/>
        </w:rPr>
        <w:t xml:space="preserve">prescriptions relatives à la notion de </w:t>
      </w:r>
      <w:r w:rsidR="00145FF8">
        <w:rPr>
          <w:rFonts w:eastAsia="Times New Roman"/>
          <w:lang w:eastAsia="fr-FR"/>
        </w:rPr>
        <w:t>« </w:t>
      </w:r>
      <w:r w:rsidRPr="00E53EE2">
        <w:rPr>
          <w:rFonts w:eastAsia="Times New Roman"/>
          <w:lang w:eastAsia="fr-FR"/>
        </w:rPr>
        <w:t>structurellement propre à l</w:t>
      </w:r>
      <w:r>
        <w:rPr>
          <w:rFonts w:eastAsia="Times New Roman"/>
          <w:lang w:eastAsia="fr-FR"/>
        </w:rPr>
        <w:t>’</w:t>
      </w:r>
      <w:r w:rsidRPr="00E53EE2">
        <w:rPr>
          <w:rFonts w:eastAsia="Times New Roman"/>
          <w:lang w:eastAsia="fr-FR"/>
        </w:rPr>
        <w:t>emploi</w:t>
      </w:r>
      <w:r w:rsidR="00145FF8">
        <w:rPr>
          <w:rFonts w:eastAsia="Times New Roman"/>
          <w:lang w:eastAsia="fr-FR"/>
        </w:rPr>
        <w:t> »</w:t>
      </w:r>
      <w:r w:rsidRPr="00145FF8">
        <w:rPr>
          <w:rFonts w:eastAsia="Times New Roman"/>
          <w:bCs/>
          <w:sz w:val="28"/>
          <w:lang w:eastAsia="fr-FR"/>
        </w:rPr>
        <w:t xml:space="preserve"> </w:t>
      </w:r>
      <w:r w:rsidRPr="00E53EE2">
        <w:rPr>
          <w:rFonts w:eastAsia="Times New Roman"/>
          <w:lang w:eastAsia="fr-FR"/>
        </w:rPr>
        <w:t>applicables aux engins de transport de matières explosibles par rapport à d</w:t>
      </w:r>
      <w:r>
        <w:rPr>
          <w:rFonts w:eastAsia="Times New Roman"/>
          <w:lang w:eastAsia="fr-FR"/>
        </w:rPr>
        <w:t>’</w:t>
      </w:r>
      <w:r w:rsidRPr="00E53EE2">
        <w:rPr>
          <w:rFonts w:eastAsia="Times New Roman"/>
          <w:lang w:eastAsia="fr-FR"/>
        </w:rPr>
        <w:t>autres classes n</w:t>
      </w:r>
      <w:r>
        <w:rPr>
          <w:rFonts w:eastAsia="Times New Roman"/>
          <w:lang w:eastAsia="fr-FR"/>
        </w:rPr>
        <w:t>’</w:t>
      </w:r>
      <w:r w:rsidRPr="00E53EE2">
        <w:rPr>
          <w:rFonts w:eastAsia="Times New Roman"/>
          <w:lang w:eastAsia="fr-FR"/>
        </w:rPr>
        <w:t>étaient pas justifiées et ont approuvé l</w:t>
      </w:r>
      <w:r>
        <w:rPr>
          <w:rFonts w:eastAsia="Times New Roman"/>
          <w:lang w:eastAsia="fr-FR"/>
        </w:rPr>
        <w:t>’</w:t>
      </w:r>
      <w:r w:rsidRPr="00E53EE2">
        <w:rPr>
          <w:rFonts w:eastAsia="Times New Roman"/>
          <w:lang w:eastAsia="fr-FR"/>
        </w:rPr>
        <w:t>idée d</w:t>
      </w:r>
      <w:r>
        <w:rPr>
          <w:rFonts w:eastAsia="Times New Roman"/>
          <w:lang w:eastAsia="fr-FR"/>
        </w:rPr>
        <w:t>’</w:t>
      </w:r>
      <w:r w:rsidRPr="00E53EE2">
        <w:rPr>
          <w:rFonts w:eastAsia="Times New Roman"/>
          <w:lang w:eastAsia="fr-FR"/>
        </w:rPr>
        <w:t>une harmonisation entre les modes. Les amendements proposés aux sections respectives du Règlement type ont finalement été adoptées sans modifications supplémentaires.</w:t>
      </w:r>
    </w:p>
    <w:p w:rsidR="003B42E0" w:rsidRPr="00E53EE2" w:rsidRDefault="003B42E0" w:rsidP="00145FF8">
      <w:pPr>
        <w:pStyle w:val="HChG"/>
        <w:rPr>
          <w:lang w:eastAsia="zh-CN"/>
        </w:rPr>
      </w:pPr>
      <w:r w:rsidRPr="00E53EE2">
        <w:rPr>
          <w:lang w:eastAsia="zh-CN"/>
        </w:rPr>
        <w:tab/>
      </w:r>
      <w:r w:rsidRPr="00E53EE2">
        <w:rPr>
          <w:lang w:eastAsia="zh-CN"/>
        </w:rPr>
        <w:tab/>
        <w:t>Conclusion</w:t>
      </w:r>
    </w:p>
    <w:p w:rsidR="003B42E0" w:rsidRPr="00E53EE2" w:rsidRDefault="003B42E0" w:rsidP="00145FF8">
      <w:pPr>
        <w:pStyle w:val="SingleTxtG"/>
        <w:rPr>
          <w:lang w:eastAsia="fr-FR"/>
        </w:rPr>
      </w:pPr>
      <w:r w:rsidRPr="00E53EE2">
        <w:rPr>
          <w:lang w:eastAsia="fr-FR"/>
        </w:rPr>
        <w:t>4.</w:t>
      </w:r>
      <w:r w:rsidRPr="00E53EE2">
        <w:rPr>
          <w:lang w:eastAsia="fr-FR"/>
        </w:rPr>
        <w:tab/>
        <w:t>Tous les engins de transport utilisés pour transporter des marchandises dangereuses devraient être structurellement propre</w:t>
      </w:r>
      <w:r w:rsidR="00656EA7">
        <w:rPr>
          <w:lang w:eastAsia="fr-FR"/>
        </w:rPr>
        <w:t>s</w:t>
      </w:r>
      <w:r w:rsidRPr="00E53EE2">
        <w:rPr>
          <w:lang w:eastAsia="fr-FR"/>
        </w:rPr>
        <w:t xml:space="preserve"> à l</w:t>
      </w:r>
      <w:r>
        <w:rPr>
          <w:lang w:eastAsia="fr-FR"/>
        </w:rPr>
        <w:t>’</w:t>
      </w:r>
      <w:r w:rsidRPr="00E53EE2">
        <w:rPr>
          <w:lang w:eastAsia="fr-FR"/>
        </w:rPr>
        <w:t>emploi, ce qui signifie que l</w:t>
      </w:r>
      <w:r>
        <w:rPr>
          <w:lang w:eastAsia="fr-FR"/>
        </w:rPr>
        <w:t>’</w:t>
      </w:r>
      <w:r w:rsidRPr="00E53EE2">
        <w:rPr>
          <w:lang w:eastAsia="fr-FR"/>
        </w:rPr>
        <w:t xml:space="preserve">approche actuelle du RID/ADR doit être maintenue. Toutefois, la définition de </w:t>
      </w:r>
      <w:r w:rsidR="00145FF8">
        <w:rPr>
          <w:lang w:eastAsia="fr-FR"/>
        </w:rPr>
        <w:t>« </w:t>
      </w:r>
      <w:r w:rsidRPr="00E53EE2">
        <w:rPr>
          <w:lang w:eastAsia="fr-FR"/>
        </w:rPr>
        <w:t>structurellement propre à l</w:t>
      </w:r>
      <w:r>
        <w:rPr>
          <w:lang w:eastAsia="fr-FR"/>
        </w:rPr>
        <w:t>’</w:t>
      </w:r>
      <w:r w:rsidRPr="00E53EE2">
        <w:rPr>
          <w:lang w:eastAsia="fr-FR"/>
        </w:rPr>
        <w:t>emploi</w:t>
      </w:r>
      <w:r w:rsidR="00145FF8">
        <w:rPr>
          <w:lang w:eastAsia="fr-FR"/>
        </w:rPr>
        <w:t> »</w:t>
      </w:r>
      <w:r w:rsidRPr="00E53EE2">
        <w:rPr>
          <w:lang w:eastAsia="fr-FR"/>
        </w:rPr>
        <w:t xml:space="preserve"> devrait être modifiée pour tenir compte de l</w:t>
      </w:r>
      <w:r>
        <w:rPr>
          <w:lang w:eastAsia="fr-FR"/>
        </w:rPr>
        <w:t>’</w:t>
      </w:r>
      <w:r w:rsidRPr="00E53EE2">
        <w:rPr>
          <w:lang w:eastAsia="fr-FR"/>
        </w:rPr>
        <w:t>évolution technique des dernières années. Les références à des enfoncements ou pliures de plus de 19</w:t>
      </w:r>
      <w:r w:rsidR="00145FF8">
        <w:rPr>
          <w:lang w:eastAsia="fr-FR"/>
        </w:rPr>
        <w:t> </w:t>
      </w:r>
      <w:r w:rsidRPr="00E53EE2">
        <w:rPr>
          <w:lang w:eastAsia="fr-FR"/>
        </w:rPr>
        <w:t>mm de profondeur devraient être supprimées. Il n</w:t>
      </w:r>
      <w:r>
        <w:rPr>
          <w:lang w:eastAsia="fr-FR"/>
        </w:rPr>
        <w:t>’</w:t>
      </w:r>
      <w:r w:rsidRPr="00E53EE2">
        <w:rPr>
          <w:lang w:eastAsia="fr-FR"/>
        </w:rPr>
        <w:t>y a aucune justification technique au critère de 19</w:t>
      </w:r>
      <w:r w:rsidR="00145FF8">
        <w:rPr>
          <w:lang w:eastAsia="fr-FR"/>
        </w:rPr>
        <w:t> </w:t>
      </w:r>
      <w:r w:rsidRPr="00E53EE2">
        <w:rPr>
          <w:lang w:eastAsia="fr-FR"/>
        </w:rPr>
        <w:t xml:space="preserve">mm et son application engendre des problèmes pratiques car il contredit les </w:t>
      </w:r>
      <w:r w:rsidR="00145FF8">
        <w:rPr>
          <w:lang w:eastAsia="fr-FR"/>
        </w:rPr>
        <w:t>« </w:t>
      </w:r>
      <w:r w:rsidRPr="00E53EE2">
        <w:rPr>
          <w:lang w:eastAsia="fr-FR"/>
        </w:rPr>
        <w:t>Recommandations concernant l</w:t>
      </w:r>
      <w:r>
        <w:rPr>
          <w:lang w:eastAsia="fr-FR"/>
        </w:rPr>
        <w:t>’</w:t>
      </w:r>
      <w:r w:rsidRPr="00E53EE2">
        <w:rPr>
          <w:lang w:eastAsia="fr-FR"/>
        </w:rPr>
        <w:t>harmonisation de l</w:t>
      </w:r>
      <w:r>
        <w:rPr>
          <w:lang w:eastAsia="fr-FR"/>
        </w:rPr>
        <w:t>’</w:t>
      </w:r>
      <w:r w:rsidRPr="00E53EE2">
        <w:rPr>
          <w:lang w:eastAsia="fr-FR"/>
        </w:rPr>
        <w:t>interprétation et de la mise en œuvre de la</w:t>
      </w:r>
      <w:r w:rsidRPr="00E53EE2">
        <w:t xml:space="preserve"> </w:t>
      </w:r>
      <w:r w:rsidRPr="00E53EE2">
        <w:rPr>
          <w:lang w:eastAsia="fr-FR"/>
        </w:rPr>
        <w:t>Convention internationale de 1972 sur la sécurité des conteneurs</w:t>
      </w:r>
      <w:r w:rsidR="00145FF8">
        <w:rPr>
          <w:lang w:eastAsia="fr-FR"/>
        </w:rPr>
        <w:t> »</w:t>
      </w:r>
      <w:r w:rsidR="00656EA7">
        <w:rPr>
          <w:lang w:eastAsia="fr-FR"/>
        </w:rPr>
        <w:t>,</w:t>
      </w:r>
      <w:r w:rsidRPr="00E53EE2">
        <w:rPr>
          <w:lang w:eastAsia="fr-FR"/>
        </w:rPr>
        <w:t xml:space="preserve"> mise</w:t>
      </w:r>
      <w:r w:rsidR="00656EA7">
        <w:rPr>
          <w:lang w:eastAsia="fr-FR"/>
        </w:rPr>
        <w:t>s</w:t>
      </w:r>
      <w:r w:rsidRPr="00E53EE2">
        <w:rPr>
          <w:lang w:eastAsia="fr-FR"/>
        </w:rPr>
        <w:t xml:space="preserve"> à jour en 2013, y compris les lignes directrices concernant les défauts structurels des conteneurs (circulaire CSC.1/Circ.138/Rev.1 de l</w:t>
      </w:r>
      <w:r>
        <w:rPr>
          <w:lang w:eastAsia="fr-FR"/>
        </w:rPr>
        <w:t>’</w:t>
      </w:r>
      <w:r w:rsidRPr="00E53EE2">
        <w:rPr>
          <w:lang w:eastAsia="fr-FR"/>
        </w:rPr>
        <w:t>OMI).</w:t>
      </w:r>
    </w:p>
    <w:p w:rsidR="003B42E0" w:rsidRPr="00E53EE2" w:rsidRDefault="003B42E0" w:rsidP="00145FF8">
      <w:pPr>
        <w:pStyle w:val="SingleTxtG"/>
        <w:rPr>
          <w:lang w:eastAsia="fr-FR"/>
        </w:rPr>
      </w:pPr>
      <w:r w:rsidRPr="00E53EE2">
        <w:rPr>
          <w:lang w:eastAsia="fr-FR"/>
        </w:rPr>
        <w:t>5.</w:t>
      </w:r>
      <w:r w:rsidRPr="00E53EE2">
        <w:rPr>
          <w:lang w:eastAsia="fr-FR"/>
        </w:rPr>
        <w:tab/>
        <w:t>C</w:t>
      </w:r>
      <w:r>
        <w:rPr>
          <w:lang w:eastAsia="fr-FR"/>
        </w:rPr>
        <w:t>’</w:t>
      </w:r>
      <w:r w:rsidRPr="00E53EE2">
        <w:rPr>
          <w:lang w:eastAsia="fr-FR"/>
        </w:rPr>
        <w:t xml:space="preserve">est sur la base du projet de texte récemment adopté pour la vingt-deuxième édition révisée du Règlement type (à partir de 2021) en ce qui concerne la prescription </w:t>
      </w:r>
      <w:r w:rsidR="00816DC9">
        <w:rPr>
          <w:lang w:eastAsia="fr-FR"/>
        </w:rPr>
        <w:t>« </w:t>
      </w:r>
      <w:r w:rsidR="00816DC9" w:rsidRPr="00E53EE2">
        <w:rPr>
          <w:lang w:eastAsia="fr-FR"/>
        </w:rPr>
        <w:t>structurellement propre à l</w:t>
      </w:r>
      <w:r w:rsidR="00816DC9">
        <w:rPr>
          <w:lang w:eastAsia="fr-FR"/>
        </w:rPr>
        <w:t>’</w:t>
      </w:r>
      <w:r w:rsidR="00816DC9" w:rsidRPr="00E53EE2">
        <w:rPr>
          <w:lang w:eastAsia="fr-FR"/>
        </w:rPr>
        <w:t>emploi</w:t>
      </w:r>
      <w:r w:rsidR="00816DC9">
        <w:rPr>
          <w:lang w:eastAsia="fr-FR"/>
        </w:rPr>
        <w:t> »</w:t>
      </w:r>
      <w:r w:rsidRPr="00E53EE2">
        <w:rPr>
          <w:lang w:eastAsia="fr-FR"/>
        </w:rPr>
        <w:t xml:space="preserve"> des engins de transport</w:t>
      </w:r>
      <w:r w:rsidR="00656EA7">
        <w:rPr>
          <w:lang w:eastAsia="fr-FR"/>
        </w:rPr>
        <w:t>,</w:t>
      </w:r>
      <w:r w:rsidRPr="00E53EE2">
        <w:rPr>
          <w:lang w:eastAsia="fr-FR"/>
        </w:rPr>
        <w:t xml:space="preserve"> et en l</w:t>
      </w:r>
      <w:r>
        <w:rPr>
          <w:lang w:eastAsia="fr-FR"/>
        </w:rPr>
        <w:t>’</w:t>
      </w:r>
      <w:r w:rsidRPr="00E53EE2">
        <w:rPr>
          <w:lang w:eastAsia="fr-FR"/>
        </w:rPr>
        <w:t>appliquant au transport de toutes les classes de marchandises dangereuses</w:t>
      </w:r>
      <w:r w:rsidR="00656EA7">
        <w:rPr>
          <w:lang w:eastAsia="fr-FR"/>
        </w:rPr>
        <w:t>,</w:t>
      </w:r>
      <w:r w:rsidRPr="00E53EE2">
        <w:rPr>
          <w:lang w:eastAsia="fr-FR"/>
        </w:rPr>
        <w:t xml:space="preserve"> qu</w:t>
      </w:r>
      <w:r>
        <w:rPr>
          <w:lang w:eastAsia="fr-FR"/>
        </w:rPr>
        <w:t>’</w:t>
      </w:r>
      <w:r w:rsidRPr="00E53EE2">
        <w:rPr>
          <w:lang w:eastAsia="fr-FR"/>
        </w:rPr>
        <w:t>il est proposé de modifier les sections correspondantes du RID/ADR.</w:t>
      </w:r>
    </w:p>
    <w:p w:rsidR="003B42E0" w:rsidRPr="00E53EE2" w:rsidRDefault="003B42E0" w:rsidP="008F0ED1">
      <w:pPr>
        <w:pStyle w:val="HChG"/>
        <w:rPr>
          <w:lang w:eastAsia="zh-CN"/>
        </w:rPr>
      </w:pPr>
      <w:r w:rsidRPr="00E53EE2">
        <w:rPr>
          <w:lang w:eastAsia="zh-CN"/>
        </w:rPr>
        <w:lastRenderedPageBreak/>
        <w:tab/>
      </w:r>
      <w:r w:rsidRPr="00E53EE2">
        <w:rPr>
          <w:lang w:eastAsia="zh-CN"/>
        </w:rPr>
        <w:tab/>
        <w:t>Proposition</w:t>
      </w:r>
    </w:p>
    <w:p w:rsidR="003B42E0" w:rsidRPr="00E53EE2" w:rsidRDefault="003B42E0" w:rsidP="0061619C">
      <w:pPr>
        <w:pStyle w:val="SingleTxtG"/>
        <w:keepNext/>
        <w:rPr>
          <w:b/>
          <w:lang w:eastAsia="fr-FR"/>
        </w:rPr>
      </w:pPr>
      <w:r w:rsidRPr="00E53EE2">
        <w:rPr>
          <w:lang w:eastAsia="fr-FR"/>
        </w:rPr>
        <w:t>6.</w:t>
      </w:r>
      <w:r w:rsidRPr="00E53EE2">
        <w:rPr>
          <w:lang w:eastAsia="fr-FR"/>
        </w:rPr>
        <w:tab/>
        <w:t>Modifier la section 7.1.4 de l</w:t>
      </w:r>
      <w:r>
        <w:rPr>
          <w:lang w:eastAsia="fr-FR"/>
        </w:rPr>
        <w:t>’</w:t>
      </w:r>
      <w:r w:rsidRPr="00E53EE2">
        <w:rPr>
          <w:lang w:eastAsia="fr-FR"/>
        </w:rPr>
        <w:t xml:space="preserve">ADR comme suit, le texte destiné spécifiquement au RID est mis [entre crochets] (le texte supprimé est </w:t>
      </w:r>
      <w:r w:rsidRPr="00E53EE2">
        <w:rPr>
          <w:strike/>
          <w:lang w:eastAsia="fr-FR"/>
        </w:rPr>
        <w:t xml:space="preserve">biffé </w:t>
      </w:r>
      <w:r w:rsidRPr="00E53EE2">
        <w:rPr>
          <w:lang w:eastAsia="fr-FR"/>
        </w:rPr>
        <w:t xml:space="preserve">et le texte ajouté est </w:t>
      </w:r>
      <w:r w:rsidRPr="00E53EE2">
        <w:rPr>
          <w:u w:val="single"/>
          <w:lang w:eastAsia="fr-FR"/>
        </w:rPr>
        <w:t>souligné)</w:t>
      </w:r>
      <w:r w:rsidR="00227366">
        <w:rPr>
          <w:lang w:eastAsia="fr-FR"/>
        </w:rPr>
        <w:t> :</w:t>
      </w:r>
      <w:r w:rsidRPr="00E53EE2">
        <w:rPr>
          <w:lang w:eastAsia="fr-FR"/>
        </w:rPr>
        <w:t xml:space="preserve"> </w:t>
      </w:r>
    </w:p>
    <w:p w:rsidR="003B42E0" w:rsidRPr="007043F1" w:rsidRDefault="0061619C" w:rsidP="00E317C8">
      <w:pPr>
        <w:pStyle w:val="SingleTxtG"/>
        <w:ind w:left="2268" w:hanging="1134"/>
        <w:rPr>
          <w:i/>
          <w:iCs/>
          <w:lang w:eastAsia="fr-FR"/>
        </w:rPr>
      </w:pPr>
      <w:r>
        <w:rPr>
          <w:lang w:eastAsia="fr-FR"/>
        </w:rPr>
        <w:t>« </w:t>
      </w:r>
      <w:r w:rsidR="003B42E0" w:rsidRPr="007043F1">
        <w:rPr>
          <w:i/>
          <w:iCs/>
          <w:lang w:eastAsia="fr-FR"/>
        </w:rPr>
        <w:t>7.1.4</w:t>
      </w:r>
      <w:r w:rsidR="003B42E0" w:rsidRPr="007043F1">
        <w:rPr>
          <w:i/>
          <w:iCs/>
          <w:lang w:eastAsia="fr-FR"/>
        </w:rPr>
        <w:tab/>
      </w:r>
      <w:r w:rsidR="003B42E0" w:rsidRPr="007043F1">
        <w:rPr>
          <w:i/>
          <w:iCs/>
          <w:strike/>
          <w:lang w:eastAsia="fr-FR"/>
        </w:rPr>
        <w:t>Un grand conteneur ne doit être présenté pour le transport que s’il est structurellement propre à l’emploi.</w:t>
      </w:r>
      <w:r w:rsidR="003B42E0" w:rsidRPr="007043F1">
        <w:rPr>
          <w:i/>
          <w:iCs/>
          <w:lang w:eastAsia="fr-FR"/>
        </w:rPr>
        <w:t xml:space="preserve"> </w:t>
      </w:r>
    </w:p>
    <w:p w:rsidR="003B42E0" w:rsidRPr="007043F1" w:rsidRDefault="003B42E0" w:rsidP="00E317C8">
      <w:pPr>
        <w:pStyle w:val="SingleTxtG"/>
        <w:ind w:left="2268"/>
        <w:rPr>
          <w:i/>
          <w:iCs/>
          <w:strike/>
          <w:lang w:eastAsia="fr-FR"/>
        </w:rPr>
      </w:pPr>
      <w:r w:rsidRPr="007043F1">
        <w:rPr>
          <w:i/>
          <w:iCs/>
          <w:strike/>
          <w:lang w:eastAsia="fr-FR"/>
        </w:rPr>
        <w:t xml:space="preserve">Le terme </w:t>
      </w:r>
      <w:r w:rsidR="00E317C8" w:rsidRPr="007043F1">
        <w:rPr>
          <w:i/>
          <w:iCs/>
          <w:strike/>
          <w:lang w:eastAsia="fr-FR"/>
        </w:rPr>
        <w:t>“</w:t>
      </w:r>
      <w:r w:rsidRPr="007043F1">
        <w:rPr>
          <w:i/>
          <w:iCs/>
          <w:strike/>
          <w:lang w:eastAsia="fr-FR"/>
        </w:rPr>
        <w:t>structurellement propre à l’emploi</w:t>
      </w:r>
      <w:r w:rsidR="00E317C8" w:rsidRPr="007043F1">
        <w:rPr>
          <w:i/>
          <w:iCs/>
          <w:strike/>
          <w:lang w:eastAsia="fr-FR"/>
        </w:rPr>
        <w:t>”</w:t>
      </w:r>
      <w:r w:rsidRPr="007043F1">
        <w:rPr>
          <w:i/>
          <w:iCs/>
          <w:strike/>
          <w:lang w:eastAsia="fr-FR"/>
        </w:rPr>
        <w:t xml:space="preserve"> s’entend d’un conteneur qui ne présente pas de défauts importants affectant ses éléments structuraux tels que, les longerons supérieurs et inférieurs, les traverses supérieures et inférieures, les seuils et linteaux de portes, les traverses de plancher, les montants d’angle et les pièces de coin. On entend par </w:t>
      </w:r>
      <w:r w:rsidR="00E317C8" w:rsidRPr="007043F1">
        <w:rPr>
          <w:i/>
          <w:iCs/>
          <w:strike/>
          <w:lang w:eastAsia="fr-FR"/>
        </w:rPr>
        <w:t>“</w:t>
      </w:r>
      <w:r w:rsidRPr="007043F1">
        <w:rPr>
          <w:i/>
          <w:iCs/>
          <w:strike/>
          <w:lang w:eastAsia="fr-FR"/>
        </w:rPr>
        <w:t>défauts importants</w:t>
      </w:r>
      <w:r w:rsidR="00E317C8" w:rsidRPr="007043F1">
        <w:rPr>
          <w:i/>
          <w:iCs/>
          <w:strike/>
          <w:lang w:eastAsia="fr-FR"/>
        </w:rPr>
        <w:t>”</w:t>
      </w:r>
      <w:r w:rsidRPr="007043F1">
        <w:rPr>
          <w:i/>
          <w:iCs/>
          <w:strike/>
          <w:lang w:eastAsia="fr-FR"/>
        </w:rPr>
        <w:t xml:space="preserve"> tout enfoncement ou pliure ayant plus de 19</w:t>
      </w:r>
      <w:r w:rsidR="00E317C8" w:rsidRPr="007043F1">
        <w:rPr>
          <w:i/>
          <w:iCs/>
          <w:strike/>
          <w:lang w:eastAsia="fr-FR"/>
        </w:rPr>
        <w:t> </w:t>
      </w:r>
      <w:r w:rsidRPr="007043F1">
        <w:rPr>
          <w:i/>
          <w:iCs/>
          <w:strike/>
          <w:lang w:eastAsia="fr-FR"/>
        </w:rPr>
        <w:t xml:space="preserve">mm de profondeur dans un élément structural, quelle que soit la longueur de cette déformation, toute fissure ou rupture d’un élément structural, la présence de plus d’un raccord ou l’existence de raccords improprement exécutés (par exemple par recouvrement) aux traverses supérieures ou inférieures ou aux linteaux de portes ou de plus de deux raccords à l’un quelconque des longerons supérieurs ou inférieurs ou d’un seul raccord dans un seuil de porte ou un montant d’angle, le fait que les charnières de portes et les ferrures soient grippées, tordues, cassées, hors d’usage ou manquantes, le fait que les joints et garnitures ne soient pas étanches ou tout désalignement d’ensemble suffisant pour empêcher le positionnement correct du matériel de manutention, le montage et l’arrimage sur les châssis ou les véhicules. </w:t>
      </w:r>
    </w:p>
    <w:p w:rsidR="003B42E0" w:rsidRPr="007043F1" w:rsidRDefault="003B42E0" w:rsidP="00202826">
      <w:pPr>
        <w:pStyle w:val="SingleTxtG"/>
        <w:ind w:left="2268"/>
        <w:rPr>
          <w:rFonts w:eastAsia="Times New Roman"/>
          <w:i/>
          <w:iCs/>
          <w:strike/>
          <w:lang w:eastAsia="fr-FR"/>
        </w:rPr>
      </w:pPr>
      <w:r w:rsidRPr="007043F1">
        <w:rPr>
          <w:rFonts w:eastAsia="Times New Roman"/>
          <w:i/>
          <w:iCs/>
          <w:strike/>
          <w:lang w:eastAsia="fr-FR"/>
        </w:rPr>
        <w:t>En outre, toute détérioration d’un élément quelconque du conteneur, quel que soit le matériau de construction, comme la présence de parties rouillées de part en part dans les parois métalliques ou de parties désagrégées dans les éléments en fibre de verre, est inacceptable. Cependant, l’usure normale, y compris l’oxydation (rouille), et la présence de légères traces de choc et d’éraflures, et les autres dommages qui ne rendent pas l’engin impropre à l’emploi ni ne nuisent à son étanchéité aux intempéries sont acceptables.</w:t>
      </w:r>
    </w:p>
    <w:p w:rsidR="003B42E0" w:rsidRPr="00E53EE2" w:rsidRDefault="003B42E0" w:rsidP="00202826">
      <w:pPr>
        <w:pStyle w:val="SingleTxtG"/>
        <w:ind w:left="2268"/>
        <w:rPr>
          <w:rFonts w:eastAsia="Times New Roman"/>
          <w:i/>
          <w:strike/>
          <w:lang w:eastAsia="fr-FR"/>
        </w:rPr>
      </w:pPr>
      <w:r w:rsidRPr="007043F1">
        <w:rPr>
          <w:rFonts w:eastAsia="Times New Roman"/>
          <w:i/>
          <w:iCs/>
          <w:strike/>
          <w:lang w:eastAsia="fr-FR"/>
        </w:rPr>
        <w:t>Avant d’être chargé un conteneur doit être examiné afin d’assurer qu’il ne contient pas de résidus d’un chargement précédant et que le plancher et les parois intérieurs ne présentent pas de saillies.</w:t>
      </w:r>
    </w:p>
    <w:p w:rsidR="003B42E0" w:rsidRPr="00E53EE2" w:rsidRDefault="003B42E0" w:rsidP="007043F1">
      <w:pPr>
        <w:pStyle w:val="SingleTxtG"/>
        <w:ind w:left="2268"/>
        <w:rPr>
          <w:rFonts w:eastAsia="Times New Roman"/>
          <w:i/>
          <w:u w:val="single"/>
          <w:lang w:eastAsia="fr-FR"/>
        </w:rPr>
      </w:pPr>
      <w:r w:rsidRPr="00E53EE2">
        <w:rPr>
          <w:rFonts w:eastAsia="Times New Roman"/>
          <w:i/>
          <w:u w:val="single"/>
          <w:lang w:eastAsia="fr-FR"/>
        </w:rPr>
        <w:t>L</w:t>
      </w:r>
      <w:r>
        <w:rPr>
          <w:rFonts w:eastAsia="Times New Roman"/>
          <w:i/>
          <w:u w:val="single"/>
          <w:lang w:eastAsia="fr-FR"/>
        </w:rPr>
        <w:t>’</w:t>
      </w:r>
      <w:r w:rsidRPr="00E53EE2">
        <w:rPr>
          <w:rFonts w:eastAsia="Times New Roman"/>
          <w:i/>
          <w:u w:val="single"/>
          <w:lang w:eastAsia="fr-FR"/>
        </w:rPr>
        <w:t>intérieur et l</w:t>
      </w:r>
      <w:r>
        <w:rPr>
          <w:rFonts w:eastAsia="Times New Roman"/>
          <w:i/>
          <w:u w:val="single"/>
          <w:lang w:eastAsia="fr-FR"/>
        </w:rPr>
        <w:t>’</w:t>
      </w:r>
      <w:r w:rsidRPr="00E53EE2">
        <w:rPr>
          <w:rFonts w:eastAsia="Times New Roman"/>
          <w:i/>
          <w:u w:val="single"/>
          <w:lang w:eastAsia="fr-FR"/>
        </w:rPr>
        <w:t>extérieur d</w:t>
      </w:r>
      <w:r>
        <w:rPr>
          <w:rFonts w:eastAsia="Times New Roman"/>
          <w:i/>
          <w:u w:val="single"/>
          <w:lang w:eastAsia="fr-FR"/>
        </w:rPr>
        <w:t>’</w:t>
      </w:r>
      <w:r w:rsidRPr="00E53EE2">
        <w:rPr>
          <w:rFonts w:eastAsia="Times New Roman"/>
          <w:i/>
          <w:u w:val="single"/>
          <w:lang w:eastAsia="fr-FR"/>
        </w:rPr>
        <w:t xml:space="preserve">un engin de transport </w:t>
      </w:r>
      <w:r w:rsidRPr="00E53EE2">
        <w:rPr>
          <w:rFonts w:eastAsia="Times New Roman"/>
          <w:bCs/>
          <w:i/>
          <w:u w:val="single"/>
          <w:lang w:eastAsia="fr-FR"/>
        </w:rPr>
        <w:t>doi</w:t>
      </w:r>
      <w:r w:rsidR="00CA55E4">
        <w:rPr>
          <w:rFonts w:eastAsia="Times New Roman"/>
          <w:bCs/>
          <w:i/>
          <w:u w:val="single"/>
          <w:lang w:eastAsia="fr-FR"/>
        </w:rPr>
        <w:t>ven</w:t>
      </w:r>
      <w:r w:rsidRPr="00E53EE2">
        <w:rPr>
          <w:rFonts w:eastAsia="Times New Roman"/>
          <w:bCs/>
          <w:i/>
          <w:u w:val="single"/>
          <w:lang w:eastAsia="fr-FR"/>
        </w:rPr>
        <w:t>t être inspectés avant le chargement, afin de s</w:t>
      </w:r>
      <w:r>
        <w:rPr>
          <w:rFonts w:eastAsia="Times New Roman"/>
          <w:bCs/>
          <w:i/>
          <w:u w:val="single"/>
          <w:lang w:eastAsia="fr-FR"/>
        </w:rPr>
        <w:t>’</w:t>
      </w:r>
      <w:r w:rsidRPr="00E53EE2">
        <w:rPr>
          <w:rFonts w:eastAsia="Times New Roman"/>
          <w:i/>
          <w:u w:val="single"/>
          <w:lang w:eastAsia="fr-FR"/>
        </w:rPr>
        <w:t>assurer de l</w:t>
      </w:r>
      <w:r>
        <w:rPr>
          <w:rFonts w:eastAsia="Times New Roman"/>
          <w:i/>
          <w:u w:val="single"/>
          <w:lang w:eastAsia="fr-FR"/>
        </w:rPr>
        <w:t>’</w:t>
      </w:r>
      <w:r w:rsidRPr="00E53EE2">
        <w:rPr>
          <w:rFonts w:eastAsia="Times New Roman"/>
          <w:i/>
          <w:u w:val="single"/>
          <w:lang w:eastAsia="fr-FR"/>
        </w:rPr>
        <w:t>absence de tout dommage susceptible d</w:t>
      </w:r>
      <w:r>
        <w:rPr>
          <w:rFonts w:eastAsia="Times New Roman"/>
          <w:i/>
          <w:u w:val="single"/>
          <w:lang w:eastAsia="fr-FR"/>
        </w:rPr>
        <w:t>’</w:t>
      </w:r>
      <w:r w:rsidRPr="00E53EE2">
        <w:rPr>
          <w:rFonts w:eastAsia="Times New Roman"/>
          <w:i/>
          <w:u w:val="single"/>
          <w:lang w:eastAsia="fr-FR"/>
        </w:rPr>
        <w:t xml:space="preserve">affecter son intégrité ou celle des marchandises devant y être chargées. </w:t>
      </w:r>
    </w:p>
    <w:p w:rsidR="003B42E0" w:rsidRPr="00E53EE2" w:rsidRDefault="003B42E0" w:rsidP="007043F1">
      <w:pPr>
        <w:pStyle w:val="SingleTxtG"/>
        <w:ind w:left="2268"/>
        <w:rPr>
          <w:rFonts w:eastAsia="Times New Roman"/>
          <w:i/>
          <w:u w:val="single"/>
          <w:lang w:eastAsia="fr-FR"/>
        </w:rPr>
      </w:pPr>
      <w:r w:rsidRPr="00E53EE2">
        <w:rPr>
          <w:rFonts w:eastAsia="Times New Roman"/>
          <w:i/>
          <w:u w:val="single"/>
          <w:lang w:eastAsia="fr-FR"/>
        </w:rPr>
        <w:t>L</w:t>
      </w:r>
      <w:r>
        <w:rPr>
          <w:rFonts w:eastAsia="Times New Roman"/>
          <w:i/>
          <w:u w:val="single"/>
          <w:lang w:eastAsia="fr-FR"/>
        </w:rPr>
        <w:t>’</w:t>
      </w:r>
      <w:r w:rsidRPr="00E53EE2">
        <w:rPr>
          <w:rFonts w:eastAsia="Times New Roman"/>
          <w:i/>
          <w:u w:val="single"/>
          <w:lang w:eastAsia="fr-FR"/>
        </w:rPr>
        <w:t xml:space="preserve">engin de transport doit être inspecté </w:t>
      </w:r>
      <w:r w:rsidRPr="00E53EE2">
        <w:rPr>
          <w:rFonts w:eastAsia="Times New Roman"/>
          <w:bCs/>
          <w:i/>
          <w:u w:val="single"/>
          <w:lang w:eastAsia="fr-FR"/>
        </w:rPr>
        <w:t>afin de s</w:t>
      </w:r>
      <w:r>
        <w:rPr>
          <w:rFonts w:eastAsia="Times New Roman"/>
          <w:bCs/>
          <w:i/>
          <w:u w:val="single"/>
          <w:lang w:eastAsia="fr-FR"/>
        </w:rPr>
        <w:t>’</w:t>
      </w:r>
      <w:r w:rsidRPr="00E53EE2">
        <w:rPr>
          <w:rFonts w:eastAsia="Times New Roman"/>
          <w:i/>
          <w:u w:val="single"/>
          <w:lang w:eastAsia="fr-FR"/>
        </w:rPr>
        <w:t>assurer qu</w:t>
      </w:r>
      <w:r>
        <w:rPr>
          <w:rFonts w:eastAsia="Times New Roman"/>
          <w:i/>
          <w:u w:val="single"/>
          <w:lang w:eastAsia="fr-FR"/>
        </w:rPr>
        <w:t>’</w:t>
      </w:r>
      <w:r w:rsidRPr="00E53EE2">
        <w:rPr>
          <w:rFonts w:eastAsia="Times New Roman"/>
          <w:i/>
          <w:u w:val="single"/>
          <w:lang w:eastAsia="fr-FR"/>
        </w:rPr>
        <w:t>il est</w:t>
      </w:r>
      <w:r w:rsidRPr="00E53EE2">
        <w:t xml:space="preserve"> </w:t>
      </w:r>
      <w:r w:rsidRPr="00E53EE2">
        <w:rPr>
          <w:rFonts w:eastAsia="Times New Roman"/>
          <w:i/>
          <w:u w:val="single"/>
          <w:lang w:eastAsia="fr-FR"/>
        </w:rPr>
        <w:t>structurellement propre à l</w:t>
      </w:r>
      <w:r>
        <w:rPr>
          <w:rFonts w:eastAsia="Times New Roman"/>
          <w:i/>
          <w:u w:val="single"/>
          <w:lang w:eastAsia="fr-FR"/>
        </w:rPr>
        <w:t>’</w:t>
      </w:r>
      <w:r w:rsidRPr="00E53EE2">
        <w:rPr>
          <w:rFonts w:eastAsia="Times New Roman"/>
          <w:i/>
          <w:u w:val="single"/>
          <w:lang w:eastAsia="fr-FR"/>
        </w:rPr>
        <w:t>emploi, qu</w:t>
      </w:r>
      <w:r>
        <w:rPr>
          <w:rFonts w:eastAsia="Times New Roman"/>
          <w:i/>
          <w:u w:val="single"/>
          <w:lang w:eastAsia="fr-FR"/>
        </w:rPr>
        <w:t>’</w:t>
      </w:r>
      <w:r w:rsidRPr="00E53EE2">
        <w:rPr>
          <w:rFonts w:eastAsia="Times New Roman"/>
          <w:i/>
          <w:u w:val="single"/>
          <w:lang w:eastAsia="fr-FR"/>
        </w:rPr>
        <w:t>il est exempt de résidus incompatibles avec le chargement, que le plancher, les parois intérieures et le plafond, le cas échéant, ne présentent pas de saillies susceptibles d</w:t>
      </w:r>
      <w:r>
        <w:rPr>
          <w:rFonts w:eastAsia="Times New Roman"/>
          <w:i/>
          <w:u w:val="single"/>
          <w:lang w:eastAsia="fr-FR"/>
        </w:rPr>
        <w:t>’</w:t>
      </w:r>
      <w:r w:rsidRPr="00E53EE2">
        <w:rPr>
          <w:rFonts w:eastAsia="Times New Roman"/>
          <w:i/>
          <w:u w:val="single"/>
          <w:lang w:eastAsia="fr-FR"/>
        </w:rPr>
        <w:t>affecter le chargement qui se trouve à l</w:t>
      </w:r>
      <w:r>
        <w:rPr>
          <w:rFonts w:eastAsia="Times New Roman"/>
          <w:i/>
          <w:u w:val="single"/>
          <w:lang w:eastAsia="fr-FR"/>
        </w:rPr>
        <w:t>’</w:t>
      </w:r>
      <w:r w:rsidRPr="00E53EE2">
        <w:rPr>
          <w:rFonts w:eastAsia="Times New Roman"/>
          <w:i/>
          <w:u w:val="single"/>
          <w:lang w:eastAsia="fr-FR"/>
        </w:rPr>
        <w:t>intérieur et que les conteneurs sont exempts de dommages susceptibles d</w:t>
      </w:r>
      <w:r>
        <w:rPr>
          <w:rFonts w:eastAsia="Times New Roman"/>
          <w:i/>
          <w:u w:val="single"/>
          <w:lang w:eastAsia="fr-FR"/>
        </w:rPr>
        <w:t>’</w:t>
      </w:r>
      <w:r w:rsidRPr="00E53EE2">
        <w:rPr>
          <w:rFonts w:eastAsia="Times New Roman"/>
          <w:i/>
          <w:u w:val="single"/>
          <w:lang w:eastAsia="fr-FR"/>
        </w:rPr>
        <w:t>affecter l</w:t>
      </w:r>
      <w:r>
        <w:rPr>
          <w:rFonts w:eastAsia="Times New Roman"/>
          <w:i/>
          <w:u w:val="single"/>
          <w:lang w:eastAsia="fr-FR"/>
        </w:rPr>
        <w:t>’</w:t>
      </w:r>
      <w:r w:rsidRPr="00E53EE2">
        <w:rPr>
          <w:rFonts w:eastAsia="Times New Roman"/>
          <w:i/>
          <w:u w:val="single"/>
          <w:lang w:eastAsia="fr-FR"/>
        </w:rPr>
        <w:t>étanchéité aux intempéries du conteneur, lorsque c</w:t>
      </w:r>
      <w:r>
        <w:rPr>
          <w:rFonts w:eastAsia="Times New Roman"/>
          <w:i/>
          <w:u w:val="single"/>
          <w:lang w:eastAsia="fr-FR"/>
        </w:rPr>
        <w:t>’</w:t>
      </w:r>
      <w:r w:rsidRPr="00E53EE2">
        <w:rPr>
          <w:rFonts w:eastAsia="Times New Roman"/>
          <w:i/>
          <w:u w:val="single"/>
          <w:lang w:eastAsia="fr-FR"/>
        </w:rPr>
        <w:t>est exigé.</w:t>
      </w:r>
    </w:p>
    <w:p w:rsidR="003B42E0" w:rsidRPr="00E53EE2" w:rsidRDefault="003B42E0" w:rsidP="007043F1">
      <w:pPr>
        <w:pStyle w:val="SingleTxtG"/>
        <w:ind w:left="2268"/>
        <w:rPr>
          <w:rFonts w:eastAsia="Times New Roman"/>
          <w:i/>
          <w:u w:val="single"/>
          <w:lang w:eastAsia="fr-FR"/>
        </w:rPr>
      </w:pPr>
      <w:r w:rsidRPr="00E53EE2">
        <w:rPr>
          <w:rFonts w:eastAsia="Times New Roman"/>
          <w:i/>
          <w:u w:val="single"/>
          <w:lang w:eastAsia="fr-FR"/>
        </w:rPr>
        <w:t>L</w:t>
      </w:r>
      <w:r>
        <w:rPr>
          <w:rFonts w:eastAsia="Times New Roman"/>
          <w:i/>
          <w:u w:val="single"/>
          <w:lang w:eastAsia="fr-FR"/>
        </w:rPr>
        <w:t>’</w:t>
      </w:r>
      <w:r w:rsidRPr="00E53EE2">
        <w:rPr>
          <w:rFonts w:eastAsia="Times New Roman"/>
          <w:i/>
          <w:u w:val="single"/>
          <w:lang w:eastAsia="fr-FR"/>
        </w:rPr>
        <w:t xml:space="preserve">expression </w:t>
      </w:r>
      <w:r w:rsidR="00DB7F09">
        <w:rPr>
          <w:rFonts w:eastAsia="Times New Roman"/>
          <w:i/>
          <w:u w:val="single"/>
          <w:lang w:eastAsia="fr-FR"/>
        </w:rPr>
        <w:t>“</w:t>
      </w:r>
      <w:r w:rsidRPr="00E53EE2">
        <w:rPr>
          <w:rFonts w:eastAsia="Times New Roman"/>
          <w:i/>
          <w:u w:val="single"/>
          <w:lang w:eastAsia="fr-FR"/>
        </w:rPr>
        <w:t>structurellement propre à l</w:t>
      </w:r>
      <w:r>
        <w:rPr>
          <w:rFonts w:eastAsia="Times New Roman"/>
          <w:i/>
          <w:u w:val="single"/>
          <w:lang w:eastAsia="fr-FR"/>
        </w:rPr>
        <w:t>’</w:t>
      </w:r>
      <w:r w:rsidRPr="00E53EE2">
        <w:rPr>
          <w:rFonts w:eastAsia="Times New Roman"/>
          <w:i/>
          <w:u w:val="single"/>
          <w:lang w:eastAsia="fr-FR"/>
        </w:rPr>
        <w:t>emploi</w:t>
      </w:r>
      <w:r w:rsidR="00DB7F09">
        <w:rPr>
          <w:rFonts w:eastAsia="Times New Roman"/>
          <w:i/>
          <w:u w:val="single"/>
          <w:lang w:eastAsia="fr-FR"/>
        </w:rPr>
        <w:t>”</w:t>
      </w:r>
      <w:r w:rsidRPr="00E53EE2">
        <w:rPr>
          <w:rFonts w:eastAsia="Times New Roman"/>
          <w:i/>
          <w:u w:val="single"/>
          <w:lang w:eastAsia="fr-FR"/>
        </w:rPr>
        <w:t xml:space="preserve"> s</w:t>
      </w:r>
      <w:r>
        <w:rPr>
          <w:rFonts w:eastAsia="Times New Roman"/>
          <w:i/>
          <w:u w:val="single"/>
          <w:lang w:eastAsia="fr-FR"/>
        </w:rPr>
        <w:t>’</w:t>
      </w:r>
      <w:r w:rsidRPr="00E53EE2">
        <w:rPr>
          <w:rFonts w:eastAsia="Times New Roman"/>
          <w:i/>
          <w:u w:val="single"/>
          <w:lang w:eastAsia="fr-FR"/>
        </w:rPr>
        <w:t>entend d</w:t>
      </w:r>
      <w:r>
        <w:rPr>
          <w:rFonts w:eastAsia="Times New Roman"/>
          <w:i/>
          <w:u w:val="single"/>
          <w:lang w:eastAsia="fr-FR"/>
        </w:rPr>
        <w:t>’</w:t>
      </w:r>
      <w:r w:rsidRPr="00E53EE2">
        <w:rPr>
          <w:rFonts w:eastAsia="Times New Roman"/>
          <w:i/>
          <w:u w:val="single"/>
          <w:lang w:eastAsia="fr-FR"/>
        </w:rPr>
        <w:t>un engin de transport qui ne présente pas de défauts importants affectant ses éléments structuraux. Pour les engins de transport multimodaux, les éléments structuraux sont notamment les longerons supérieurs et inférieurs, les traverses supérieures et inférieures, les montants d</w:t>
      </w:r>
      <w:r>
        <w:rPr>
          <w:rFonts w:eastAsia="Times New Roman"/>
          <w:i/>
          <w:u w:val="single"/>
          <w:lang w:eastAsia="fr-FR"/>
        </w:rPr>
        <w:t>’</w:t>
      </w:r>
      <w:r w:rsidRPr="00E53EE2">
        <w:rPr>
          <w:rFonts w:eastAsia="Times New Roman"/>
          <w:i/>
          <w:u w:val="single"/>
          <w:lang w:eastAsia="fr-FR"/>
        </w:rPr>
        <w:t>angles et les pièces de coin et, pour les conteneurs, les seuils et linteaux de portes et les traverses de plancher.</w:t>
      </w:r>
      <w:r w:rsidRPr="00E53EE2">
        <w:t xml:space="preserve"> </w:t>
      </w:r>
      <w:r w:rsidRPr="00E53EE2">
        <w:rPr>
          <w:rFonts w:eastAsia="Times New Roman"/>
          <w:i/>
          <w:u w:val="single"/>
          <w:lang w:eastAsia="fr-FR"/>
        </w:rPr>
        <w:t xml:space="preserve">On entend par </w:t>
      </w:r>
      <w:r w:rsidR="003D4E61">
        <w:rPr>
          <w:rFonts w:eastAsia="Times New Roman"/>
          <w:i/>
          <w:u w:val="single"/>
          <w:lang w:eastAsia="fr-FR"/>
        </w:rPr>
        <w:t>“</w:t>
      </w:r>
      <w:r w:rsidRPr="00E53EE2">
        <w:rPr>
          <w:rFonts w:eastAsia="Times New Roman"/>
          <w:i/>
          <w:u w:val="single"/>
          <w:lang w:eastAsia="fr-FR"/>
        </w:rPr>
        <w:t>défauts importants</w:t>
      </w:r>
      <w:r w:rsidR="003D4E61">
        <w:rPr>
          <w:rFonts w:eastAsia="Times New Roman"/>
          <w:i/>
          <w:u w:val="single"/>
          <w:lang w:eastAsia="fr-FR"/>
        </w:rPr>
        <w:t>”</w:t>
      </w:r>
      <w:r w:rsidR="00227366">
        <w:rPr>
          <w:rFonts w:eastAsia="Times New Roman"/>
          <w:i/>
          <w:u w:val="single"/>
          <w:lang w:eastAsia="fr-FR"/>
        </w:rPr>
        <w:t> :</w:t>
      </w:r>
    </w:p>
    <w:p w:rsidR="003B42E0" w:rsidRPr="00E53EE2" w:rsidRDefault="003B42E0" w:rsidP="003D4E61">
      <w:pPr>
        <w:pStyle w:val="SingleTxtG"/>
        <w:ind w:left="2835" w:hanging="567"/>
        <w:rPr>
          <w:rFonts w:eastAsia="Times New Roman"/>
          <w:i/>
          <w:u w:val="single"/>
          <w:lang w:eastAsia="fr-FR"/>
        </w:rPr>
      </w:pPr>
      <w:r w:rsidRPr="00E53EE2">
        <w:rPr>
          <w:rFonts w:eastAsia="Times New Roman"/>
          <w:i/>
          <w:u w:val="single"/>
          <w:lang w:eastAsia="fr-FR"/>
        </w:rPr>
        <w:t>a)</w:t>
      </w:r>
      <w:r w:rsidRPr="00E53EE2">
        <w:rPr>
          <w:rFonts w:eastAsia="Times New Roman"/>
          <w:i/>
          <w:u w:val="single"/>
          <w:lang w:eastAsia="fr-FR"/>
        </w:rPr>
        <w:tab/>
        <w:t>Les pliures, fissures ou ruptures dans un élément structural ou de soutien et tout endommagement de l</w:t>
      </w:r>
      <w:r>
        <w:rPr>
          <w:rFonts w:eastAsia="Times New Roman"/>
          <w:i/>
          <w:u w:val="single"/>
          <w:lang w:eastAsia="fr-FR"/>
        </w:rPr>
        <w:t>’</w:t>
      </w:r>
      <w:r w:rsidRPr="00E53EE2">
        <w:rPr>
          <w:rFonts w:eastAsia="Times New Roman"/>
          <w:i/>
          <w:u w:val="single"/>
          <w:lang w:eastAsia="fr-FR"/>
        </w:rPr>
        <w:t>équipement de service ou du matériel d</w:t>
      </w:r>
      <w:r>
        <w:rPr>
          <w:rFonts w:eastAsia="Times New Roman"/>
          <w:i/>
          <w:u w:val="single"/>
          <w:lang w:eastAsia="fr-FR"/>
        </w:rPr>
        <w:t>’</w:t>
      </w:r>
      <w:r w:rsidRPr="00E53EE2">
        <w:rPr>
          <w:rFonts w:eastAsia="Times New Roman"/>
          <w:i/>
          <w:u w:val="single"/>
          <w:lang w:eastAsia="fr-FR"/>
        </w:rPr>
        <w:t>exploitation qui affecte l</w:t>
      </w:r>
      <w:r>
        <w:rPr>
          <w:rFonts w:eastAsia="Times New Roman"/>
          <w:i/>
          <w:u w:val="single"/>
          <w:lang w:eastAsia="fr-FR"/>
        </w:rPr>
        <w:t>’</w:t>
      </w:r>
      <w:r w:rsidRPr="00E53EE2">
        <w:rPr>
          <w:rFonts w:eastAsia="Times New Roman"/>
          <w:i/>
          <w:u w:val="single"/>
          <w:lang w:eastAsia="fr-FR"/>
        </w:rPr>
        <w:t>intégrité de l</w:t>
      </w:r>
      <w:r>
        <w:rPr>
          <w:rFonts w:eastAsia="Times New Roman"/>
          <w:i/>
          <w:u w:val="single"/>
          <w:lang w:eastAsia="fr-FR"/>
        </w:rPr>
        <w:t>’</w:t>
      </w:r>
      <w:r w:rsidRPr="00E53EE2">
        <w:rPr>
          <w:rFonts w:eastAsia="Times New Roman"/>
          <w:i/>
          <w:u w:val="single"/>
          <w:lang w:eastAsia="fr-FR"/>
        </w:rPr>
        <w:t>engin</w:t>
      </w:r>
      <w:r w:rsidR="00227366">
        <w:rPr>
          <w:rFonts w:eastAsia="Times New Roman"/>
          <w:i/>
          <w:u w:val="single"/>
          <w:lang w:eastAsia="fr-FR"/>
        </w:rPr>
        <w:t> ;</w:t>
      </w:r>
      <w:r w:rsidRPr="00E53EE2">
        <w:rPr>
          <w:rFonts w:eastAsia="Times New Roman"/>
          <w:i/>
          <w:u w:val="single"/>
          <w:lang w:eastAsia="fr-FR"/>
        </w:rPr>
        <w:t xml:space="preserve"> </w:t>
      </w:r>
    </w:p>
    <w:p w:rsidR="003B42E0" w:rsidRPr="00E53EE2" w:rsidRDefault="003B42E0" w:rsidP="003D4E61">
      <w:pPr>
        <w:pStyle w:val="SingleTxtG"/>
        <w:ind w:left="2835" w:hanging="567"/>
        <w:rPr>
          <w:rFonts w:eastAsia="Times New Roman"/>
          <w:i/>
          <w:u w:val="single"/>
          <w:lang w:eastAsia="fr-FR"/>
        </w:rPr>
      </w:pPr>
      <w:r w:rsidRPr="00E53EE2">
        <w:rPr>
          <w:rFonts w:eastAsia="Times New Roman"/>
          <w:i/>
          <w:u w:val="single"/>
          <w:lang w:eastAsia="fr-FR"/>
        </w:rPr>
        <w:lastRenderedPageBreak/>
        <w:t>b)</w:t>
      </w:r>
      <w:r w:rsidRPr="00E53EE2">
        <w:rPr>
          <w:rFonts w:eastAsia="Times New Roman"/>
          <w:i/>
          <w:u w:val="single"/>
          <w:lang w:eastAsia="fr-FR"/>
        </w:rPr>
        <w:tab/>
        <w:t>Tout désalignement d</w:t>
      </w:r>
      <w:r>
        <w:rPr>
          <w:rFonts w:eastAsia="Times New Roman"/>
          <w:i/>
          <w:u w:val="single"/>
          <w:lang w:eastAsia="fr-FR"/>
        </w:rPr>
        <w:t>’</w:t>
      </w:r>
      <w:r w:rsidRPr="00E53EE2">
        <w:rPr>
          <w:rFonts w:eastAsia="Times New Roman"/>
          <w:i/>
          <w:u w:val="single"/>
          <w:lang w:eastAsia="fr-FR"/>
        </w:rPr>
        <w:t>ensemble ou tout dommage causé aux attaches de levage ou à l</w:t>
      </w:r>
      <w:r>
        <w:rPr>
          <w:rFonts w:eastAsia="Times New Roman"/>
          <w:i/>
          <w:u w:val="single"/>
          <w:lang w:eastAsia="fr-FR"/>
        </w:rPr>
        <w:t>’</w:t>
      </w:r>
      <w:r w:rsidRPr="00E53EE2">
        <w:rPr>
          <w:rFonts w:eastAsia="Times New Roman"/>
          <w:i/>
          <w:u w:val="single"/>
          <w:lang w:eastAsia="fr-FR"/>
        </w:rPr>
        <w:t>interface de l</w:t>
      </w:r>
      <w:r>
        <w:rPr>
          <w:rFonts w:eastAsia="Times New Roman"/>
          <w:i/>
          <w:u w:val="single"/>
          <w:lang w:eastAsia="fr-FR"/>
        </w:rPr>
        <w:t>’</w:t>
      </w:r>
      <w:r w:rsidRPr="00E53EE2">
        <w:rPr>
          <w:rFonts w:eastAsia="Times New Roman"/>
          <w:i/>
          <w:u w:val="single"/>
          <w:lang w:eastAsia="fr-FR"/>
        </w:rPr>
        <w:t>équipement de manutention suffisant pour empêcher le positionnement correct du matériel de manutention, le montage et l</w:t>
      </w:r>
      <w:r>
        <w:rPr>
          <w:rFonts w:eastAsia="Times New Roman"/>
          <w:i/>
          <w:u w:val="single"/>
          <w:lang w:eastAsia="fr-FR"/>
        </w:rPr>
        <w:t>’</w:t>
      </w:r>
      <w:r w:rsidRPr="00E53EE2">
        <w:rPr>
          <w:rFonts w:eastAsia="Times New Roman"/>
          <w:i/>
          <w:u w:val="single"/>
          <w:lang w:eastAsia="fr-FR"/>
        </w:rPr>
        <w:t>arrimage sur les châssis, véhicules routiers ou wagons, ou l</w:t>
      </w:r>
      <w:r>
        <w:rPr>
          <w:rFonts w:eastAsia="Times New Roman"/>
          <w:i/>
          <w:u w:val="single"/>
          <w:lang w:eastAsia="fr-FR"/>
        </w:rPr>
        <w:t>’</w:t>
      </w:r>
      <w:r w:rsidRPr="00E53EE2">
        <w:rPr>
          <w:rFonts w:eastAsia="Times New Roman"/>
          <w:i/>
          <w:u w:val="single"/>
          <w:lang w:eastAsia="fr-FR"/>
        </w:rPr>
        <w:t>insertion dans les cellules du navire et</w:t>
      </w:r>
      <w:r w:rsidR="006844A0" w:rsidRPr="00E53EE2">
        <w:rPr>
          <w:rFonts w:eastAsia="Times New Roman"/>
          <w:i/>
          <w:u w:val="single"/>
          <w:lang w:eastAsia="fr-FR"/>
        </w:rPr>
        <w:t>,</w:t>
      </w:r>
      <w:r w:rsidRPr="00E53EE2">
        <w:rPr>
          <w:rFonts w:eastAsia="Times New Roman"/>
          <w:i/>
          <w:u w:val="single"/>
          <w:lang w:eastAsia="fr-FR"/>
        </w:rPr>
        <w:t xml:space="preserve"> le cas échéant</w:t>
      </w:r>
      <w:r w:rsidR="00227366">
        <w:rPr>
          <w:rFonts w:eastAsia="Times New Roman"/>
          <w:i/>
          <w:u w:val="single"/>
          <w:lang w:eastAsia="fr-FR"/>
        </w:rPr>
        <w:t> :</w:t>
      </w:r>
      <w:r w:rsidRPr="00E53EE2">
        <w:rPr>
          <w:rFonts w:eastAsia="Times New Roman"/>
          <w:i/>
          <w:u w:val="single"/>
          <w:lang w:eastAsia="fr-FR"/>
        </w:rPr>
        <w:t xml:space="preserve"> </w:t>
      </w:r>
    </w:p>
    <w:p w:rsidR="003B42E0" w:rsidRPr="00E53EE2" w:rsidRDefault="003B42E0" w:rsidP="003D4E61">
      <w:pPr>
        <w:pStyle w:val="SingleTxtG"/>
        <w:ind w:left="2835" w:hanging="567"/>
        <w:rPr>
          <w:rFonts w:eastAsia="Times New Roman"/>
          <w:i/>
          <w:u w:val="single"/>
          <w:lang w:eastAsia="fr-FR"/>
        </w:rPr>
      </w:pPr>
      <w:r w:rsidRPr="00E53EE2">
        <w:rPr>
          <w:rFonts w:eastAsia="Times New Roman"/>
          <w:i/>
          <w:u w:val="single"/>
          <w:lang w:eastAsia="fr-FR"/>
        </w:rPr>
        <w:t>c)</w:t>
      </w:r>
      <w:r w:rsidRPr="00E53EE2">
        <w:rPr>
          <w:rFonts w:eastAsia="Times New Roman"/>
          <w:i/>
          <w:u w:val="single"/>
          <w:lang w:eastAsia="fr-FR"/>
        </w:rPr>
        <w:tab/>
        <w:t>Les charnières de porte, joints de porte et ferrures grippés, tordus, cassés, hors d</w:t>
      </w:r>
      <w:r>
        <w:rPr>
          <w:rFonts w:eastAsia="Times New Roman"/>
          <w:i/>
          <w:u w:val="single"/>
          <w:lang w:eastAsia="fr-FR"/>
        </w:rPr>
        <w:t>’</w:t>
      </w:r>
      <w:r w:rsidRPr="00E53EE2">
        <w:rPr>
          <w:rFonts w:eastAsia="Times New Roman"/>
          <w:i/>
          <w:u w:val="single"/>
          <w:lang w:eastAsia="fr-FR"/>
        </w:rPr>
        <w:t xml:space="preserve">usage ou manquants. </w:t>
      </w:r>
    </w:p>
    <w:p w:rsidR="003B42E0" w:rsidRPr="00E53EE2" w:rsidRDefault="003B42E0" w:rsidP="002505E8">
      <w:pPr>
        <w:pStyle w:val="SingleTxtG"/>
        <w:ind w:left="2268"/>
        <w:rPr>
          <w:rFonts w:eastAsia="Times New Roman"/>
          <w:i/>
          <w:u w:val="single"/>
          <w:lang w:eastAsia="fr-FR"/>
        </w:rPr>
      </w:pPr>
      <w:r w:rsidRPr="006844A0">
        <w:rPr>
          <w:rFonts w:eastAsia="Times New Roman"/>
          <w:b/>
          <w:i/>
          <w:u w:val="single"/>
          <w:lang w:eastAsia="fr-FR"/>
        </w:rPr>
        <w:t>NOTA</w:t>
      </w:r>
      <w:r w:rsidR="00227366">
        <w:rPr>
          <w:rFonts w:eastAsia="Times New Roman"/>
          <w:bCs/>
          <w:i/>
          <w:u w:val="single"/>
          <w:lang w:eastAsia="fr-FR"/>
        </w:rPr>
        <w:t> :</w:t>
      </w:r>
      <w:r w:rsidR="006844A0">
        <w:rPr>
          <w:rFonts w:eastAsia="Times New Roman"/>
          <w:bCs/>
          <w:i/>
          <w:u w:val="single"/>
          <w:lang w:eastAsia="fr-FR"/>
        </w:rPr>
        <w:t xml:space="preserve"> </w:t>
      </w:r>
      <w:r w:rsidRPr="00E53EE2">
        <w:rPr>
          <w:rFonts w:eastAsia="Times New Roman"/>
          <w:bCs/>
          <w:i/>
          <w:u w:val="single"/>
          <w:lang w:eastAsia="fr-FR"/>
        </w:rPr>
        <w:t>Pour le remplissage des citernes mobiles et des conteneurs à gaz ONU à éléments multiples (CGEM), voir le chapitre 4.2</w:t>
      </w:r>
      <w:r w:rsidR="00227366">
        <w:rPr>
          <w:rFonts w:eastAsia="Times New Roman"/>
          <w:bCs/>
          <w:i/>
          <w:u w:val="single"/>
          <w:lang w:eastAsia="fr-FR"/>
        </w:rPr>
        <w:t> ;</w:t>
      </w:r>
      <w:r w:rsidRPr="00E53EE2">
        <w:rPr>
          <w:rFonts w:eastAsia="Times New Roman"/>
          <w:bCs/>
          <w:i/>
          <w:u w:val="single"/>
          <w:lang w:eastAsia="fr-FR"/>
        </w:rPr>
        <w:t xml:space="preserve"> pour le remplissage des citernes fixes (véhicules-citernes)[(wagons-citernes)], citernes démontables, véhicules-batteries, conteneurs-citernes et caisses mobiles citernes dont les réservoirs sont construits en matériaux métalliques, ainsi que des véhicules-batteries [wagons-batteries] et des conteneurs à gaz à éléments multiples (CGEM),</w:t>
      </w:r>
      <w:r w:rsidRPr="0066752C">
        <w:rPr>
          <w:u w:val="single"/>
        </w:rPr>
        <w:t xml:space="preserve"> </w:t>
      </w:r>
      <w:r w:rsidRPr="00E53EE2">
        <w:rPr>
          <w:rFonts w:eastAsia="Times New Roman"/>
          <w:bCs/>
          <w:i/>
          <w:u w:val="single"/>
          <w:lang w:eastAsia="fr-FR"/>
        </w:rPr>
        <w:t>voir le chapitre 4.3</w:t>
      </w:r>
      <w:r w:rsidR="00227366">
        <w:rPr>
          <w:rFonts w:eastAsia="Times New Roman"/>
          <w:bCs/>
          <w:i/>
          <w:u w:val="single"/>
          <w:lang w:eastAsia="fr-FR"/>
        </w:rPr>
        <w:t> ;</w:t>
      </w:r>
      <w:r w:rsidRPr="00E53EE2">
        <w:rPr>
          <w:rFonts w:eastAsia="Times New Roman"/>
          <w:bCs/>
          <w:i/>
          <w:u w:val="single"/>
          <w:lang w:eastAsia="fr-FR"/>
        </w:rPr>
        <w:t xml:space="preserve"> pour le remplissage des citernes en matière plastique renforcée de fibres [conteneurs-citernes en plastique], voir le chapitre 4.4</w:t>
      </w:r>
      <w:r w:rsidR="00227366">
        <w:rPr>
          <w:rFonts w:eastAsia="Times New Roman"/>
          <w:bCs/>
          <w:i/>
          <w:u w:val="single"/>
          <w:lang w:eastAsia="fr-FR"/>
        </w:rPr>
        <w:t> ;</w:t>
      </w:r>
      <w:r w:rsidRPr="00E53EE2">
        <w:rPr>
          <w:rFonts w:eastAsia="Times New Roman"/>
          <w:bCs/>
          <w:i/>
          <w:u w:val="single"/>
          <w:lang w:eastAsia="fr-FR"/>
        </w:rPr>
        <w:t xml:space="preserve"> pour les citernes à déchets opérant sous vide, voir le chapitre 4.5</w:t>
      </w:r>
      <w:r w:rsidR="00227366">
        <w:rPr>
          <w:rFonts w:eastAsia="Times New Roman"/>
          <w:bCs/>
          <w:i/>
          <w:u w:val="single"/>
          <w:lang w:eastAsia="fr-FR"/>
        </w:rPr>
        <w:t> ;</w:t>
      </w:r>
      <w:r w:rsidRPr="00E53EE2">
        <w:rPr>
          <w:rFonts w:eastAsia="Times New Roman"/>
          <w:bCs/>
          <w:i/>
          <w:u w:val="single"/>
          <w:lang w:eastAsia="fr-FR"/>
        </w:rPr>
        <w:t xml:space="preserve"> pour le remplissage des conteneurs pour vrac souples, voir le chapitre 7.3.</w:t>
      </w:r>
      <w:r w:rsidR="002505E8" w:rsidRPr="0066752C">
        <w:rPr>
          <w:rFonts w:eastAsia="Times New Roman"/>
          <w:iCs/>
          <w:lang w:eastAsia="fr-FR"/>
        </w:rPr>
        <w:t> »</w:t>
      </w:r>
      <w:r w:rsidR="002505E8">
        <w:rPr>
          <w:rFonts w:eastAsia="Times New Roman"/>
          <w:i/>
          <w:lang w:eastAsia="fr-FR"/>
        </w:rPr>
        <w:t>.</w:t>
      </w:r>
    </w:p>
    <w:p w:rsidR="003B42E0" w:rsidRPr="00E53EE2" w:rsidRDefault="003B42E0" w:rsidP="002505E8">
      <w:pPr>
        <w:pStyle w:val="SingleTxtG"/>
        <w:rPr>
          <w:lang w:eastAsia="fr-FR"/>
        </w:rPr>
      </w:pPr>
      <w:r w:rsidRPr="00E53EE2">
        <w:rPr>
          <w:lang w:eastAsia="fr-FR"/>
        </w:rPr>
        <w:t>7.</w:t>
      </w:r>
      <w:r w:rsidRPr="00E53EE2">
        <w:rPr>
          <w:lang w:eastAsia="fr-FR"/>
        </w:rPr>
        <w:tab/>
        <w:t>Modifier le paragraphe 7.3.1.13 de l</w:t>
      </w:r>
      <w:r>
        <w:rPr>
          <w:lang w:eastAsia="fr-FR"/>
        </w:rPr>
        <w:t>’</w:t>
      </w:r>
      <w:r w:rsidRPr="00E53EE2">
        <w:rPr>
          <w:lang w:eastAsia="fr-FR"/>
        </w:rPr>
        <w:t xml:space="preserve">ADR comme suit, le texte destiné spécifiquement au RID est mis [entre crochets] (le texte supprimé est </w:t>
      </w:r>
      <w:r w:rsidRPr="004565F7">
        <w:rPr>
          <w:strike/>
          <w:lang w:eastAsia="fr-FR"/>
        </w:rPr>
        <w:t>biffé</w:t>
      </w:r>
      <w:r w:rsidRPr="00E53EE2">
        <w:rPr>
          <w:lang w:eastAsia="fr-FR"/>
        </w:rPr>
        <w:t xml:space="preserve"> et le texte ajouté est </w:t>
      </w:r>
      <w:r w:rsidRPr="00E53EE2">
        <w:rPr>
          <w:u w:val="single"/>
          <w:lang w:eastAsia="fr-FR"/>
        </w:rPr>
        <w:t>souligné</w:t>
      </w:r>
      <w:r w:rsidRPr="00E53EE2">
        <w:rPr>
          <w:lang w:eastAsia="fr-FR"/>
        </w:rPr>
        <w:t>)</w:t>
      </w:r>
      <w:r w:rsidR="00227366">
        <w:rPr>
          <w:lang w:eastAsia="fr-FR"/>
        </w:rPr>
        <w:t> :</w:t>
      </w:r>
      <w:r w:rsidRPr="00E53EE2">
        <w:rPr>
          <w:lang w:eastAsia="fr-FR"/>
        </w:rPr>
        <w:t xml:space="preserve"> </w:t>
      </w:r>
    </w:p>
    <w:p w:rsidR="003B42E0" w:rsidRPr="00E53EE2" w:rsidRDefault="00706480" w:rsidP="00706480">
      <w:pPr>
        <w:pStyle w:val="SingleTxtG"/>
        <w:ind w:left="2268" w:hanging="1134"/>
        <w:rPr>
          <w:rFonts w:eastAsia="Times New Roman"/>
          <w:i/>
          <w:lang w:eastAsia="fr-FR"/>
        </w:rPr>
      </w:pPr>
      <w:r w:rsidRPr="00706480">
        <w:rPr>
          <w:rFonts w:eastAsia="Times New Roman"/>
          <w:iCs/>
          <w:lang w:eastAsia="fr-FR"/>
        </w:rPr>
        <w:t>« </w:t>
      </w:r>
      <w:r w:rsidR="003B42E0" w:rsidRPr="00E53EE2">
        <w:rPr>
          <w:rFonts w:eastAsia="Times New Roman"/>
          <w:i/>
          <w:lang w:eastAsia="fr-FR"/>
        </w:rPr>
        <w:t>7.3.1.</w:t>
      </w:r>
      <w:r w:rsidR="003B42E0" w:rsidRPr="00706480">
        <w:rPr>
          <w:i/>
          <w:iCs/>
          <w:lang w:eastAsia="fr-FR"/>
        </w:rPr>
        <w:t>13</w:t>
      </w:r>
      <w:r>
        <w:rPr>
          <w:i/>
          <w:iCs/>
          <w:lang w:eastAsia="fr-FR"/>
        </w:rPr>
        <w:tab/>
      </w:r>
      <w:r w:rsidR="003B42E0" w:rsidRPr="00706480">
        <w:rPr>
          <w:i/>
          <w:iCs/>
          <w:lang w:eastAsia="fr-FR"/>
        </w:rPr>
        <w:t>Avant</w:t>
      </w:r>
      <w:r w:rsidR="003B42E0" w:rsidRPr="00E53EE2">
        <w:rPr>
          <w:rFonts w:eastAsia="Times New Roman"/>
          <w:i/>
          <w:lang w:eastAsia="fr-FR"/>
        </w:rPr>
        <w:t xml:space="preserve"> de remplir un conteneur pour vrac, conteneur ou véhicule [ou wagon , il faut procéder à une inspection visuelle pour s</w:t>
      </w:r>
      <w:r w:rsidR="003B42E0">
        <w:rPr>
          <w:rFonts w:eastAsia="Times New Roman"/>
          <w:i/>
          <w:lang w:eastAsia="fr-FR"/>
        </w:rPr>
        <w:t>’</w:t>
      </w:r>
      <w:r w:rsidR="003B42E0" w:rsidRPr="00E53EE2">
        <w:rPr>
          <w:rFonts w:eastAsia="Times New Roman"/>
          <w:i/>
          <w:lang w:eastAsia="fr-FR"/>
        </w:rPr>
        <w:t>assurer qu</w:t>
      </w:r>
      <w:r w:rsidR="003B42E0">
        <w:rPr>
          <w:rFonts w:eastAsia="Times New Roman"/>
          <w:i/>
          <w:lang w:eastAsia="fr-FR"/>
        </w:rPr>
        <w:t>’</w:t>
      </w:r>
      <w:r w:rsidR="003B42E0" w:rsidRPr="00E53EE2">
        <w:rPr>
          <w:rFonts w:eastAsia="Times New Roman"/>
          <w:i/>
          <w:lang w:eastAsia="fr-FR"/>
        </w:rPr>
        <w:t>il est structurellement propre à l</w:t>
      </w:r>
      <w:r w:rsidR="003B42E0">
        <w:rPr>
          <w:rFonts w:eastAsia="Times New Roman"/>
          <w:i/>
          <w:lang w:eastAsia="fr-FR"/>
        </w:rPr>
        <w:t>’</w:t>
      </w:r>
      <w:r w:rsidR="003B42E0" w:rsidRPr="00E53EE2">
        <w:rPr>
          <w:rFonts w:eastAsia="Times New Roman"/>
          <w:i/>
          <w:lang w:eastAsia="fr-FR"/>
        </w:rPr>
        <w:t xml:space="preserve">emploi, que ses parois intérieures, plafond et plancher sont exempts de saillies ou de dommages </w:t>
      </w:r>
      <w:r w:rsidR="003B42E0" w:rsidRPr="00E53EE2">
        <w:rPr>
          <w:rFonts w:eastAsia="Times New Roman"/>
          <w:i/>
          <w:u w:val="single"/>
          <w:lang w:eastAsia="fr-FR"/>
        </w:rPr>
        <w:t>susceptibles d</w:t>
      </w:r>
      <w:r w:rsidR="003B42E0">
        <w:rPr>
          <w:rFonts w:eastAsia="Times New Roman"/>
          <w:i/>
          <w:u w:val="single"/>
          <w:lang w:eastAsia="fr-FR"/>
        </w:rPr>
        <w:t>’</w:t>
      </w:r>
      <w:r w:rsidR="003B42E0" w:rsidRPr="00E53EE2">
        <w:rPr>
          <w:rFonts w:eastAsia="Times New Roman"/>
          <w:i/>
          <w:u w:val="single"/>
          <w:lang w:eastAsia="fr-FR"/>
        </w:rPr>
        <w:t>affecter le chargement</w:t>
      </w:r>
      <w:r w:rsidR="003B42E0" w:rsidRPr="00E53EE2">
        <w:rPr>
          <w:rFonts w:eastAsia="Times New Roman"/>
          <w:i/>
          <w:lang w:eastAsia="fr-FR"/>
        </w:rPr>
        <w:t xml:space="preserve"> et que les doublures intérieures ou l</w:t>
      </w:r>
      <w:r w:rsidR="003B42E0">
        <w:rPr>
          <w:rFonts w:eastAsia="Times New Roman"/>
          <w:i/>
          <w:lang w:eastAsia="fr-FR"/>
        </w:rPr>
        <w:t>’</w:t>
      </w:r>
      <w:r w:rsidR="003B42E0" w:rsidRPr="00E53EE2">
        <w:rPr>
          <w:rFonts w:eastAsia="Times New Roman"/>
          <w:i/>
          <w:lang w:eastAsia="fr-FR"/>
        </w:rPr>
        <w:t>équipement de rétention</w:t>
      </w:r>
      <w:r w:rsidR="00227366">
        <w:rPr>
          <w:rFonts w:eastAsia="Times New Roman"/>
          <w:i/>
          <w:lang w:eastAsia="fr-FR"/>
        </w:rPr>
        <w:t xml:space="preserve"> </w:t>
      </w:r>
      <w:r w:rsidR="003B42E0" w:rsidRPr="00E53EE2">
        <w:rPr>
          <w:rFonts w:eastAsia="Times New Roman"/>
          <w:i/>
          <w:lang w:eastAsia="fr-FR"/>
        </w:rPr>
        <w:t>des</w:t>
      </w:r>
      <w:r w:rsidR="00227366">
        <w:rPr>
          <w:rFonts w:eastAsia="Times New Roman"/>
          <w:i/>
          <w:lang w:eastAsia="fr-FR"/>
        </w:rPr>
        <w:t xml:space="preserve"> </w:t>
      </w:r>
      <w:r w:rsidR="003B42E0" w:rsidRPr="00E53EE2">
        <w:rPr>
          <w:rFonts w:eastAsia="Times New Roman"/>
          <w:i/>
          <w:lang w:eastAsia="fr-FR"/>
        </w:rPr>
        <w:t>matières ne présentent</w:t>
      </w:r>
      <w:r w:rsidR="00227366">
        <w:rPr>
          <w:rFonts w:eastAsia="Times New Roman"/>
          <w:i/>
          <w:lang w:eastAsia="fr-FR"/>
        </w:rPr>
        <w:t xml:space="preserve"> </w:t>
      </w:r>
      <w:r w:rsidR="003B42E0" w:rsidRPr="00E53EE2">
        <w:rPr>
          <w:rFonts w:eastAsia="Times New Roman"/>
          <w:i/>
          <w:lang w:eastAsia="fr-FR"/>
        </w:rPr>
        <w:t>pas</w:t>
      </w:r>
      <w:r w:rsidR="00227366">
        <w:rPr>
          <w:rFonts w:eastAsia="Times New Roman"/>
          <w:i/>
          <w:lang w:eastAsia="fr-FR"/>
        </w:rPr>
        <w:t xml:space="preserve"> </w:t>
      </w:r>
      <w:r w:rsidR="003B42E0" w:rsidRPr="00E53EE2">
        <w:rPr>
          <w:rFonts w:eastAsia="Times New Roman"/>
          <w:i/>
          <w:lang w:eastAsia="fr-FR"/>
        </w:rPr>
        <w:t>d</w:t>
      </w:r>
      <w:r w:rsidR="003B42E0">
        <w:rPr>
          <w:rFonts w:eastAsia="Times New Roman"/>
          <w:i/>
          <w:lang w:eastAsia="fr-FR"/>
        </w:rPr>
        <w:t>’</w:t>
      </w:r>
      <w:r w:rsidR="003B42E0" w:rsidRPr="00E53EE2">
        <w:rPr>
          <w:rFonts w:eastAsia="Times New Roman"/>
          <w:i/>
          <w:lang w:eastAsia="fr-FR"/>
        </w:rPr>
        <w:t>accrocs,</w:t>
      </w:r>
      <w:r w:rsidR="00227366">
        <w:rPr>
          <w:rFonts w:eastAsia="Times New Roman"/>
          <w:i/>
          <w:lang w:eastAsia="fr-FR"/>
        </w:rPr>
        <w:t xml:space="preserve"> </w:t>
      </w:r>
      <w:r w:rsidR="003B42E0" w:rsidRPr="00E53EE2">
        <w:rPr>
          <w:rFonts w:eastAsia="Times New Roman"/>
          <w:i/>
          <w:lang w:eastAsia="fr-FR"/>
        </w:rPr>
        <w:t>de</w:t>
      </w:r>
      <w:r w:rsidR="00227366">
        <w:rPr>
          <w:rFonts w:eastAsia="Times New Roman"/>
          <w:i/>
          <w:lang w:eastAsia="fr-FR"/>
        </w:rPr>
        <w:t xml:space="preserve"> </w:t>
      </w:r>
      <w:r w:rsidR="003B42E0" w:rsidRPr="00E53EE2">
        <w:rPr>
          <w:rFonts w:eastAsia="Times New Roman"/>
          <w:i/>
          <w:lang w:eastAsia="fr-FR"/>
        </w:rPr>
        <w:t>déchirures</w:t>
      </w:r>
      <w:r w:rsidR="00227366">
        <w:rPr>
          <w:rFonts w:eastAsia="Times New Roman"/>
          <w:i/>
          <w:lang w:eastAsia="fr-FR"/>
        </w:rPr>
        <w:t xml:space="preserve"> </w:t>
      </w:r>
      <w:r w:rsidR="003B42E0" w:rsidRPr="00E53EE2">
        <w:rPr>
          <w:rFonts w:eastAsia="Times New Roman"/>
          <w:i/>
          <w:lang w:eastAsia="fr-FR"/>
        </w:rPr>
        <w:t>ou</w:t>
      </w:r>
      <w:r w:rsidR="00227366">
        <w:rPr>
          <w:rFonts w:eastAsia="Times New Roman"/>
          <w:i/>
          <w:lang w:eastAsia="fr-FR"/>
        </w:rPr>
        <w:t xml:space="preserve"> </w:t>
      </w:r>
      <w:r w:rsidR="003B42E0" w:rsidRPr="00E53EE2">
        <w:rPr>
          <w:rFonts w:eastAsia="Times New Roman"/>
          <w:i/>
          <w:lang w:eastAsia="fr-FR"/>
        </w:rPr>
        <w:t>de</w:t>
      </w:r>
      <w:r w:rsidR="00227366">
        <w:rPr>
          <w:rFonts w:eastAsia="Times New Roman"/>
          <w:i/>
          <w:lang w:eastAsia="fr-FR"/>
        </w:rPr>
        <w:t xml:space="preserve"> </w:t>
      </w:r>
      <w:r w:rsidR="003B42E0" w:rsidRPr="00E53EE2">
        <w:rPr>
          <w:rFonts w:eastAsia="Times New Roman"/>
          <w:i/>
          <w:lang w:eastAsia="fr-FR"/>
        </w:rPr>
        <w:t>dommage susceptible</w:t>
      </w:r>
      <w:r w:rsidR="00227366">
        <w:rPr>
          <w:rFonts w:eastAsia="Times New Roman"/>
          <w:i/>
          <w:lang w:eastAsia="fr-FR"/>
        </w:rPr>
        <w:t xml:space="preserve"> </w:t>
      </w:r>
      <w:r w:rsidR="003B42E0" w:rsidRPr="00E53EE2">
        <w:rPr>
          <w:rFonts w:eastAsia="Times New Roman"/>
          <w:i/>
          <w:lang w:eastAsia="fr-FR"/>
        </w:rPr>
        <w:t>de compromettre ses capacités de rétention de la cargaison. Le</w:t>
      </w:r>
      <w:r w:rsidR="00181173">
        <w:rPr>
          <w:rFonts w:eastAsia="Times New Roman"/>
          <w:i/>
          <w:lang w:eastAsia="fr-FR"/>
        </w:rPr>
        <w:t> </w:t>
      </w:r>
      <w:r w:rsidR="003B42E0" w:rsidRPr="00E53EE2">
        <w:rPr>
          <w:rFonts w:eastAsia="Times New Roman"/>
          <w:i/>
          <w:lang w:eastAsia="fr-FR"/>
        </w:rPr>
        <w:t xml:space="preserve">terme </w:t>
      </w:r>
      <w:r w:rsidR="00C42587">
        <w:rPr>
          <w:rFonts w:eastAsia="Times New Roman"/>
          <w:i/>
          <w:lang w:eastAsia="fr-FR"/>
        </w:rPr>
        <w:t>“</w:t>
      </w:r>
      <w:r w:rsidR="003B42E0" w:rsidRPr="00E53EE2">
        <w:rPr>
          <w:rFonts w:eastAsia="Times New Roman"/>
          <w:i/>
          <w:lang w:eastAsia="fr-FR"/>
        </w:rPr>
        <w:t>structurellement propre à l</w:t>
      </w:r>
      <w:r w:rsidR="003B42E0">
        <w:rPr>
          <w:rFonts w:eastAsia="Times New Roman"/>
          <w:i/>
          <w:lang w:eastAsia="fr-FR"/>
        </w:rPr>
        <w:t>’</w:t>
      </w:r>
      <w:r w:rsidR="003B42E0" w:rsidRPr="00E53EE2">
        <w:rPr>
          <w:rFonts w:eastAsia="Times New Roman"/>
          <w:i/>
          <w:lang w:eastAsia="fr-FR"/>
        </w:rPr>
        <w:t>emploi</w:t>
      </w:r>
      <w:r w:rsidR="00C42587">
        <w:rPr>
          <w:rFonts w:eastAsia="Times New Roman"/>
          <w:i/>
          <w:lang w:eastAsia="fr-FR"/>
        </w:rPr>
        <w:t>”</w:t>
      </w:r>
      <w:r w:rsidR="003B42E0" w:rsidRPr="00E53EE2">
        <w:rPr>
          <w:rFonts w:eastAsia="Times New Roman"/>
          <w:i/>
          <w:lang w:eastAsia="fr-FR"/>
        </w:rPr>
        <w:t xml:space="preserve"> s</w:t>
      </w:r>
      <w:r w:rsidR="003B42E0">
        <w:rPr>
          <w:rFonts w:eastAsia="Times New Roman"/>
          <w:i/>
          <w:lang w:eastAsia="fr-FR"/>
        </w:rPr>
        <w:t>’</w:t>
      </w:r>
      <w:r w:rsidR="003B42E0" w:rsidRPr="00E53EE2">
        <w:rPr>
          <w:rFonts w:eastAsia="Times New Roman"/>
          <w:i/>
          <w:lang w:eastAsia="fr-FR"/>
        </w:rPr>
        <w:t>entend d</w:t>
      </w:r>
      <w:r w:rsidR="003B42E0">
        <w:rPr>
          <w:rFonts w:eastAsia="Times New Roman"/>
          <w:i/>
          <w:lang w:eastAsia="fr-FR"/>
        </w:rPr>
        <w:t>’</w:t>
      </w:r>
      <w:r w:rsidR="003B42E0" w:rsidRPr="00E53EE2">
        <w:rPr>
          <w:rFonts w:eastAsia="Times New Roman"/>
          <w:i/>
          <w:lang w:eastAsia="fr-FR"/>
        </w:rPr>
        <w:t>un conteneur pou</w:t>
      </w:r>
      <w:r w:rsidR="00181173">
        <w:rPr>
          <w:rFonts w:eastAsia="Times New Roman"/>
          <w:i/>
          <w:lang w:eastAsia="fr-FR"/>
        </w:rPr>
        <w:t xml:space="preserve">r </w:t>
      </w:r>
      <w:r w:rsidR="003B42E0" w:rsidRPr="00E53EE2">
        <w:rPr>
          <w:rFonts w:eastAsia="Times New Roman"/>
          <w:i/>
          <w:lang w:eastAsia="fr-FR"/>
        </w:rPr>
        <w:t>vrac, conteneur ou véhicule [ou wagon] qui ne présente pas de défauts importants affectant ses éléments structuraux tels que les longerons supérieurs et inférieurs, les traverses supérieures et inférieures, les seuils et linteaux de portes, les traverses de plancher, les montants d</w:t>
      </w:r>
      <w:r w:rsidR="003B42E0">
        <w:rPr>
          <w:rFonts w:eastAsia="Times New Roman"/>
          <w:i/>
          <w:lang w:eastAsia="fr-FR"/>
        </w:rPr>
        <w:t>’</w:t>
      </w:r>
      <w:r w:rsidR="003B42E0" w:rsidRPr="00E53EE2">
        <w:rPr>
          <w:rFonts w:eastAsia="Times New Roman"/>
          <w:i/>
          <w:lang w:eastAsia="fr-FR"/>
        </w:rPr>
        <w:t xml:space="preserve">angle et les pièces de coin. On entend par </w:t>
      </w:r>
      <w:r w:rsidR="00C42587">
        <w:rPr>
          <w:rFonts w:eastAsia="Times New Roman"/>
          <w:i/>
          <w:lang w:eastAsia="fr-FR"/>
        </w:rPr>
        <w:t>“</w:t>
      </w:r>
      <w:r w:rsidR="003B42E0" w:rsidRPr="00E53EE2">
        <w:rPr>
          <w:rFonts w:eastAsia="Times New Roman"/>
          <w:i/>
          <w:lang w:eastAsia="fr-FR"/>
        </w:rPr>
        <w:t>défauts importants</w:t>
      </w:r>
      <w:r w:rsidR="00C42587">
        <w:rPr>
          <w:rFonts w:eastAsia="Times New Roman"/>
          <w:i/>
          <w:lang w:eastAsia="fr-FR"/>
        </w:rPr>
        <w:t>”</w:t>
      </w:r>
      <w:r w:rsidR="003B42E0" w:rsidRPr="003D2310">
        <w:rPr>
          <w:rFonts w:eastAsia="Times New Roman"/>
          <w:i/>
          <w:strike/>
          <w:lang w:eastAsia="fr-FR"/>
        </w:rPr>
        <w:t xml:space="preserve"> </w:t>
      </w:r>
      <w:r w:rsidR="003B42E0" w:rsidRPr="00181173">
        <w:rPr>
          <w:rFonts w:eastAsia="Times New Roman"/>
          <w:i/>
          <w:strike/>
          <w:lang w:eastAsia="fr-FR"/>
        </w:rPr>
        <w:t>[</w:t>
      </w:r>
      <w:r w:rsidR="003B42E0" w:rsidRPr="00E53EE2">
        <w:rPr>
          <w:rFonts w:eastAsia="Times New Roman"/>
          <w:i/>
          <w:strike/>
          <w:lang w:eastAsia="fr-FR"/>
        </w:rPr>
        <w:t>, si c</w:t>
      </w:r>
      <w:r w:rsidR="003B42E0">
        <w:rPr>
          <w:rFonts w:eastAsia="Times New Roman"/>
          <w:i/>
          <w:strike/>
          <w:lang w:eastAsia="fr-FR"/>
        </w:rPr>
        <w:t>’</w:t>
      </w:r>
      <w:r w:rsidR="003B42E0" w:rsidRPr="00E53EE2">
        <w:rPr>
          <w:rFonts w:eastAsia="Times New Roman"/>
          <w:i/>
          <w:strike/>
          <w:lang w:eastAsia="fr-FR"/>
        </w:rPr>
        <w:t>est pertinent pour le moyen de transport utilisé,</w:t>
      </w:r>
      <w:r w:rsidR="003B42E0" w:rsidRPr="00181173">
        <w:rPr>
          <w:rFonts w:eastAsia="Times New Roman"/>
          <w:i/>
          <w:strike/>
          <w:lang w:eastAsia="fr-FR"/>
        </w:rPr>
        <w:t>]</w:t>
      </w:r>
      <w:r w:rsidR="00227366">
        <w:rPr>
          <w:rFonts w:eastAsia="Times New Roman"/>
          <w:i/>
          <w:lang w:eastAsia="fr-FR"/>
        </w:rPr>
        <w:t> :</w:t>
      </w:r>
    </w:p>
    <w:p w:rsidR="00C42587" w:rsidRDefault="003B42E0" w:rsidP="00C42587">
      <w:pPr>
        <w:pStyle w:val="SingleTxtG"/>
        <w:ind w:left="2835" w:hanging="567"/>
        <w:rPr>
          <w:rFonts w:eastAsia="Times New Roman"/>
          <w:i/>
          <w:lang w:eastAsia="fr-FR"/>
        </w:rPr>
      </w:pPr>
      <w:r w:rsidRPr="00E53EE2">
        <w:rPr>
          <w:rFonts w:eastAsia="Times New Roman"/>
          <w:i/>
          <w:lang w:eastAsia="fr-FR"/>
        </w:rPr>
        <w:t>a)</w:t>
      </w:r>
      <w:r w:rsidRPr="00E53EE2">
        <w:rPr>
          <w:rFonts w:eastAsia="Times New Roman"/>
          <w:i/>
          <w:lang w:eastAsia="fr-FR"/>
        </w:rPr>
        <w:tab/>
        <w:t xml:space="preserve">Les pliures, fissures ou ruptures dans un élément structural ou de soutien </w:t>
      </w:r>
      <w:r w:rsidRPr="00E53EE2">
        <w:rPr>
          <w:rFonts w:eastAsia="Times New Roman"/>
          <w:i/>
          <w:u w:val="single"/>
          <w:lang w:eastAsia="fr-FR"/>
        </w:rPr>
        <w:t>et tout dommage causé à l</w:t>
      </w:r>
      <w:r>
        <w:rPr>
          <w:rFonts w:eastAsia="Times New Roman"/>
          <w:i/>
          <w:u w:val="single"/>
          <w:lang w:eastAsia="fr-FR"/>
        </w:rPr>
        <w:t>’</w:t>
      </w:r>
      <w:r w:rsidRPr="00E53EE2">
        <w:rPr>
          <w:rFonts w:eastAsia="Times New Roman"/>
          <w:i/>
          <w:u w:val="single"/>
          <w:lang w:eastAsia="fr-FR"/>
        </w:rPr>
        <w:t>équipement de service ou au matériel d</w:t>
      </w:r>
      <w:r>
        <w:rPr>
          <w:rFonts w:eastAsia="Times New Roman"/>
          <w:i/>
          <w:u w:val="single"/>
          <w:lang w:eastAsia="fr-FR"/>
        </w:rPr>
        <w:t>’</w:t>
      </w:r>
      <w:r w:rsidRPr="00E53EE2">
        <w:rPr>
          <w:rFonts w:eastAsia="Times New Roman"/>
          <w:i/>
          <w:u w:val="single"/>
          <w:lang w:eastAsia="fr-FR"/>
        </w:rPr>
        <w:t xml:space="preserve">exploitation </w:t>
      </w:r>
      <w:r w:rsidRPr="00E53EE2">
        <w:rPr>
          <w:rFonts w:eastAsia="Times New Roman"/>
          <w:i/>
          <w:lang w:eastAsia="fr-FR"/>
        </w:rPr>
        <w:t>qui affectent l</w:t>
      </w:r>
      <w:r>
        <w:rPr>
          <w:rFonts w:eastAsia="Times New Roman"/>
          <w:i/>
          <w:lang w:eastAsia="fr-FR"/>
        </w:rPr>
        <w:t>’</w:t>
      </w:r>
      <w:r w:rsidRPr="00E53EE2">
        <w:rPr>
          <w:rFonts w:eastAsia="Times New Roman"/>
          <w:i/>
          <w:lang w:eastAsia="fr-FR"/>
        </w:rPr>
        <w:t>intégrité du conteneur pour vrac, conteneur ou véhicule [du wagon]</w:t>
      </w:r>
      <w:r w:rsidR="00227366">
        <w:rPr>
          <w:rFonts w:eastAsia="Times New Roman"/>
          <w:i/>
          <w:lang w:eastAsia="fr-FR"/>
        </w:rPr>
        <w:t> ;</w:t>
      </w:r>
    </w:p>
    <w:p w:rsidR="00C42587" w:rsidRDefault="003B42E0" w:rsidP="00C42587">
      <w:pPr>
        <w:pStyle w:val="SingleTxtG"/>
        <w:ind w:left="2835" w:hanging="567"/>
        <w:rPr>
          <w:rFonts w:eastAsia="Times New Roman"/>
          <w:i/>
          <w:u w:val="single"/>
          <w:lang w:eastAsia="fr-FR"/>
        </w:rPr>
      </w:pPr>
      <w:r w:rsidRPr="00E53EE2">
        <w:rPr>
          <w:rFonts w:eastAsia="Times New Roman"/>
          <w:i/>
          <w:lang w:eastAsia="fr-FR"/>
        </w:rPr>
        <w:t>b)</w:t>
      </w:r>
      <w:r w:rsidRPr="00E53EE2">
        <w:rPr>
          <w:rFonts w:eastAsia="Times New Roman"/>
          <w:i/>
          <w:lang w:eastAsia="fr-FR"/>
        </w:rPr>
        <w:tab/>
      </w:r>
      <w:r w:rsidRPr="00E53EE2">
        <w:rPr>
          <w:rFonts w:eastAsia="Times New Roman"/>
          <w:i/>
          <w:strike/>
          <w:lang w:eastAsia="fr-FR"/>
        </w:rPr>
        <w:t>La présence de plus d</w:t>
      </w:r>
      <w:r>
        <w:rPr>
          <w:rFonts w:eastAsia="Times New Roman"/>
          <w:i/>
          <w:strike/>
          <w:lang w:eastAsia="fr-FR"/>
        </w:rPr>
        <w:t>’</w:t>
      </w:r>
      <w:r w:rsidRPr="00E53EE2">
        <w:rPr>
          <w:rFonts w:eastAsia="Times New Roman"/>
          <w:i/>
          <w:strike/>
          <w:lang w:eastAsia="fr-FR"/>
        </w:rPr>
        <w:t>un raccord, ou l</w:t>
      </w:r>
      <w:r>
        <w:rPr>
          <w:rFonts w:eastAsia="Times New Roman"/>
          <w:i/>
          <w:strike/>
          <w:lang w:eastAsia="fr-FR"/>
        </w:rPr>
        <w:t>’</w:t>
      </w:r>
      <w:r w:rsidRPr="00E53EE2">
        <w:rPr>
          <w:rFonts w:eastAsia="Times New Roman"/>
          <w:i/>
          <w:strike/>
          <w:lang w:eastAsia="fr-FR"/>
        </w:rPr>
        <w:t>existence de raccords improprement exécutés (par exemple par recouvrement) aux traverses supérieures ou inférieures ou aux linteaux de portes</w:t>
      </w:r>
      <w:r w:rsidR="00227366">
        <w:rPr>
          <w:rFonts w:eastAsia="Times New Roman"/>
          <w:i/>
          <w:strike/>
          <w:lang w:eastAsia="fr-FR"/>
        </w:rPr>
        <w:t> ;</w:t>
      </w:r>
      <w:r w:rsidRPr="00E53EE2">
        <w:rPr>
          <w:rFonts w:eastAsia="Times New Roman"/>
          <w:i/>
          <w:strike/>
          <w:lang w:eastAsia="fr-FR"/>
        </w:rPr>
        <w:t xml:space="preserve"> </w:t>
      </w:r>
      <w:r w:rsidRPr="00E53EE2">
        <w:rPr>
          <w:rFonts w:eastAsia="Times New Roman"/>
          <w:i/>
          <w:u w:val="single"/>
          <w:lang w:eastAsia="fr-FR"/>
        </w:rPr>
        <w:t>Tout désalignement d</w:t>
      </w:r>
      <w:r>
        <w:rPr>
          <w:rFonts w:eastAsia="Times New Roman"/>
          <w:i/>
          <w:u w:val="single"/>
          <w:lang w:eastAsia="fr-FR"/>
        </w:rPr>
        <w:t>’</w:t>
      </w:r>
      <w:r w:rsidRPr="00E53EE2">
        <w:rPr>
          <w:rFonts w:eastAsia="Times New Roman"/>
          <w:i/>
          <w:u w:val="single"/>
          <w:lang w:eastAsia="fr-FR"/>
        </w:rPr>
        <w:t>ensemble et tout dommage causé aux attaches de levage ou à l</w:t>
      </w:r>
      <w:r>
        <w:rPr>
          <w:rFonts w:eastAsia="Times New Roman"/>
          <w:i/>
          <w:u w:val="single"/>
          <w:lang w:eastAsia="fr-FR"/>
        </w:rPr>
        <w:t>’</w:t>
      </w:r>
      <w:r w:rsidRPr="00E53EE2">
        <w:rPr>
          <w:rFonts w:eastAsia="Times New Roman"/>
          <w:i/>
          <w:u w:val="single"/>
          <w:lang w:eastAsia="fr-FR"/>
        </w:rPr>
        <w:t>interface de l</w:t>
      </w:r>
      <w:r>
        <w:rPr>
          <w:rFonts w:eastAsia="Times New Roman"/>
          <w:i/>
          <w:u w:val="single"/>
          <w:lang w:eastAsia="fr-FR"/>
        </w:rPr>
        <w:t>’</w:t>
      </w:r>
      <w:r w:rsidRPr="00E53EE2">
        <w:rPr>
          <w:rFonts w:eastAsia="Times New Roman"/>
          <w:i/>
          <w:u w:val="single"/>
          <w:lang w:eastAsia="fr-FR"/>
        </w:rPr>
        <w:t>équipement de manutention suffisant pour empêcher le positionnement correct du matériel de manutention, le montage et l</w:t>
      </w:r>
      <w:r>
        <w:rPr>
          <w:rFonts w:eastAsia="Times New Roman"/>
          <w:i/>
          <w:u w:val="single"/>
          <w:lang w:eastAsia="fr-FR"/>
        </w:rPr>
        <w:t>’</w:t>
      </w:r>
      <w:r w:rsidRPr="00E53EE2">
        <w:rPr>
          <w:rFonts w:eastAsia="Times New Roman"/>
          <w:i/>
          <w:u w:val="single"/>
          <w:lang w:eastAsia="fr-FR"/>
        </w:rPr>
        <w:t>assujettissement sur les châssis ou les véhicules, ou l</w:t>
      </w:r>
      <w:r>
        <w:rPr>
          <w:rFonts w:eastAsia="Times New Roman"/>
          <w:i/>
          <w:u w:val="single"/>
          <w:lang w:eastAsia="fr-FR"/>
        </w:rPr>
        <w:t>’</w:t>
      </w:r>
      <w:r w:rsidRPr="00E53EE2">
        <w:rPr>
          <w:rFonts w:eastAsia="Times New Roman"/>
          <w:i/>
          <w:u w:val="single"/>
          <w:lang w:eastAsia="fr-FR"/>
        </w:rPr>
        <w:t>insertion dans les cellules du navire et</w:t>
      </w:r>
      <w:r w:rsidR="003D2310" w:rsidRPr="00E53EE2">
        <w:rPr>
          <w:rFonts w:eastAsia="Times New Roman"/>
          <w:i/>
          <w:u w:val="single"/>
          <w:lang w:eastAsia="fr-FR"/>
        </w:rPr>
        <w:t>,</w:t>
      </w:r>
      <w:r w:rsidRPr="00E53EE2">
        <w:rPr>
          <w:rFonts w:eastAsia="Times New Roman"/>
          <w:i/>
          <w:u w:val="single"/>
          <w:lang w:eastAsia="fr-FR"/>
        </w:rPr>
        <w:t xml:space="preserve"> le cas échéant</w:t>
      </w:r>
      <w:r w:rsidR="00227366">
        <w:rPr>
          <w:rFonts w:eastAsia="Times New Roman"/>
          <w:i/>
          <w:u w:val="single"/>
          <w:lang w:eastAsia="fr-FR"/>
        </w:rPr>
        <w:t> ;</w:t>
      </w:r>
    </w:p>
    <w:p w:rsidR="00C42587" w:rsidRDefault="003B42E0" w:rsidP="00C42587">
      <w:pPr>
        <w:pStyle w:val="SingleTxtG"/>
        <w:ind w:left="2835" w:hanging="567"/>
        <w:rPr>
          <w:rFonts w:eastAsia="Times New Roman"/>
          <w:i/>
          <w:strike/>
          <w:lang w:eastAsia="fr-FR"/>
        </w:rPr>
      </w:pPr>
      <w:r w:rsidRPr="00E53EE2">
        <w:rPr>
          <w:rFonts w:eastAsia="Times New Roman"/>
          <w:i/>
          <w:strike/>
          <w:lang w:eastAsia="fr-FR"/>
        </w:rPr>
        <w:t>c)</w:t>
      </w:r>
      <w:r w:rsidRPr="00E53EE2">
        <w:rPr>
          <w:rFonts w:eastAsia="Times New Roman"/>
          <w:i/>
          <w:strike/>
          <w:lang w:eastAsia="fr-FR"/>
        </w:rPr>
        <w:tab/>
        <w:t>Plus de deux raccords à l</w:t>
      </w:r>
      <w:r>
        <w:rPr>
          <w:rFonts w:eastAsia="Times New Roman"/>
          <w:i/>
          <w:strike/>
          <w:lang w:eastAsia="fr-FR"/>
        </w:rPr>
        <w:t>’</w:t>
      </w:r>
      <w:r w:rsidRPr="00E53EE2">
        <w:rPr>
          <w:rFonts w:eastAsia="Times New Roman"/>
          <w:i/>
          <w:strike/>
          <w:lang w:eastAsia="fr-FR"/>
        </w:rPr>
        <w:t>un quelconque des longerons supérieurs ou inférieurs</w:t>
      </w:r>
      <w:r w:rsidR="00227366">
        <w:rPr>
          <w:rFonts w:eastAsia="Times New Roman"/>
          <w:i/>
          <w:strike/>
          <w:lang w:eastAsia="fr-FR"/>
        </w:rPr>
        <w:t> ;</w:t>
      </w:r>
    </w:p>
    <w:p w:rsidR="00C42587" w:rsidRDefault="003B42E0" w:rsidP="00C42587">
      <w:pPr>
        <w:pStyle w:val="SingleTxtG"/>
        <w:ind w:left="2835" w:hanging="567"/>
        <w:rPr>
          <w:rFonts w:eastAsia="Times New Roman"/>
          <w:i/>
          <w:strike/>
          <w:lang w:eastAsia="fr-FR"/>
        </w:rPr>
      </w:pPr>
      <w:r w:rsidRPr="00E53EE2">
        <w:rPr>
          <w:rFonts w:eastAsia="Times New Roman"/>
          <w:i/>
          <w:strike/>
          <w:lang w:eastAsia="fr-FR"/>
        </w:rPr>
        <w:t>d)</w:t>
      </w:r>
      <w:r w:rsidRPr="00E53EE2">
        <w:rPr>
          <w:rFonts w:eastAsia="Times New Roman"/>
          <w:i/>
          <w:strike/>
          <w:lang w:eastAsia="fr-FR"/>
        </w:rPr>
        <w:tab/>
        <w:t>Tout raccord dans un seuil de porte ou un montant d</w:t>
      </w:r>
      <w:r>
        <w:rPr>
          <w:rFonts w:eastAsia="Times New Roman"/>
          <w:i/>
          <w:strike/>
          <w:lang w:eastAsia="fr-FR"/>
        </w:rPr>
        <w:t>’</w:t>
      </w:r>
      <w:r w:rsidRPr="00E53EE2">
        <w:rPr>
          <w:rFonts w:eastAsia="Times New Roman"/>
          <w:i/>
          <w:strike/>
          <w:lang w:eastAsia="fr-FR"/>
        </w:rPr>
        <w:t>angle</w:t>
      </w:r>
      <w:r w:rsidR="00227366">
        <w:rPr>
          <w:rFonts w:eastAsia="Times New Roman"/>
          <w:i/>
          <w:strike/>
          <w:lang w:eastAsia="fr-FR"/>
        </w:rPr>
        <w:t> ;</w:t>
      </w:r>
      <w:r w:rsidRPr="00E53EE2">
        <w:rPr>
          <w:rFonts w:eastAsia="Times New Roman"/>
          <w:i/>
          <w:strike/>
          <w:lang w:eastAsia="fr-FR"/>
        </w:rPr>
        <w:t xml:space="preserve"> </w:t>
      </w:r>
    </w:p>
    <w:p w:rsidR="0066488B" w:rsidRDefault="003B42E0" w:rsidP="0066488B">
      <w:pPr>
        <w:pStyle w:val="SingleTxtG"/>
        <w:ind w:left="2835" w:hanging="567"/>
        <w:rPr>
          <w:rFonts w:eastAsia="Times New Roman"/>
          <w:i/>
          <w:lang w:eastAsia="fr-FR"/>
        </w:rPr>
      </w:pPr>
      <w:r w:rsidRPr="00E53EE2">
        <w:rPr>
          <w:rFonts w:eastAsia="Times New Roman"/>
          <w:i/>
          <w:strike/>
          <w:lang w:eastAsia="fr-FR"/>
        </w:rPr>
        <w:t>e</w:t>
      </w:r>
      <w:r w:rsidRPr="0066488B">
        <w:rPr>
          <w:rFonts w:eastAsia="Times New Roman"/>
          <w:i/>
          <w:u w:val="single"/>
          <w:lang w:eastAsia="fr-FR"/>
        </w:rPr>
        <w:t>c</w:t>
      </w:r>
      <w:r w:rsidRPr="00E53EE2">
        <w:rPr>
          <w:rFonts w:eastAsia="Times New Roman"/>
          <w:i/>
          <w:lang w:eastAsia="fr-FR"/>
        </w:rPr>
        <w:t>)</w:t>
      </w:r>
      <w:r w:rsidRPr="00E53EE2">
        <w:rPr>
          <w:rFonts w:eastAsia="Times New Roman"/>
          <w:i/>
          <w:lang w:eastAsia="fr-FR"/>
        </w:rPr>
        <w:tab/>
        <w:t>Charnières de porte,</w:t>
      </w:r>
      <w:r w:rsidRPr="00E53EE2">
        <w:rPr>
          <w:rFonts w:ascii="Segoe UI" w:hAnsi="Segoe UI" w:cs="Segoe UI"/>
        </w:rPr>
        <w:t xml:space="preserve"> </w:t>
      </w:r>
      <w:r w:rsidRPr="00E53EE2">
        <w:rPr>
          <w:rFonts w:eastAsia="Times New Roman"/>
          <w:i/>
          <w:u w:val="single"/>
          <w:lang w:eastAsia="fr-FR"/>
        </w:rPr>
        <w:t>joints de porte</w:t>
      </w:r>
      <w:r w:rsidRPr="00E53EE2">
        <w:rPr>
          <w:rFonts w:eastAsia="Times New Roman"/>
          <w:i/>
          <w:lang w:eastAsia="fr-FR"/>
        </w:rPr>
        <w:t xml:space="preserve"> et ferrures grippées, tordues, cassées</w:t>
      </w:r>
      <w:r w:rsidRPr="00E53EE2">
        <w:rPr>
          <w:rFonts w:eastAsia="Times New Roman"/>
          <w:i/>
          <w:u w:val="single"/>
          <w:lang w:eastAsia="fr-FR"/>
        </w:rPr>
        <w:t>,</w:t>
      </w:r>
      <w:r w:rsidRPr="00E53EE2">
        <w:rPr>
          <w:rFonts w:eastAsia="Times New Roman"/>
          <w:i/>
          <w:lang w:eastAsia="fr-FR"/>
        </w:rPr>
        <w:t xml:space="preserve"> hors d</w:t>
      </w:r>
      <w:r>
        <w:rPr>
          <w:rFonts w:eastAsia="Times New Roman"/>
          <w:i/>
          <w:lang w:eastAsia="fr-FR"/>
        </w:rPr>
        <w:t>’</w:t>
      </w:r>
      <w:r w:rsidRPr="00E53EE2">
        <w:rPr>
          <w:rFonts w:eastAsia="Times New Roman"/>
          <w:i/>
          <w:lang w:eastAsia="fr-FR"/>
        </w:rPr>
        <w:t>usage ou manquantes</w:t>
      </w:r>
      <w:r w:rsidR="0066488B" w:rsidRPr="00A70AC3">
        <w:rPr>
          <w:rFonts w:eastAsia="Times New Roman"/>
          <w:i/>
          <w:strike/>
          <w:lang w:eastAsia="fr-FR"/>
        </w:rPr>
        <w:t> ;</w:t>
      </w:r>
      <w:r w:rsidR="00A70AC3" w:rsidRPr="00A70AC3">
        <w:rPr>
          <w:rFonts w:eastAsia="Times New Roman"/>
          <w:i/>
          <w:u w:val="single"/>
          <w:lang w:eastAsia="fr-FR"/>
        </w:rPr>
        <w:t>.</w:t>
      </w:r>
    </w:p>
    <w:p w:rsidR="0066488B" w:rsidRDefault="003B42E0" w:rsidP="0066488B">
      <w:pPr>
        <w:pStyle w:val="SingleTxtG"/>
        <w:ind w:left="2835" w:hanging="567"/>
        <w:rPr>
          <w:rFonts w:eastAsia="Times New Roman"/>
          <w:i/>
          <w:strike/>
          <w:lang w:eastAsia="fr-FR"/>
        </w:rPr>
      </w:pPr>
      <w:r w:rsidRPr="00E53EE2">
        <w:rPr>
          <w:rFonts w:eastAsia="Times New Roman"/>
          <w:i/>
          <w:strike/>
          <w:lang w:eastAsia="fr-FR"/>
        </w:rPr>
        <w:t xml:space="preserve">f) </w:t>
      </w:r>
      <w:r w:rsidRPr="00E53EE2">
        <w:rPr>
          <w:rFonts w:eastAsia="Times New Roman"/>
          <w:i/>
          <w:strike/>
          <w:lang w:eastAsia="fr-FR"/>
        </w:rPr>
        <w:tab/>
        <w:t>Joints et garnitures non étanches</w:t>
      </w:r>
      <w:r w:rsidR="00227366">
        <w:rPr>
          <w:rFonts w:eastAsia="Times New Roman"/>
          <w:i/>
          <w:strike/>
          <w:lang w:eastAsia="fr-FR"/>
        </w:rPr>
        <w:t> ;</w:t>
      </w:r>
      <w:r w:rsidRPr="00E53EE2">
        <w:rPr>
          <w:rFonts w:eastAsia="Times New Roman"/>
          <w:i/>
          <w:strike/>
          <w:lang w:eastAsia="fr-FR"/>
        </w:rPr>
        <w:t xml:space="preserve"> </w:t>
      </w:r>
    </w:p>
    <w:p w:rsidR="0066488B" w:rsidRDefault="003B42E0" w:rsidP="0066488B">
      <w:pPr>
        <w:pStyle w:val="SingleTxtG"/>
        <w:ind w:left="2835" w:hanging="567"/>
        <w:rPr>
          <w:rFonts w:eastAsia="Times New Roman"/>
          <w:i/>
          <w:strike/>
          <w:lang w:eastAsia="fr-FR"/>
        </w:rPr>
      </w:pPr>
      <w:r w:rsidRPr="00E53EE2">
        <w:rPr>
          <w:rFonts w:eastAsia="Times New Roman"/>
          <w:i/>
          <w:strike/>
          <w:lang w:eastAsia="fr-FR"/>
        </w:rPr>
        <w:lastRenderedPageBreak/>
        <w:t>g)</w:t>
      </w:r>
      <w:r w:rsidRPr="00E53EE2">
        <w:rPr>
          <w:rFonts w:eastAsia="Times New Roman"/>
          <w:i/>
          <w:strike/>
          <w:lang w:eastAsia="fr-FR"/>
        </w:rPr>
        <w:tab/>
        <w:t>Tout désalignement d</w:t>
      </w:r>
      <w:r>
        <w:rPr>
          <w:rFonts w:eastAsia="Times New Roman"/>
          <w:i/>
          <w:strike/>
          <w:lang w:eastAsia="fr-FR"/>
        </w:rPr>
        <w:t>’</w:t>
      </w:r>
      <w:r w:rsidRPr="00E53EE2">
        <w:rPr>
          <w:rFonts w:eastAsia="Times New Roman"/>
          <w:i/>
          <w:strike/>
          <w:lang w:eastAsia="fr-FR"/>
        </w:rPr>
        <w:t>ensemble d</w:t>
      </w:r>
      <w:r>
        <w:rPr>
          <w:rFonts w:eastAsia="Times New Roman"/>
          <w:i/>
          <w:strike/>
          <w:lang w:eastAsia="fr-FR"/>
        </w:rPr>
        <w:t>’</w:t>
      </w:r>
      <w:r w:rsidRPr="00E53EE2">
        <w:rPr>
          <w:rFonts w:eastAsia="Times New Roman"/>
          <w:i/>
          <w:strike/>
          <w:lang w:eastAsia="fr-FR"/>
        </w:rPr>
        <w:t>un conteneur pour vrac ou conteneur suffisamment important pour empêcher le positionnement correct du matériel de manutention, le montage et l</w:t>
      </w:r>
      <w:r>
        <w:rPr>
          <w:rFonts w:eastAsia="Times New Roman"/>
          <w:i/>
          <w:strike/>
          <w:lang w:eastAsia="fr-FR"/>
        </w:rPr>
        <w:t>’</w:t>
      </w:r>
      <w:r w:rsidRPr="00E53EE2">
        <w:rPr>
          <w:rFonts w:eastAsia="Times New Roman"/>
          <w:i/>
          <w:strike/>
          <w:lang w:eastAsia="fr-FR"/>
        </w:rPr>
        <w:t>arrimage sur les châssis [ou wagons] ou véhicules</w:t>
      </w:r>
      <w:r w:rsidR="00227366">
        <w:rPr>
          <w:rFonts w:eastAsia="Times New Roman"/>
          <w:i/>
          <w:strike/>
          <w:lang w:eastAsia="fr-FR"/>
        </w:rPr>
        <w:t> ;</w:t>
      </w:r>
      <w:r w:rsidRPr="00E53EE2">
        <w:rPr>
          <w:rFonts w:eastAsia="Times New Roman"/>
          <w:i/>
          <w:strike/>
          <w:lang w:eastAsia="fr-FR"/>
        </w:rPr>
        <w:t xml:space="preserve"> [, ou l</w:t>
      </w:r>
      <w:r>
        <w:rPr>
          <w:rFonts w:eastAsia="Times New Roman"/>
          <w:i/>
          <w:strike/>
          <w:lang w:eastAsia="fr-FR"/>
        </w:rPr>
        <w:t>’</w:t>
      </w:r>
      <w:r w:rsidRPr="00E53EE2">
        <w:rPr>
          <w:rFonts w:eastAsia="Times New Roman"/>
          <w:i/>
          <w:strike/>
          <w:lang w:eastAsia="fr-FR"/>
        </w:rPr>
        <w:t>insertion dans les cellules du navire]</w:t>
      </w:r>
      <w:r w:rsidR="00227366">
        <w:rPr>
          <w:rFonts w:eastAsia="Times New Roman"/>
          <w:i/>
          <w:strike/>
          <w:lang w:eastAsia="fr-FR"/>
        </w:rPr>
        <w:t> ;</w:t>
      </w:r>
    </w:p>
    <w:p w:rsidR="0066488B" w:rsidRDefault="003B42E0" w:rsidP="0066488B">
      <w:pPr>
        <w:pStyle w:val="SingleTxtG"/>
        <w:ind w:left="2835" w:hanging="567"/>
        <w:rPr>
          <w:rFonts w:eastAsia="Times New Roman"/>
          <w:i/>
          <w:strike/>
          <w:lang w:eastAsia="fr-FR"/>
        </w:rPr>
      </w:pPr>
      <w:r w:rsidRPr="00E53EE2">
        <w:rPr>
          <w:rFonts w:eastAsia="Times New Roman"/>
          <w:i/>
          <w:strike/>
          <w:lang w:eastAsia="fr-FR"/>
        </w:rPr>
        <w:t>h)</w:t>
      </w:r>
      <w:r w:rsidRPr="00E53EE2">
        <w:rPr>
          <w:rFonts w:eastAsia="Times New Roman"/>
          <w:i/>
          <w:strike/>
          <w:lang w:eastAsia="fr-FR"/>
        </w:rPr>
        <w:tab/>
        <w:t>Tout endommagement des attaches de levage ou de l</w:t>
      </w:r>
      <w:r>
        <w:rPr>
          <w:rFonts w:eastAsia="Times New Roman"/>
          <w:i/>
          <w:strike/>
          <w:lang w:eastAsia="fr-FR"/>
        </w:rPr>
        <w:t>’</w:t>
      </w:r>
      <w:r w:rsidRPr="00E53EE2">
        <w:rPr>
          <w:rFonts w:eastAsia="Times New Roman"/>
          <w:i/>
          <w:strike/>
          <w:lang w:eastAsia="fr-FR"/>
        </w:rPr>
        <w:t>interface de l</w:t>
      </w:r>
      <w:r>
        <w:rPr>
          <w:rFonts w:eastAsia="Times New Roman"/>
          <w:i/>
          <w:strike/>
          <w:lang w:eastAsia="fr-FR"/>
        </w:rPr>
        <w:t>’</w:t>
      </w:r>
      <w:r w:rsidRPr="00E53EE2">
        <w:rPr>
          <w:rFonts w:eastAsia="Times New Roman"/>
          <w:i/>
          <w:strike/>
          <w:lang w:eastAsia="fr-FR"/>
        </w:rPr>
        <w:t>équipement de manutention</w:t>
      </w:r>
      <w:r w:rsidR="00227366">
        <w:rPr>
          <w:rFonts w:eastAsia="Times New Roman"/>
          <w:i/>
          <w:strike/>
          <w:lang w:eastAsia="fr-FR"/>
        </w:rPr>
        <w:t> ;</w:t>
      </w:r>
      <w:r w:rsidRPr="00E53EE2">
        <w:rPr>
          <w:rFonts w:eastAsia="Times New Roman"/>
          <w:i/>
          <w:strike/>
          <w:lang w:eastAsia="fr-FR"/>
        </w:rPr>
        <w:t xml:space="preserve"> </w:t>
      </w:r>
      <w:r w:rsidR="0066488B">
        <w:rPr>
          <w:rFonts w:eastAsia="Times New Roman"/>
          <w:i/>
          <w:strike/>
          <w:lang w:eastAsia="fr-FR"/>
        </w:rPr>
        <w:t>ou</w:t>
      </w:r>
    </w:p>
    <w:p w:rsidR="003B42E0" w:rsidRPr="00E53EE2" w:rsidRDefault="003B42E0" w:rsidP="0066488B">
      <w:pPr>
        <w:pStyle w:val="SingleTxtG"/>
        <w:ind w:left="2835" w:hanging="567"/>
        <w:rPr>
          <w:rFonts w:eastAsia="Times New Roman"/>
          <w:i/>
          <w:lang w:eastAsia="fr-FR"/>
        </w:rPr>
      </w:pPr>
      <w:r w:rsidRPr="00E53EE2">
        <w:rPr>
          <w:rFonts w:eastAsia="Times New Roman"/>
          <w:i/>
          <w:strike/>
          <w:lang w:eastAsia="fr-FR"/>
        </w:rPr>
        <w:t>i)</w:t>
      </w:r>
      <w:r w:rsidRPr="00E53EE2">
        <w:rPr>
          <w:rFonts w:eastAsia="Times New Roman"/>
          <w:i/>
          <w:strike/>
          <w:lang w:eastAsia="fr-FR"/>
        </w:rPr>
        <w:tab/>
        <w:t>Tout endommagement de l</w:t>
      </w:r>
      <w:r>
        <w:rPr>
          <w:rFonts w:eastAsia="Times New Roman"/>
          <w:i/>
          <w:strike/>
          <w:lang w:eastAsia="fr-FR"/>
        </w:rPr>
        <w:t>’</w:t>
      </w:r>
      <w:r w:rsidRPr="00E53EE2">
        <w:rPr>
          <w:rFonts w:eastAsia="Times New Roman"/>
          <w:i/>
          <w:strike/>
          <w:lang w:eastAsia="fr-FR"/>
        </w:rPr>
        <w:t>équipement de service ou du matériel d</w:t>
      </w:r>
      <w:r>
        <w:rPr>
          <w:rFonts w:eastAsia="Times New Roman"/>
          <w:i/>
          <w:strike/>
          <w:lang w:eastAsia="fr-FR"/>
        </w:rPr>
        <w:t>’</w:t>
      </w:r>
      <w:r w:rsidRPr="00E53EE2">
        <w:rPr>
          <w:rFonts w:eastAsia="Times New Roman"/>
          <w:i/>
          <w:strike/>
          <w:lang w:eastAsia="fr-FR"/>
        </w:rPr>
        <w:t>exploitation.</w:t>
      </w:r>
      <w:r w:rsidR="0066488B">
        <w:rPr>
          <w:rFonts w:eastAsia="Times New Roman"/>
          <w:i/>
          <w:lang w:eastAsia="fr-FR"/>
        </w:rPr>
        <w:t> </w:t>
      </w:r>
      <w:r w:rsidR="0066488B" w:rsidRPr="0066488B">
        <w:rPr>
          <w:rFonts w:eastAsia="Times New Roman"/>
          <w:iCs/>
          <w:lang w:eastAsia="fr-FR"/>
        </w:rPr>
        <w:t>»</w:t>
      </w:r>
      <w:r w:rsidRPr="00E53EE2">
        <w:rPr>
          <w:rFonts w:eastAsia="Times New Roman"/>
          <w:i/>
          <w:lang w:eastAsia="fr-FR"/>
        </w:rPr>
        <w:t>.</w:t>
      </w:r>
    </w:p>
    <w:p w:rsidR="00F9573C" w:rsidRPr="003B42E0" w:rsidRDefault="003B42E0" w:rsidP="003B42E0">
      <w:pPr>
        <w:pStyle w:val="SingleTxtG"/>
        <w:spacing w:before="240" w:after="0"/>
        <w:jc w:val="center"/>
        <w:rPr>
          <w:u w:val="single"/>
        </w:rPr>
      </w:pPr>
      <w:r>
        <w:rPr>
          <w:u w:val="single"/>
        </w:rPr>
        <w:tab/>
      </w:r>
      <w:r>
        <w:rPr>
          <w:u w:val="single"/>
        </w:rPr>
        <w:tab/>
      </w:r>
      <w:r>
        <w:rPr>
          <w:u w:val="single"/>
        </w:rPr>
        <w:tab/>
      </w:r>
    </w:p>
    <w:sectPr w:rsidR="00F9573C" w:rsidRPr="003B42E0" w:rsidSect="005F355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3EFC" w:rsidRDefault="00DB3EFC" w:rsidP="00F95C08">
      <w:pPr>
        <w:spacing w:line="240" w:lineRule="auto"/>
      </w:pPr>
    </w:p>
  </w:endnote>
  <w:endnote w:type="continuationSeparator" w:id="0">
    <w:p w:rsidR="00DB3EFC" w:rsidRPr="00AC3823" w:rsidRDefault="00DB3EFC" w:rsidP="00AC3823">
      <w:pPr>
        <w:pStyle w:val="Footer"/>
      </w:pPr>
    </w:p>
  </w:endnote>
  <w:endnote w:type="continuationNotice" w:id="1">
    <w:p w:rsidR="00DB3EFC" w:rsidRDefault="00DB3EF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556" w:rsidRPr="005F3556" w:rsidRDefault="005F3556" w:rsidP="005F3556">
    <w:pPr>
      <w:pStyle w:val="Footer"/>
      <w:tabs>
        <w:tab w:val="right" w:pos="9638"/>
      </w:tabs>
    </w:pPr>
    <w:r w:rsidRPr="005F3556">
      <w:rPr>
        <w:b/>
        <w:sz w:val="18"/>
      </w:rPr>
      <w:fldChar w:fldCharType="begin"/>
    </w:r>
    <w:r w:rsidRPr="005F3556">
      <w:rPr>
        <w:b/>
        <w:sz w:val="18"/>
      </w:rPr>
      <w:instrText xml:space="preserve"> PAGE  \* MERGEFORMAT </w:instrText>
    </w:r>
    <w:r w:rsidRPr="005F3556">
      <w:rPr>
        <w:b/>
        <w:sz w:val="18"/>
      </w:rPr>
      <w:fldChar w:fldCharType="separate"/>
    </w:r>
    <w:r w:rsidRPr="005F3556">
      <w:rPr>
        <w:b/>
        <w:noProof/>
        <w:sz w:val="18"/>
      </w:rPr>
      <w:t>2</w:t>
    </w:r>
    <w:r w:rsidRPr="005F3556">
      <w:rPr>
        <w:b/>
        <w:sz w:val="18"/>
      </w:rPr>
      <w:fldChar w:fldCharType="end"/>
    </w:r>
    <w:r>
      <w:rPr>
        <w:b/>
        <w:sz w:val="18"/>
      </w:rPr>
      <w:tab/>
    </w:r>
    <w:r>
      <w:t>GE.20-00088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556" w:rsidRPr="005F3556" w:rsidRDefault="005F3556" w:rsidP="005F3556">
    <w:pPr>
      <w:pStyle w:val="Footer"/>
      <w:tabs>
        <w:tab w:val="right" w:pos="9638"/>
      </w:tabs>
      <w:rPr>
        <w:b/>
        <w:sz w:val="18"/>
      </w:rPr>
    </w:pPr>
    <w:r>
      <w:t>GE.20-00088</w:t>
    </w:r>
    <w:r>
      <w:tab/>
    </w:r>
    <w:r w:rsidRPr="005F3556">
      <w:rPr>
        <w:b/>
        <w:sz w:val="18"/>
      </w:rPr>
      <w:fldChar w:fldCharType="begin"/>
    </w:r>
    <w:r w:rsidRPr="005F3556">
      <w:rPr>
        <w:b/>
        <w:sz w:val="18"/>
      </w:rPr>
      <w:instrText xml:space="preserve"> PAGE  \* MERGEFORMAT </w:instrText>
    </w:r>
    <w:r w:rsidRPr="005F3556">
      <w:rPr>
        <w:b/>
        <w:sz w:val="18"/>
      </w:rPr>
      <w:fldChar w:fldCharType="separate"/>
    </w:r>
    <w:r w:rsidRPr="005F3556">
      <w:rPr>
        <w:b/>
        <w:noProof/>
        <w:sz w:val="18"/>
      </w:rPr>
      <w:t>3</w:t>
    </w:r>
    <w:r w:rsidRPr="005F355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5F3556" w:rsidRDefault="005F3556" w:rsidP="005F3556">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20-00088</w:t>
    </w:r>
    <w:r w:rsidR="00227366">
      <w:rPr>
        <w:sz w:val="20"/>
      </w:rPr>
      <w:t xml:space="preserve">  </w:t>
    </w:r>
    <w:r>
      <w:rPr>
        <w:sz w:val="20"/>
      </w:rPr>
      <w:t>(F)</w:t>
    </w:r>
    <w:r w:rsidR="00227366">
      <w:rPr>
        <w:sz w:val="20"/>
      </w:rPr>
      <w:t xml:space="preserve">    </w:t>
    </w:r>
    <w:r>
      <w:rPr>
        <w:sz w:val="20"/>
      </w:rPr>
      <w:t>150120</w:t>
    </w:r>
    <w:r w:rsidR="00227366">
      <w:rPr>
        <w:sz w:val="20"/>
      </w:rPr>
      <w:t xml:space="preserve">    </w:t>
    </w:r>
    <w:r>
      <w:rPr>
        <w:sz w:val="20"/>
      </w:rPr>
      <w:t>150120</w:t>
    </w:r>
    <w:r>
      <w:rPr>
        <w:sz w:val="20"/>
      </w:rPr>
      <w:br/>
    </w:r>
    <w:r w:rsidRPr="005F3556">
      <w:rPr>
        <w:rFonts w:ascii="C39T30Lfz" w:hAnsi="C39T30Lfz"/>
        <w:sz w:val="56"/>
      </w:rPr>
      <w:t></w:t>
    </w:r>
    <w:r w:rsidRPr="005F3556">
      <w:rPr>
        <w:rFonts w:ascii="C39T30Lfz" w:hAnsi="C39T30Lfz"/>
        <w:sz w:val="56"/>
      </w:rPr>
      <w:t></w:t>
    </w:r>
    <w:r w:rsidRPr="005F3556">
      <w:rPr>
        <w:rFonts w:ascii="C39T30Lfz" w:hAnsi="C39T30Lfz"/>
        <w:sz w:val="56"/>
      </w:rPr>
      <w:t></w:t>
    </w:r>
    <w:r w:rsidRPr="005F3556">
      <w:rPr>
        <w:rFonts w:ascii="C39T30Lfz" w:hAnsi="C39T30Lfz"/>
        <w:sz w:val="56"/>
      </w:rPr>
      <w:t></w:t>
    </w:r>
    <w:r w:rsidRPr="005F3556">
      <w:rPr>
        <w:rFonts w:ascii="C39T30Lfz" w:hAnsi="C39T30Lfz"/>
        <w:sz w:val="56"/>
      </w:rPr>
      <w:t></w:t>
    </w:r>
    <w:r w:rsidRPr="005F3556">
      <w:rPr>
        <w:rFonts w:ascii="C39T30Lfz" w:hAnsi="C39T30Lfz"/>
        <w:sz w:val="56"/>
      </w:rPr>
      <w:t></w:t>
    </w:r>
    <w:r w:rsidRPr="005F3556">
      <w:rPr>
        <w:rFonts w:ascii="C39T30Lfz" w:hAnsi="C39T30Lfz"/>
        <w:sz w:val="56"/>
      </w:rPr>
      <w:t></w:t>
    </w:r>
    <w:r w:rsidRPr="005F3556">
      <w:rPr>
        <w:rFonts w:ascii="C39T30Lfz" w:hAnsi="C39T30Lfz"/>
        <w:sz w:val="56"/>
      </w:rPr>
      <w:t></w:t>
    </w:r>
    <w:r w:rsidRPr="005F3556">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AC.1/2020/2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20/2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3EFC" w:rsidRPr="00AC3823" w:rsidRDefault="00DB3EFC" w:rsidP="00AC3823">
      <w:pPr>
        <w:pStyle w:val="Footer"/>
        <w:tabs>
          <w:tab w:val="right" w:pos="2155"/>
        </w:tabs>
        <w:spacing w:after="80" w:line="240" w:lineRule="atLeast"/>
        <w:ind w:left="680"/>
        <w:rPr>
          <w:u w:val="single"/>
        </w:rPr>
      </w:pPr>
      <w:r>
        <w:rPr>
          <w:u w:val="single"/>
        </w:rPr>
        <w:tab/>
      </w:r>
    </w:p>
  </w:footnote>
  <w:footnote w:type="continuationSeparator" w:id="0">
    <w:p w:rsidR="00DB3EFC" w:rsidRPr="00AC3823" w:rsidRDefault="00DB3EFC" w:rsidP="00AC3823">
      <w:pPr>
        <w:pStyle w:val="Footer"/>
        <w:tabs>
          <w:tab w:val="right" w:pos="2155"/>
        </w:tabs>
        <w:spacing w:after="80" w:line="240" w:lineRule="atLeast"/>
        <w:ind w:left="680"/>
        <w:rPr>
          <w:u w:val="single"/>
        </w:rPr>
      </w:pPr>
      <w:r>
        <w:rPr>
          <w:u w:val="single"/>
        </w:rPr>
        <w:tab/>
      </w:r>
    </w:p>
  </w:footnote>
  <w:footnote w:type="continuationNotice" w:id="1">
    <w:p w:rsidR="00DB3EFC" w:rsidRPr="00AC3823" w:rsidRDefault="00DB3EFC">
      <w:pPr>
        <w:spacing w:line="240" w:lineRule="auto"/>
        <w:rPr>
          <w:sz w:val="2"/>
          <w:szCs w:val="2"/>
        </w:rPr>
      </w:pPr>
    </w:p>
  </w:footnote>
  <w:footnote w:id="2">
    <w:p w:rsidR="003B42E0" w:rsidRPr="001B2813" w:rsidRDefault="003B42E0" w:rsidP="003B42E0">
      <w:pPr>
        <w:pStyle w:val="FootnoteText"/>
        <w:rPr>
          <w:sz w:val="20"/>
        </w:rPr>
      </w:pPr>
      <w:r>
        <w:rPr>
          <w:sz w:val="20"/>
        </w:rPr>
        <w:tab/>
      </w:r>
      <w:r w:rsidRPr="001B2813">
        <w:rPr>
          <w:sz w:val="20"/>
        </w:rPr>
        <w:t>*</w:t>
      </w:r>
      <w:r w:rsidRPr="001B2813">
        <w:rPr>
          <w:sz w:val="20"/>
        </w:rPr>
        <w:tab/>
      </w:r>
      <w:r w:rsidRPr="001B2813">
        <w:t>2020 (A/74/6 (</w:t>
      </w:r>
      <w:r w:rsidR="006167A9">
        <w:t>s</w:t>
      </w:r>
      <w:r w:rsidRPr="001B2813">
        <w:t xml:space="preserve">ect.20) </w:t>
      </w:r>
      <w:r>
        <w:t>et</w:t>
      </w:r>
      <w:r w:rsidRPr="001B2813">
        <w:t xml:space="preserve"> supplémentaire, </w:t>
      </w:r>
      <w:r>
        <w:t>s</w:t>
      </w:r>
      <w:r w:rsidRPr="001B2813">
        <w:t>ous-programme 2).</w:t>
      </w:r>
    </w:p>
  </w:footnote>
  <w:footnote w:id="3">
    <w:p w:rsidR="003B42E0" w:rsidRPr="006167A9" w:rsidRDefault="003B42E0" w:rsidP="006167A9">
      <w:pPr>
        <w:pStyle w:val="FootnoteText"/>
      </w:pPr>
      <w:r w:rsidRPr="001B2813">
        <w:tab/>
        <w:t>**</w:t>
      </w:r>
      <w:r w:rsidRPr="001B2813">
        <w:tab/>
        <w:t>Diffusé par l’Organisation intergouvernementale pour les transports internationaux ferroviaires (OTIF) sous la cote OTIF/RID/RC/2020/24.</w:t>
      </w:r>
    </w:p>
  </w:footnote>
  <w:footnote w:id="4">
    <w:p w:rsidR="00145FF8" w:rsidRDefault="00145FF8">
      <w:pPr>
        <w:pStyle w:val="FootnoteText"/>
      </w:pPr>
      <w:r>
        <w:tab/>
      </w:r>
      <w:r>
        <w:rPr>
          <w:rStyle w:val="FootnoteReference"/>
        </w:rPr>
        <w:footnoteRef/>
      </w:r>
      <w:r>
        <w:tab/>
      </w:r>
      <w:hyperlink r:id="rId1" w:history="1">
        <w:r w:rsidRPr="006715F9">
          <w:t>http</w:t>
        </w:r>
        <w:r>
          <w:t>:</w:t>
        </w:r>
        <w:r w:rsidRPr="006715F9">
          <w:t>//www.unece.org/fileadmin/DAM/trans/doc/2017/dgwp15a1/INF15e.pdf</w:t>
        </w:r>
      </w:hyperlink>
      <w:r>
        <w:t>.</w:t>
      </w:r>
    </w:p>
  </w:footnote>
  <w:footnote w:id="5">
    <w:p w:rsidR="00816DC9" w:rsidRDefault="00816DC9">
      <w:pPr>
        <w:pStyle w:val="FootnoteText"/>
      </w:pPr>
      <w:r>
        <w:tab/>
      </w:r>
      <w:r>
        <w:rPr>
          <w:rStyle w:val="FootnoteReference"/>
        </w:rPr>
        <w:footnoteRef/>
      </w:r>
      <w:r>
        <w:tab/>
      </w:r>
      <w:hyperlink r:id="rId2" w:history="1">
        <w:r w:rsidRPr="006715F9">
          <w:t>http</w:t>
        </w:r>
        <w:r>
          <w:t>:</w:t>
        </w:r>
        <w:r w:rsidRPr="006715F9">
          <w:t>//www.unece.org/fileadmin/DAM/trans/doc/2019/dgac10c3/2019-40e.pdf</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556" w:rsidRPr="005F3556" w:rsidRDefault="005F47C1">
    <w:pPr>
      <w:pStyle w:val="Header"/>
    </w:pPr>
    <w:r>
      <w:fldChar w:fldCharType="begin"/>
    </w:r>
    <w:r>
      <w:instrText xml:space="preserve"> TITLE  \* MERGEFORMAT </w:instrText>
    </w:r>
    <w:r>
      <w:fldChar w:fldCharType="separate"/>
    </w:r>
    <w:r w:rsidR="00CD693F">
      <w:t>ECE/TRANS/WP.15/AC.1/2020/24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556" w:rsidRPr="005F3556" w:rsidRDefault="005F47C1" w:rsidP="005F3556">
    <w:pPr>
      <w:pStyle w:val="Header"/>
      <w:jc w:val="right"/>
    </w:pPr>
    <w:r>
      <w:fldChar w:fldCharType="begin"/>
    </w:r>
    <w:r>
      <w:instrText xml:space="preserve"> TITLE  \* MERGEFORMAT </w:instrText>
    </w:r>
    <w:r>
      <w:fldChar w:fldCharType="separate"/>
    </w:r>
    <w:r w:rsidR="00CD693F">
      <w:t>ECE/TRANS/WP.15/AC.1/2020/24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EFC"/>
    <w:rsid w:val="00017F94"/>
    <w:rsid w:val="00023842"/>
    <w:rsid w:val="000334F9"/>
    <w:rsid w:val="00045FEB"/>
    <w:rsid w:val="0007796D"/>
    <w:rsid w:val="000B12C6"/>
    <w:rsid w:val="000B7790"/>
    <w:rsid w:val="00111F2F"/>
    <w:rsid w:val="0014365E"/>
    <w:rsid w:val="00143C66"/>
    <w:rsid w:val="00145FF8"/>
    <w:rsid w:val="00176178"/>
    <w:rsid w:val="00181173"/>
    <w:rsid w:val="001F525A"/>
    <w:rsid w:val="00200B5D"/>
    <w:rsid w:val="00202826"/>
    <w:rsid w:val="00223272"/>
    <w:rsid w:val="00227366"/>
    <w:rsid w:val="0024779E"/>
    <w:rsid w:val="002505E8"/>
    <w:rsid w:val="00257168"/>
    <w:rsid w:val="002744B8"/>
    <w:rsid w:val="002832AC"/>
    <w:rsid w:val="00297E5B"/>
    <w:rsid w:val="002D7C93"/>
    <w:rsid w:val="00305801"/>
    <w:rsid w:val="003916DE"/>
    <w:rsid w:val="003B42E0"/>
    <w:rsid w:val="003D2310"/>
    <w:rsid w:val="003D4E61"/>
    <w:rsid w:val="00421996"/>
    <w:rsid w:val="00441C3B"/>
    <w:rsid w:val="00446FE5"/>
    <w:rsid w:val="00452396"/>
    <w:rsid w:val="004565F7"/>
    <w:rsid w:val="004837D8"/>
    <w:rsid w:val="004E2EED"/>
    <w:rsid w:val="004E468C"/>
    <w:rsid w:val="005505B7"/>
    <w:rsid w:val="00573BE5"/>
    <w:rsid w:val="00586ED3"/>
    <w:rsid w:val="00596AA9"/>
    <w:rsid w:val="005D4384"/>
    <w:rsid w:val="005F3556"/>
    <w:rsid w:val="005F47C1"/>
    <w:rsid w:val="0061619C"/>
    <w:rsid w:val="006167A9"/>
    <w:rsid w:val="00656EA7"/>
    <w:rsid w:val="0066488B"/>
    <w:rsid w:val="0066752C"/>
    <w:rsid w:val="006844A0"/>
    <w:rsid w:val="007043F1"/>
    <w:rsid w:val="00706480"/>
    <w:rsid w:val="0071601D"/>
    <w:rsid w:val="00784807"/>
    <w:rsid w:val="007A62E6"/>
    <w:rsid w:val="007F20FA"/>
    <w:rsid w:val="0080684C"/>
    <w:rsid w:val="00816DC9"/>
    <w:rsid w:val="00871C75"/>
    <w:rsid w:val="008776DC"/>
    <w:rsid w:val="00893311"/>
    <w:rsid w:val="008F0ED1"/>
    <w:rsid w:val="009446C0"/>
    <w:rsid w:val="009705C8"/>
    <w:rsid w:val="009C1CF4"/>
    <w:rsid w:val="009C7E1B"/>
    <w:rsid w:val="009F5C76"/>
    <w:rsid w:val="009F6B74"/>
    <w:rsid w:val="00A3029F"/>
    <w:rsid w:val="00A30353"/>
    <w:rsid w:val="00A70AC3"/>
    <w:rsid w:val="00AC3823"/>
    <w:rsid w:val="00AE323C"/>
    <w:rsid w:val="00AF0CB5"/>
    <w:rsid w:val="00B00181"/>
    <w:rsid w:val="00B00B0D"/>
    <w:rsid w:val="00B45F2E"/>
    <w:rsid w:val="00B765F7"/>
    <w:rsid w:val="00BA0CA9"/>
    <w:rsid w:val="00C02897"/>
    <w:rsid w:val="00C42587"/>
    <w:rsid w:val="00C97039"/>
    <w:rsid w:val="00CA55E4"/>
    <w:rsid w:val="00CD693F"/>
    <w:rsid w:val="00D3439C"/>
    <w:rsid w:val="00DB1831"/>
    <w:rsid w:val="00DB3EFC"/>
    <w:rsid w:val="00DB7F09"/>
    <w:rsid w:val="00DD3BFD"/>
    <w:rsid w:val="00DF6678"/>
    <w:rsid w:val="00E0299A"/>
    <w:rsid w:val="00E317C8"/>
    <w:rsid w:val="00E85C74"/>
    <w:rsid w:val="00EA6547"/>
    <w:rsid w:val="00EB53FF"/>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062E5C8-8359-4292-A3AC-B65869F7F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unece.org/fileadmin/DAM/trans/doc/2019/dgac10c3/ST-SG-AC.10-C.3-2019-40e.pdf" TargetMode="External"/><Relationship Id="rId1" Type="http://schemas.openxmlformats.org/officeDocument/2006/relationships/hyperlink" Target="http://www.unece.org/fileadmin/DAM/trans/doc/2017/dgwp15ac1/ECE-TRANS-WP15-AC1-2017-GE-INF15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1883</Words>
  <Characters>10738</Characters>
  <Application>Microsoft Office Word</Application>
  <DocSecurity>0</DocSecurity>
  <Lines>89</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ECE/TRANS/WP.15/AC.1/2020/24</vt:lpstr>
      <vt:lpstr>ECE/TRANS/WP.15/AC.1/2020/24</vt:lpstr>
    </vt:vector>
  </TitlesOfParts>
  <Company>DCM</Company>
  <LinksUpToDate>false</LinksUpToDate>
  <CharactersWithSpaces>12596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ECE/TRANS/WP.15/AC.1/2020/24</dc:title>
  <dc:subject/>
  <dc:creator>Nathalie VITTOZ</dc:creator>
  <cp:keywords/>
  <cp:lastModifiedBy>Christine Barrio-Champeau</cp:lastModifiedBy>
  <cp:revision>2</cp:revision>
  <cp:lastPrinted>2020-01-15T10:38:00Z</cp:lastPrinted>
  <dcterms:created xsi:type="dcterms:W3CDTF">2020-01-17T09:40:00Z</dcterms:created>
  <dcterms:modified xsi:type="dcterms:W3CDTF">2020-01-17T09:40:00Z</dcterms:modified>
</cp:coreProperties>
</file>