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7BDF57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6AD116" w14:textId="77777777" w:rsidR="002D5AAC" w:rsidRDefault="002D5AAC" w:rsidP="00AB6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6E407A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506FA53" w14:textId="77777777" w:rsidR="002D5AAC" w:rsidRDefault="00AB6AAB" w:rsidP="00AB6AAB">
            <w:pPr>
              <w:jc w:val="right"/>
            </w:pPr>
            <w:r w:rsidRPr="00AB6AAB">
              <w:rPr>
                <w:sz w:val="40"/>
              </w:rPr>
              <w:t>ECE</w:t>
            </w:r>
            <w:r>
              <w:t>/TRANS/WP.15/AC.1/2020/23</w:t>
            </w:r>
          </w:p>
        </w:tc>
      </w:tr>
      <w:tr w:rsidR="002D5AAC" w14:paraId="7556600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7F336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86EDD72" wp14:editId="7032263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E4718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DE32F6A" w14:textId="77777777" w:rsidR="002D5AAC" w:rsidRDefault="00AB6AA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F9ECF45" w14:textId="77777777" w:rsidR="00AB6AAB" w:rsidRDefault="00AB6AAB" w:rsidP="00AB6A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2020</w:t>
            </w:r>
          </w:p>
          <w:p w14:paraId="0A827B23" w14:textId="77777777" w:rsidR="00AB6AAB" w:rsidRDefault="00AB6AAB" w:rsidP="00AB6A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ABAA4F0" w14:textId="77777777" w:rsidR="00AB6AAB" w:rsidRPr="008D53B6" w:rsidRDefault="00AB6AAB" w:rsidP="00AB6A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0DADF7E2" w14:textId="77777777" w:rsidR="00AB6AA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60B53C5" w14:textId="77777777" w:rsidR="00AB6AAB" w:rsidRPr="0003352C" w:rsidRDefault="00AB6AAB" w:rsidP="00AB6AAB">
      <w:pPr>
        <w:spacing w:before="120"/>
        <w:rPr>
          <w:sz w:val="28"/>
          <w:szCs w:val="28"/>
        </w:rPr>
      </w:pPr>
      <w:r w:rsidRPr="0003352C">
        <w:rPr>
          <w:sz w:val="28"/>
          <w:szCs w:val="28"/>
        </w:rPr>
        <w:t>Комитет по внутреннему транспорту</w:t>
      </w:r>
    </w:p>
    <w:p w14:paraId="5B998F05" w14:textId="77777777" w:rsidR="00AB6AAB" w:rsidRPr="0003352C" w:rsidRDefault="00AB6AAB" w:rsidP="00AB6AAB">
      <w:pPr>
        <w:spacing w:before="120"/>
        <w:rPr>
          <w:b/>
          <w:sz w:val="24"/>
          <w:szCs w:val="24"/>
        </w:rPr>
      </w:pPr>
      <w:r w:rsidRPr="0003352C">
        <w:rPr>
          <w:b/>
          <w:bCs/>
          <w:sz w:val="24"/>
          <w:szCs w:val="24"/>
        </w:rPr>
        <w:t>Рабочая группа по перевозкам опасных грузов</w:t>
      </w:r>
    </w:p>
    <w:p w14:paraId="2D10A695" w14:textId="77777777" w:rsidR="00AB6AAB" w:rsidRPr="0003352C" w:rsidRDefault="00AB6AAB" w:rsidP="00AB6AAB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72D36DF4" w14:textId="77777777" w:rsidR="00AB6AAB" w:rsidRPr="0003352C" w:rsidRDefault="00AB6AAB" w:rsidP="00AB6AAB">
      <w:r>
        <w:t>Берн, 16–20 марта 2020 года</w:t>
      </w:r>
    </w:p>
    <w:p w14:paraId="342E22F3" w14:textId="77777777" w:rsidR="00AB6AAB" w:rsidRPr="0003352C" w:rsidRDefault="00AB6AAB" w:rsidP="00AB6AAB">
      <w:r>
        <w:t>Пункт 5 b) предварительной повестки дня</w:t>
      </w:r>
    </w:p>
    <w:p w14:paraId="68FFA11C" w14:textId="77777777" w:rsidR="00AB6AAB" w:rsidRPr="0003352C" w:rsidRDefault="00AB6AAB" w:rsidP="00AB6AAB">
      <w:pPr>
        <w:rPr>
          <w:b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МПОГ/ДОПОГ/ВОПОГ: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новые предложения</w:t>
      </w:r>
    </w:p>
    <w:p w14:paraId="31D4B166" w14:textId="77777777" w:rsidR="00AB6AAB" w:rsidRPr="0003352C" w:rsidRDefault="00AB6AAB" w:rsidP="00AB6AAB">
      <w:pPr>
        <w:pStyle w:val="HChG"/>
      </w:pPr>
      <w:r>
        <w:tab/>
      </w:r>
      <w:r>
        <w:tab/>
      </w:r>
      <w:r>
        <w:rPr>
          <w:bCs/>
        </w:rPr>
        <w:t>Перевозка оборудования, работающего на литиевых элементах или батареях</w:t>
      </w:r>
    </w:p>
    <w:p w14:paraId="47A6640E" w14:textId="77777777" w:rsidR="00AB6AAB" w:rsidRDefault="00AB6AAB" w:rsidP="00AB6AAB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Передано правительством Швейцарии</w:t>
      </w:r>
      <w:r w:rsidRPr="00AB6AA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AB6AAB">
        <w:rPr>
          <w:b w:val="0"/>
          <w:sz w:val="20"/>
        </w:rPr>
        <w:t xml:space="preserve"> </w:t>
      </w:r>
      <w:r w:rsidRPr="00AB6AAB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AB6AAB" w14:paraId="5D841DF3" w14:textId="77777777" w:rsidTr="00F54C07">
        <w:trPr>
          <w:jc w:val="center"/>
        </w:trPr>
        <w:tc>
          <w:tcPr>
            <w:tcW w:w="9628" w:type="dxa"/>
            <w:shd w:val="clear" w:color="auto" w:fill="auto"/>
          </w:tcPr>
          <w:p w14:paraId="55594A4C" w14:textId="77777777" w:rsidR="00AB6AAB" w:rsidRPr="00AB6AAB" w:rsidRDefault="00AB6AAB" w:rsidP="00F54C07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AB6AAB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AB6AAB" w:rsidRPr="00B02C9B" w14:paraId="6615DF5A" w14:textId="77777777" w:rsidTr="00F54C07">
        <w:trPr>
          <w:jc w:val="center"/>
        </w:trPr>
        <w:tc>
          <w:tcPr>
            <w:tcW w:w="9628" w:type="dxa"/>
            <w:shd w:val="clear" w:color="auto" w:fill="auto"/>
          </w:tcPr>
          <w:p w14:paraId="307DD309" w14:textId="77777777" w:rsidR="00AB6AAB" w:rsidRPr="0003352C" w:rsidRDefault="00AB6AAB" w:rsidP="00AB6AAB">
            <w:pPr>
              <w:pStyle w:val="SingleTxtG"/>
              <w:tabs>
                <w:tab w:val="left" w:pos="3260"/>
              </w:tabs>
              <w:ind w:left="3730" w:right="1138" w:hanging="2592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 xml:space="preserve">Машины, работающие на жидком или газообразном топливе, освобождаются от действия правил в специальном положении 363, в то время как для таких же машин, работающих на литиевых батареях, не имеется положения, которое позволяло бы освобождать их от действия правил при определенных условиях. Цель состоит в том, чтобы определить условия, позволяющие освобождать от действия правил машины, работающие на литиевых батареях. </w:t>
            </w:r>
          </w:p>
        </w:tc>
      </w:tr>
      <w:tr w:rsidR="00AB6AAB" w:rsidRPr="00B02C9B" w14:paraId="0D286D35" w14:textId="77777777" w:rsidTr="00F54C07">
        <w:trPr>
          <w:jc w:val="center"/>
        </w:trPr>
        <w:tc>
          <w:tcPr>
            <w:tcW w:w="9628" w:type="dxa"/>
            <w:shd w:val="clear" w:color="auto" w:fill="auto"/>
          </w:tcPr>
          <w:p w14:paraId="70266CCA" w14:textId="77777777" w:rsidR="00AB6AAB" w:rsidRPr="0003352C" w:rsidRDefault="00AB6AAB" w:rsidP="00AB6AAB">
            <w:pPr>
              <w:pStyle w:val="SingleTxtG"/>
              <w:tabs>
                <w:tab w:val="left" w:pos="3260"/>
              </w:tabs>
              <w:ind w:left="3730" w:right="1138" w:hanging="2592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 xml:space="preserve">Включить в главу 3.3 специальное положение XYZ </w:t>
            </w:r>
            <w:r>
              <w:br/>
              <w:t xml:space="preserve">для № ООН 3091 и 3481. </w:t>
            </w:r>
          </w:p>
        </w:tc>
      </w:tr>
      <w:tr w:rsidR="00AB6AAB" w:rsidRPr="00B02C9B" w14:paraId="046A6743" w14:textId="77777777" w:rsidTr="00F54C07">
        <w:trPr>
          <w:jc w:val="center"/>
        </w:trPr>
        <w:tc>
          <w:tcPr>
            <w:tcW w:w="9628" w:type="dxa"/>
            <w:shd w:val="clear" w:color="auto" w:fill="auto"/>
          </w:tcPr>
          <w:p w14:paraId="62F24C6A" w14:textId="77777777" w:rsidR="00AB6AAB" w:rsidRPr="0003352C" w:rsidRDefault="00AB6AAB" w:rsidP="00F54C07">
            <w:pPr>
              <w:pStyle w:val="SingleTxtG"/>
              <w:tabs>
                <w:tab w:val="left" w:pos="3260"/>
              </w:tabs>
              <w:ind w:left="3260" w:hanging="2126"/>
            </w:pPr>
          </w:p>
        </w:tc>
      </w:tr>
      <w:tr w:rsidR="00AB6AAB" w:rsidRPr="00B02C9B" w14:paraId="30B0EFFF" w14:textId="77777777" w:rsidTr="00F54C07">
        <w:trPr>
          <w:jc w:val="center"/>
        </w:trPr>
        <w:tc>
          <w:tcPr>
            <w:tcW w:w="9628" w:type="dxa"/>
            <w:shd w:val="clear" w:color="auto" w:fill="auto"/>
          </w:tcPr>
          <w:p w14:paraId="01082646" w14:textId="77777777" w:rsidR="00AB6AAB" w:rsidRPr="0003352C" w:rsidRDefault="00AB6AAB" w:rsidP="00F54C07"/>
        </w:tc>
      </w:tr>
    </w:tbl>
    <w:p w14:paraId="0EF3D5B2" w14:textId="77777777" w:rsidR="00AB6AAB" w:rsidRDefault="00AB6AAB" w:rsidP="00AB6AAB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3B59B44A" w14:textId="77777777" w:rsidR="00AB6AAB" w:rsidRPr="0003352C" w:rsidRDefault="00AB6AAB" w:rsidP="00AB6AAB">
      <w:pPr>
        <w:pStyle w:val="SingleTxtG"/>
      </w:pPr>
      <w:r w:rsidRPr="0003352C">
        <w:t>1.</w:t>
      </w:r>
      <w:r w:rsidRPr="0003352C">
        <w:tab/>
      </w:r>
      <w:r>
        <w:t xml:space="preserve">Машины с двигателями внутреннего сгорания, работающими на легковоспламеняющейся жидкости (№ ООН 3528), или воспламеняющемся газе </w:t>
      </w:r>
      <w:r>
        <w:br/>
      </w:r>
      <w:r>
        <w:lastRenderedPageBreak/>
        <w:t xml:space="preserve">(№ ООН 3529), или жидкости класса 9 (№ ООН 3530), освобождаются от действия правил, если они отвечают требованиям специального положения 363. Для таких же машин, работающих на литиевых элементах или батареях, аналогичного освобождения еще не предусмотрено. </w:t>
      </w:r>
    </w:p>
    <w:p w14:paraId="7B6659ED" w14:textId="77777777" w:rsidR="00AB6AAB" w:rsidRDefault="00AB6AAB" w:rsidP="00AB6AAB">
      <w:pPr>
        <w:pStyle w:val="SingleTxtG"/>
        <w:rPr>
          <w:color w:val="000000" w:themeColor="text1"/>
        </w:rPr>
      </w:pPr>
      <w:r>
        <w:rPr>
          <w:color w:val="000000" w:themeColor="text1"/>
        </w:rPr>
        <w:t>2.</w:t>
      </w:r>
      <w:r>
        <w:rPr>
          <w:color w:val="000000" w:themeColor="text1"/>
        </w:rPr>
        <w:tab/>
      </w:r>
      <w:r>
        <w:t xml:space="preserve">Устройство (например, ленточный строительный конвейер или кран), работающее на жидком топливе, отнесено к № ООН 3528 и освобождено от действия правил на основании специального положения 363, в то время как такое же устройство, работающее на литиевых батареях, должно быть отнесено к одной из позиций </w:t>
      </w:r>
      <w:r w:rsidR="007E3CF7">
        <w:br/>
      </w:r>
      <w:r>
        <w:t>под № ООН 3091 или № ООН 3481, для которых не предусмотрено положений, аналогичных специальному положению 363.</w:t>
      </w:r>
    </w:p>
    <w:p w14:paraId="2094D5EE" w14:textId="77777777" w:rsidR="00AB6AAB" w:rsidRPr="0003352C" w:rsidRDefault="00AB6AAB" w:rsidP="00AB6AAB">
      <w:pPr>
        <w:pStyle w:val="SingleTxtG"/>
        <w:rPr>
          <w:color w:val="000000" w:themeColor="text1"/>
        </w:rPr>
      </w:pPr>
      <w:r w:rsidRPr="0003352C">
        <w:rPr>
          <w:color w:val="000000" w:themeColor="text1"/>
        </w:rPr>
        <w:t>3.</w:t>
      </w:r>
      <w:r w:rsidRPr="0003352C">
        <w:rPr>
          <w:color w:val="000000" w:themeColor="text1"/>
        </w:rPr>
        <w:tab/>
      </w:r>
      <w:r>
        <w:t>Как представляется, существующие положения об отступлениях, содержащиеся в разделе 1.1.3, не могут устранить этот пробел. Ни пункт 1.1.3.1 c), ни подраздел</w:t>
      </w:r>
      <w:r w:rsidR="00F54FC5">
        <w:t> </w:t>
      </w:r>
      <w:r>
        <w:t xml:space="preserve">1.1.3.7 не применяются к оборудованию, которое не предназначено для эксплуатации во время перевозки и которое работает на литиевых батареях. </w:t>
      </w:r>
    </w:p>
    <w:p w14:paraId="08DFD69E" w14:textId="77777777" w:rsidR="00AB6AAB" w:rsidRPr="0003352C" w:rsidRDefault="00AB6AAB" w:rsidP="00AB6AAB">
      <w:pPr>
        <w:pStyle w:val="SingleTxtG"/>
        <w:rPr>
          <w:color w:val="000000" w:themeColor="text1"/>
        </w:rPr>
      </w:pPr>
      <w:r w:rsidRPr="0003352C">
        <w:rPr>
          <w:color w:val="000000" w:themeColor="text1"/>
        </w:rPr>
        <w:t>4.</w:t>
      </w:r>
      <w:r w:rsidRPr="0003352C">
        <w:rPr>
          <w:color w:val="000000" w:themeColor="text1"/>
        </w:rPr>
        <w:tab/>
      </w:r>
      <w:r>
        <w:t>В целях устранения этого пробела в случае перевозок, осуществляемых предприятиями в дополнение к их основной деятельности, Совместное совещание могло бы рассмотреть решение, подобное тому, которое предлагается ниже.</w:t>
      </w:r>
    </w:p>
    <w:p w14:paraId="0E3925FF" w14:textId="77777777" w:rsidR="00AB6AAB" w:rsidRPr="0003352C" w:rsidRDefault="00AB6AAB" w:rsidP="00AB6AAB">
      <w:pPr>
        <w:pStyle w:val="HChG"/>
        <w:rPr>
          <w:color w:val="000000" w:themeColor="text1"/>
        </w:rPr>
      </w:pPr>
      <w:r>
        <w:tab/>
      </w:r>
      <w:r>
        <w:tab/>
      </w:r>
      <w:r>
        <w:rPr>
          <w:bCs/>
        </w:rPr>
        <w:t>Предложения</w:t>
      </w:r>
    </w:p>
    <w:p w14:paraId="41735CC3" w14:textId="77777777" w:rsidR="00AB6AAB" w:rsidRPr="0003352C" w:rsidRDefault="00AB6AAB" w:rsidP="00AB6AAB">
      <w:pPr>
        <w:pStyle w:val="SingleTxtG"/>
        <w:rPr>
          <w:color w:val="000000" w:themeColor="text1"/>
        </w:rPr>
      </w:pPr>
      <w:r>
        <w:t>5.</w:t>
      </w:r>
      <w:r>
        <w:tab/>
        <w:t xml:space="preserve">Добавить специальное положение СП XYY для позиций под № ООН 3091 </w:t>
      </w:r>
      <w:r>
        <w:br/>
        <w:t>и 3481.</w:t>
      </w:r>
    </w:p>
    <w:p w14:paraId="01BA765E" w14:textId="77777777" w:rsidR="00AB6AAB" w:rsidRPr="0003352C" w:rsidRDefault="00AB6AAB" w:rsidP="00AB6AAB">
      <w:pPr>
        <w:pStyle w:val="SingleTxtG"/>
        <w:tabs>
          <w:tab w:val="left" w:pos="2160"/>
          <w:tab w:val="left" w:pos="2340"/>
        </w:tabs>
        <w:ind w:left="2002" w:right="1138" w:hanging="864"/>
      </w:pPr>
      <w:r>
        <w:t>«XYZ</w:t>
      </w:r>
      <w:r>
        <w:tab/>
        <w:t>Данная позиция также применяется к литиевым элементам и батареям, содержащимся в оборудовании для обеспечения функционирования этого оборудования (например, генераторов, компрессоров, обогревателей, кранов и т.</w:t>
      </w:r>
      <w:r w:rsidR="00F54FC5">
        <w:t> </w:t>
      </w:r>
      <w:r>
        <w:t>д.), за исключением оборудования, освобожденного от действия правил в соответствии с подразделом 1.1.3.7, перевозимого предприятиями в дополнение к их основной деятельности. Оно не подпадает под действие других положений ДОПОГ, если соблюдены следующие требования:</w:t>
      </w:r>
    </w:p>
    <w:p w14:paraId="695B993C" w14:textId="77777777" w:rsidR="00AB6AAB" w:rsidRPr="00AB6AAB" w:rsidRDefault="00AB6AAB" w:rsidP="00AB6AAB">
      <w:pPr>
        <w:pStyle w:val="SingleTxtG"/>
        <w:ind w:left="2547" w:right="1138" w:hanging="562"/>
      </w:pPr>
      <w:r w:rsidRPr="0003352C">
        <w:t>a)</w:t>
      </w:r>
      <w:r w:rsidRPr="0003352C">
        <w:tab/>
      </w:r>
      <w:r w:rsidRPr="00AB6AAB">
        <w:t>литиевые элементы или батареи должны отвечать положениям пункта</w:t>
      </w:r>
      <w:r w:rsidRPr="00AB6AAB">
        <w:rPr>
          <w:lang w:val="en-US"/>
        </w:rPr>
        <w:t> </w:t>
      </w:r>
      <w:r w:rsidRPr="00AB6AAB">
        <w:t>2.2.9.1.7;</w:t>
      </w:r>
    </w:p>
    <w:p w14:paraId="7A128FA0" w14:textId="77777777" w:rsidR="00AB6AAB" w:rsidRPr="00AB6AAB" w:rsidRDefault="00AB6AAB" w:rsidP="00AB6AAB">
      <w:pPr>
        <w:pStyle w:val="SingleTxtG"/>
        <w:ind w:left="2547" w:right="1138" w:hanging="562"/>
      </w:pPr>
      <w:r w:rsidRPr="0003352C">
        <w:t>b)</w:t>
      </w:r>
      <w:r w:rsidRPr="0003352C">
        <w:tab/>
      </w:r>
      <w:r w:rsidRPr="00AB6AAB">
        <w:t>оборудование соответствует требованиям компетентного органа страны изготовления, касающимся конструкции</w:t>
      </w:r>
      <w:r w:rsidRPr="00AB6AAB">
        <w:rPr>
          <w:rStyle w:val="FootnoteReference"/>
        </w:rPr>
        <w:footnoteReference w:customMarkFollows="1" w:id="3"/>
        <w:t>2</w:t>
      </w:r>
      <w:r w:rsidRPr="00AB6AAB">
        <w:rPr>
          <w:rStyle w:val="FootnoteReference"/>
          <w:vertAlign w:val="baseline"/>
        </w:rPr>
        <w:t>;</w:t>
      </w:r>
    </w:p>
    <w:p w14:paraId="351CF57F" w14:textId="77777777" w:rsidR="00AB6AAB" w:rsidRPr="00AB6AAB" w:rsidRDefault="00AB6AAB" w:rsidP="00AB6AAB">
      <w:pPr>
        <w:pStyle w:val="SingleTxtG"/>
        <w:ind w:left="2547" w:right="1138" w:hanging="562"/>
      </w:pPr>
      <w:r w:rsidRPr="0003352C">
        <w:t>c)</w:t>
      </w:r>
      <w:r w:rsidRPr="0003352C">
        <w:tab/>
      </w:r>
      <w:r w:rsidRPr="00AB6AAB">
        <w:t>элементы и батареи, установленные в оборудовании, должны быть защищены от повреждения и короткого замыкания, и оборудование должно быть снабжено эффективным средством предотвращения случайного срабатывания. Это требование не применяется к устройствам, намеренно активированным во время перевозки (передатчикам системы радиочастотной идентификации (RFID), часам, датчикам и т. д.) и не способным вызывать опасное выделение тепла. Оборудование должно помещаться в прочную наружную тару, изготовленную из подходящего материала надлежащей прочности и конструкции в зависимости от вместимости тары и ее предполагаемого предназначения, кроме случаев, когда оборудование, в котором содержится батарея, обеспечивает ее эквивалентную защиту;</w:t>
      </w:r>
    </w:p>
    <w:p w14:paraId="3302D318" w14:textId="77777777" w:rsidR="00AB6AAB" w:rsidRPr="00AB6AAB" w:rsidRDefault="00AB6AAB" w:rsidP="00AB6AAB">
      <w:pPr>
        <w:pStyle w:val="SingleTxtG"/>
        <w:ind w:left="2547" w:right="1138" w:hanging="562"/>
      </w:pPr>
      <w:r w:rsidRPr="0003352C">
        <w:t>d)</w:t>
      </w:r>
      <w:r w:rsidRPr="0003352C">
        <w:tab/>
      </w:r>
      <w:r w:rsidRPr="00AB6AAB">
        <w:t>на каждой единице оборудования или на каждой упаковке должен иметься соответствующий маркировочный знак литиевых батарей, изображенный в подразделе 5.2.1.9.</w:t>
      </w:r>
    </w:p>
    <w:p w14:paraId="0E68FDEA" w14:textId="77777777" w:rsidR="00AB6AAB" w:rsidRPr="007B6796" w:rsidRDefault="00AB6AAB" w:rsidP="00AB6AAB">
      <w:pPr>
        <w:pStyle w:val="ListParagraph"/>
        <w:snapToGrid w:val="0"/>
        <w:spacing w:before="120" w:after="120"/>
        <w:ind w:left="2546" w:right="1134"/>
        <w:contextualSpacing w:val="0"/>
        <w:jc w:val="both"/>
        <w:rPr>
          <w:rFonts w:ascii="Calibri" w:hAnsi="Calibri" w:cs="Calibri"/>
          <w:lang w:val="ru-RU"/>
        </w:rPr>
      </w:pPr>
      <w:bookmarkStart w:id="0" w:name="_GoBack"/>
      <w:bookmarkEnd w:id="0"/>
      <w:r>
        <w:rPr>
          <w:lang w:val="ru-RU"/>
        </w:rPr>
        <w:lastRenderedPageBreak/>
        <w:t>Это требование не применяется к:</w:t>
      </w:r>
    </w:p>
    <w:p w14:paraId="6CE1A457" w14:textId="77777777" w:rsidR="00AB6AAB" w:rsidRPr="007B6796" w:rsidRDefault="00AB6AAB" w:rsidP="00AB6AAB">
      <w:pPr>
        <w:pStyle w:val="SingleTxtG"/>
        <w:tabs>
          <w:tab w:val="left" w:pos="3060"/>
        </w:tabs>
        <w:ind w:left="2545"/>
      </w:pPr>
      <w:r>
        <w:t>i)</w:t>
      </w:r>
      <w:r>
        <w:tab/>
        <w:t>оборудованию, содержащему дисковые элементы, установленные в оборудовании (включая монтажные платы); и</w:t>
      </w:r>
    </w:p>
    <w:p w14:paraId="276A8F80" w14:textId="77777777" w:rsidR="00AB6AAB" w:rsidRPr="0003352C" w:rsidRDefault="00AB6AAB" w:rsidP="00AB6AAB">
      <w:pPr>
        <w:pStyle w:val="SingleTxtG"/>
        <w:tabs>
          <w:tab w:val="left" w:pos="3060"/>
        </w:tabs>
        <w:ind w:left="2545"/>
      </w:pPr>
      <w:proofErr w:type="spellStart"/>
      <w:r>
        <w:t>ii</w:t>
      </w:r>
      <w:proofErr w:type="spellEnd"/>
      <w:r>
        <w:t>)</w:t>
      </w:r>
      <w:r>
        <w:tab/>
        <w:t xml:space="preserve">оборудованию, содержащему не более четырех элементов или двух батарей, установленных в оборудовании, если груз состоит из не более двух упаковок; </w:t>
      </w:r>
    </w:p>
    <w:p w14:paraId="3E0FD893" w14:textId="77777777" w:rsidR="00AB6AAB" w:rsidRPr="00AB6AAB" w:rsidRDefault="00AB6AAB" w:rsidP="00AB6AAB">
      <w:pPr>
        <w:pStyle w:val="SingleTxtG"/>
        <w:ind w:left="2547" w:right="1138" w:hanging="562"/>
      </w:pPr>
      <w:r w:rsidRPr="0003352C">
        <w:t>e)</w:t>
      </w:r>
      <w:r w:rsidRPr="0003352C">
        <w:tab/>
      </w:r>
      <w:r w:rsidRPr="00AB6AAB">
        <w:t>когда упаковки, содержащие оборудование, помещены в транспортный пакет, маркировочный знак литиевых батарей должен быть четко видимым или воспроизведен на наружной поверхности транспортного пакета. На транспортный пакет должен наноситься маркировочный знак в виде слов «ТРАНСПОРТНЫЙ ПАКЕТ». Высота букв на маркировочном знаке «ТРАНСПОРТНЫЙ ПАКЕТ» должна составлять не менее 12 мм;</w:t>
      </w:r>
    </w:p>
    <w:p w14:paraId="00F4464A" w14:textId="77777777" w:rsidR="00AB6AAB" w:rsidRPr="00AB6AAB" w:rsidRDefault="00AB6AAB" w:rsidP="00AB6AAB">
      <w:pPr>
        <w:pStyle w:val="SingleTxtG"/>
        <w:ind w:left="2547" w:right="1138" w:hanging="562"/>
      </w:pPr>
      <w:r w:rsidRPr="007B6796">
        <w:t>f)</w:t>
      </w:r>
      <w:r w:rsidRPr="007B6796">
        <w:tab/>
      </w:r>
      <w:r w:rsidRPr="00AB6AAB">
        <w:t>если оборудование содержит не более 333 кг литиевых батарей или элементов, оно должно иметь знаки опасности на двух противоположных боковых сторонах в соответствии с разделом 5.2.2, а количество литиевых батарей или элементов в каждой транспортной единице не должно превышать 333 кг;</w:t>
      </w:r>
    </w:p>
    <w:p w14:paraId="363931EA" w14:textId="77777777" w:rsidR="00AB6AAB" w:rsidRPr="00AB6AAB" w:rsidRDefault="00AB6AAB" w:rsidP="00AB6AAB">
      <w:pPr>
        <w:pStyle w:val="SingleTxtG"/>
        <w:ind w:left="2547" w:right="1138" w:hanging="562"/>
      </w:pPr>
      <w:r w:rsidRPr="0003352C">
        <w:t>g)</w:t>
      </w:r>
      <w:r w:rsidRPr="0003352C">
        <w:tab/>
      </w:r>
      <w:r w:rsidRPr="00AB6AAB">
        <w:t>если оборудование содержит более 333 кг литиевых батарей или элементов, оно должно иметь большие знаки опасности на двух противоположных боковых сторонах. Большие знаки опасности должны соответствовать знакам опасности, предписанным в колонке</w:t>
      </w:r>
      <w:r w:rsidR="00F54FC5">
        <w:t> </w:t>
      </w:r>
      <w:r w:rsidRPr="00AB6AAB">
        <w:t>5 таблицы А главы 3.2, и должны удовлетворять техническим требованиям, изложенным в подразделе 5.3.1.7. Большие знаки опасности располагают на контрастном фоне и обводят пунктирным или сплошным внешним контуром; в этом случае:</w:t>
      </w:r>
    </w:p>
    <w:p w14:paraId="4B3CBE37" w14:textId="77777777" w:rsidR="00AB6AAB" w:rsidRPr="0003352C" w:rsidRDefault="00AB6AAB" w:rsidP="00AB6AAB">
      <w:pPr>
        <w:pStyle w:val="Bullet2G"/>
      </w:pPr>
      <w:r>
        <w:t>груз может содержать только одну единицу оборудования, содержащую батареи;</w:t>
      </w:r>
    </w:p>
    <w:p w14:paraId="745A31F9" w14:textId="77777777" w:rsidR="00AB6AAB" w:rsidRPr="007B6796" w:rsidRDefault="00AB6AAB" w:rsidP="00AB6AAB">
      <w:pPr>
        <w:pStyle w:val="Bullet2G"/>
        <w:rPr>
          <w:color w:val="000000" w:themeColor="text1"/>
        </w:rPr>
      </w:pPr>
      <w:r>
        <w:t xml:space="preserve">требуется транспортный документ в соответствии с разделом 5.4.1; в этом транспортном документе должна быть сделана следующая запись: </w:t>
      </w:r>
      <w:r w:rsidR="00F54FC5">
        <w:t>«</w:t>
      </w:r>
      <w:r>
        <w:t>Перевозка в соответствии со специальным положением XYZ</w:t>
      </w:r>
      <w:r w:rsidR="00F54FC5">
        <w:t>»</w:t>
      </w:r>
      <w:r>
        <w:t>;</w:t>
      </w:r>
    </w:p>
    <w:p w14:paraId="433C102C" w14:textId="77777777" w:rsidR="00AB6AAB" w:rsidRPr="007B6796" w:rsidRDefault="00AB6AAB" w:rsidP="00AB6AAB">
      <w:pPr>
        <w:pStyle w:val="SingleTxtG"/>
        <w:ind w:left="2547" w:right="1138" w:hanging="562"/>
        <w:rPr>
          <w:color w:val="000000" w:themeColor="text1"/>
        </w:rPr>
      </w:pPr>
      <w:r>
        <w:tab/>
        <w:t xml:space="preserve">(только ДОПОГ) – в случае перевозки, включающей проезд через туннели, на которые распространяются ограничения, транспортная единица должна иметь таблички оранжевого цвета в соответствии с разделом 5.3.2 и должны применяться ограничения на проезд через туннели в соответствии с разделом 8.6.4». </w:t>
      </w:r>
    </w:p>
    <w:p w14:paraId="7245456B" w14:textId="77777777" w:rsidR="00AB6AAB" w:rsidRPr="007B6796" w:rsidRDefault="00AB6AAB" w:rsidP="00AB6AAB">
      <w:pPr>
        <w:spacing w:before="240"/>
        <w:jc w:val="center"/>
        <w:rPr>
          <w:u w:val="single"/>
        </w:rPr>
      </w:pPr>
      <w:r w:rsidRPr="007B6796">
        <w:rPr>
          <w:u w:val="single"/>
        </w:rPr>
        <w:tab/>
      </w:r>
      <w:r w:rsidRPr="007B6796">
        <w:rPr>
          <w:u w:val="single"/>
        </w:rPr>
        <w:tab/>
      </w:r>
      <w:r w:rsidRPr="007B6796">
        <w:rPr>
          <w:u w:val="single"/>
        </w:rPr>
        <w:tab/>
      </w:r>
    </w:p>
    <w:p w14:paraId="6685071D" w14:textId="77777777" w:rsidR="00E12C5F" w:rsidRPr="008D53B6" w:rsidRDefault="00E12C5F" w:rsidP="00D9145B"/>
    <w:sectPr w:rsidR="00E12C5F" w:rsidRPr="008D53B6" w:rsidSect="00AB6AA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00A6B" w14:textId="77777777" w:rsidR="00404B3E" w:rsidRPr="00A312BC" w:rsidRDefault="00404B3E" w:rsidP="00A312BC"/>
  </w:endnote>
  <w:endnote w:type="continuationSeparator" w:id="0">
    <w:p w14:paraId="0D34A100" w14:textId="77777777" w:rsidR="00404B3E" w:rsidRPr="00A312BC" w:rsidRDefault="00404B3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72F4" w14:textId="77777777" w:rsidR="00AB6AAB" w:rsidRPr="00AB6AAB" w:rsidRDefault="00AB6AAB">
    <w:pPr>
      <w:pStyle w:val="Footer"/>
    </w:pPr>
    <w:r w:rsidRPr="00AB6AAB">
      <w:rPr>
        <w:b/>
        <w:sz w:val="18"/>
      </w:rPr>
      <w:fldChar w:fldCharType="begin"/>
    </w:r>
    <w:r w:rsidRPr="00AB6AAB">
      <w:rPr>
        <w:b/>
        <w:sz w:val="18"/>
      </w:rPr>
      <w:instrText xml:space="preserve"> PAGE  \* MERGEFORMAT </w:instrText>
    </w:r>
    <w:r w:rsidRPr="00AB6AAB">
      <w:rPr>
        <w:b/>
        <w:sz w:val="18"/>
      </w:rPr>
      <w:fldChar w:fldCharType="separate"/>
    </w:r>
    <w:r w:rsidRPr="00AB6AAB">
      <w:rPr>
        <w:b/>
        <w:noProof/>
        <w:sz w:val="18"/>
      </w:rPr>
      <w:t>2</w:t>
    </w:r>
    <w:r w:rsidRPr="00AB6AAB">
      <w:rPr>
        <w:b/>
        <w:sz w:val="18"/>
      </w:rPr>
      <w:fldChar w:fldCharType="end"/>
    </w:r>
    <w:r>
      <w:rPr>
        <w:b/>
        <w:sz w:val="18"/>
      </w:rPr>
      <w:tab/>
    </w:r>
    <w:r>
      <w:t>GE.20-00086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ABDF" w14:textId="77777777" w:rsidR="00AB6AAB" w:rsidRPr="00AB6AAB" w:rsidRDefault="00AB6AAB" w:rsidP="00AB6AAB">
    <w:pPr>
      <w:pStyle w:val="Footer"/>
      <w:tabs>
        <w:tab w:val="clear" w:pos="9639"/>
        <w:tab w:val="right" w:pos="9638"/>
      </w:tabs>
      <w:rPr>
        <w:b/>
        <w:sz w:val="18"/>
      </w:rPr>
    </w:pPr>
    <w:r>
      <w:t>GE.20-00086</w:t>
    </w:r>
    <w:r>
      <w:tab/>
    </w:r>
    <w:r w:rsidRPr="00AB6AAB">
      <w:rPr>
        <w:b/>
        <w:sz w:val="18"/>
      </w:rPr>
      <w:fldChar w:fldCharType="begin"/>
    </w:r>
    <w:r w:rsidRPr="00AB6AAB">
      <w:rPr>
        <w:b/>
        <w:sz w:val="18"/>
      </w:rPr>
      <w:instrText xml:space="preserve"> PAGE  \* MERGEFORMAT </w:instrText>
    </w:r>
    <w:r w:rsidRPr="00AB6AAB">
      <w:rPr>
        <w:b/>
        <w:sz w:val="18"/>
      </w:rPr>
      <w:fldChar w:fldCharType="separate"/>
    </w:r>
    <w:r w:rsidRPr="00AB6AAB">
      <w:rPr>
        <w:b/>
        <w:noProof/>
        <w:sz w:val="18"/>
      </w:rPr>
      <w:t>3</w:t>
    </w:r>
    <w:r w:rsidRPr="00AB6A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19BE" w14:textId="77777777" w:rsidR="00042B72" w:rsidRPr="00AB6AAB" w:rsidRDefault="00AB6AAB" w:rsidP="00AB6AA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CFCE62" wp14:editId="422D814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20-00086  (R)</w:t>
    </w:r>
    <w:r>
      <w:rPr>
        <w:lang w:val="en-US"/>
      </w:rPr>
      <w:t xml:space="preserve">  210120  210120</w:t>
    </w:r>
    <w:r>
      <w:br/>
    </w:r>
    <w:r w:rsidRPr="00AB6AAB">
      <w:rPr>
        <w:rFonts w:ascii="C39T30Lfz" w:hAnsi="C39T30Lfz"/>
        <w:kern w:val="14"/>
        <w:sz w:val="56"/>
      </w:rPr>
      <w:t></w:t>
    </w:r>
    <w:r w:rsidRPr="00AB6AAB">
      <w:rPr>
        <w:rFonts w:ascii="C39T30Lfz" w:hAnsi="C39T30Lfz"/>
        <w:kern w:val="14"/>
        <w:sz w:val="56"/>
      </w:rPr>
      <w:t></w:t>
    </w:r>
    <w:r w:rsidRPr="00AB6AAB">
      <w:rPr>
        <w:rFonts w:ascii="C39T30Lfz" w:hAnsi="C39T30Lfz"/>
        <w:kern w:val="14"/>
        <w:sz w:val="56"/>
      </w:rPr>
      <w:t></w:t>
    </w:r>
    <w:r w:rsidRPr="00AB6AAB">
      <w:rPr>
        <w:rFonts w:ascii="C39T30Lfz" w:hAnsi="C39T30Lfz"/>
        <w:kern w:val="14"/>
        <w:sz w:val="56"/>
      </w:rPr>
      <w:t></w:t>
    </w:r>
    <w:r w:rsidRPr="00AB6AAB">
      <w:rPr>
        <w:rFonts w:ascii="C39T30Lfz" w:hAnsi="C39T30Lfz"/>
        <w:kern w:val="14"/>
        <w:sz w:val="56"/>
      </w:rPr>
      <w:t></w:t>
    </w:r>
    <w:r w:rsidRPr="00AB6AAB">
      <w:rPr>
        <w:rFonts w:ascii="C39T30Lfz" w:hAnsi="C39T30Lfz"/>
        <w:kern w:val="14"/>
        <w:sz w:val="56"/>
      </w:rPr>
      <w:t></w:t>
    </w:r>
    <w:r w:rsidRPr="00AB6AAB">
      <w:rPr>
        <w:rFonts w:ascii="C39T30Lfz" w:hAnsi="C39T30Lfz"/>
        <w:kern w:val="14"/>
        <w:sz w:val="56"/>
      </w:rPr>
      <w:t></w:t>
    </w:r>
    <w:r w:rsidRPr="00AB6AAB">
      <w:rPr>
        <w:rFonts w:ascii="C39T30Lfz" w:hAnsi="C39T30Lfz"/>
        <w:kern w:val="14"/>
        <w:sz w:val="56"/>
      </w:rPr>
      <w:t></w:t>
    </w:r>
    <w:r w:rsidRPr="00AB6AA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62987BC" wp14:editId="424916C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C5BB" w14:textId="77777777" w:rsidR="00404B3E" w:rsidRPr="001075E9" w:rsidRDefault="00404B3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91669F" w14:textId="77777777" w:rsidR="00404B3E" w:rsidRDefault="00404B3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FAD3B1" w14:textId="77777777" w:rsidR="00AB6AAB" w:rsidRPr="0003352C" w:rsidRDefault="00AB6AAB" w:rsidP="00AB6AAB">
      <w:pPr>
        <w:pStyle w:val="FootnoteText"/>
      </w:pPr>
      <w:r>
        <w:tab/>
      </w:r>
      <w:r w:rsidRPr="00AB6AAB">
        <w:rPr>
          <w:sz w:val="20"/>
        </w:rPr>
        <w:t>*</w:t>
      </w:r>
      <w:r>
        <w:tab/>
        <w:t>2020 год (A/74/6 (Раздел 20) и дополнительная информация, Подпрограмма 2).</w:t>
      </w:r>
    </w:p>
  </w:footnote>
  <w:footnote w:id="2">
    <w:p w14:paraId="1997DE28" w14:textId="77777777" w:rsidR="00AB6AAB" w:rsidRPr="0003352C" w:rsidRDefault="00AB6AAB" w:rsidP="00AB6AAB">
      <w:pPr>
        <w:pStyle w:val="FootnoteText"/>
      </w:pPr>
      <w:r>
        <w:tab/>
      </w:r>
      <w:r w:rsidRPr="00AB6AAB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OTIF/RID/RC/2020/23.</w:t>
      </w:r>
    </w:p>
  </w:footnote>
  <w:footnote w:id="3">
    <w:p w14:paraId="7232687D" w14:textId="77777777" w:rsidR="00AB6AAB" w:rsidRPr="0003352C" w:rsidRDefault="00AB6AAB" w:rsidP="00AB6AAB">
      <w:pPr>
        <w:pStyle w:val="FootnoteText"/>
        <w:rPr>
          <w:rFonts w:eastAsiaTheme="minorHAnsi"/>
          <w:sz w:val="22"/>
          <w:szCs w:val="22"/>
        </w:rPr>
      </w:pPr>
      <w:r>
        <w:tab/>
      </w:r>
      <w:r w:rsidRPr="00AB6AAB">
        <w:rPr>
          <w:iCs/>
          <w:vertAlign w:val="superscript"/>
        </w:rPr>
        <w:t>2</w:t>
      </w:r>
      <w:r>
        <w:tab/>
        <w:t>Например, отвечают соответствующим положениям Директивы 2006/42/ЕС Европейского парламента и Совета от 17 мая 2006 года о безопасности машин и оборудования, вносящей поправки в Директиву 95/16/ЕС (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L 157 </w:t>
      </w:r>
      <w:proofErr w:type="spellStart"/>
      <w:r>
        <w:t>of</w:t>
      </w:r>
      <w:proofErr w:type="spellEnd"/>
      <w:r>
        <w:t xml:space="preserve"> 9 </w:t>
      </w:r>
      <w:proofErr w:type="spellStart"/>
      <w:r>
        <w:t>June</w:t>
      </w:r>
      <w:proofErr w:type="spellEnd"/>
      <w:r>
        <w:t xml:space="preserve"> 2006, </w:t>
      </w:r>
      <w:proofErr w:type="spellStart"/>
      <w:r>
        <w:t>pp</w:t>
      </w:r>
      <w:proofErr w:type="spellEnd"/>
      <w:r>
        <w:t xml:space="preserve">. 0024–0086).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A1E7" w14:textId="303496CE" w:rsidR="00AB6AAB" w:rsidRPr="00AB6AAB" w:rsidRDefault="00D16510">
    <w:pPr>
      <w:pStyle w:val="Header"/>
    </w:pPr>
    <w:fldSimple w:instr=" TITLE  \* MERGEFORMAT ">
      <w:r w:rsidR="0073200D">
        <w:t>ECE/TRANS/WP.15/AC.1/2020/23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9CD8" w14:textId="0B80521F" w:rsidR="00AB6AAB" w:rsidRPr="00AB6AAB" w:rsidRDefault="00D16510" w:rsidP="00AB6AAB">
    <w:pPr>
      <w:pStyle w:val="Header"/>
      <w:jc w:val="right"/>
    </w:pPr>
    <w:fldSimple w:instr=" TITLE  \* MERGEFORMAT ">
      <w:r w:rsidR="0073200D">
        <w:t>ECE/TRANS/WP.15/AC.1/2020/23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37ED1"/>
    <w:multiLevelType w:val="hybridMultilevel"/>
    <w:tmpl w:val="CFB02EDC"/>
    <w:lvl w:ilvl="0" w:tplc="BDB2DA42">
      <w:start w:val="1"/>
      <w:numFmt w:val="lowerLetter"/>
      <w:lvlText w:val="%1)"/>
      <w:lvlJc w:val="left"/>
      <w:pPr>
        <w:ind w:left="2545" w:hanging="560"/>
      </w:p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>
      <w:start w:val="1"/>
      <w:numFmt w:val="decimal"/>
      <w:lvlText w:val="%4."/>
      <w:lvlJc w:val="left"/>
      <w:pPr>
        <w:ind w:left="4505" w:hanging="360"/>
      </w:pPr>
    </w:lvl>
    <w:lvl w:ilvl="4" w:tplc="04090019">
      <w:start w:val="1"/>
      <w:numFmt w:val="lowerLetter"/>
      <w:lvlText w:val="%5."/>
      <w:lvlJc w:val="left"/>
      <w:pPr>
        <w:ind w:left="5225" w:hanging="360"/>
      </w:pPr>
    </w:lvl>
    <w:lvl w:ilvl="5" w:tplc="0409001B">
      <w:start w:val="1"/>
      <w:numFmt w:val="lowerRoman"/>
      <w:lvlText w:val="%6."/>
      <w:lvlJc w:val="right"/>
      <w:pPr>
        <w:ind w:left="5945" w:hanging="180"/>
      </w:pPr>
    </w:lvl>
    <w:lvl w:ilvl="6" w:tplc="0409000F">
      <w:start w:val="1"/>
      <w:numFmt w:val="decimal"/>
      <w:lvlText w:val="%7."/>
      <w:lvlJc w:val="left"/>
      <w:pPr>
        <w:ind w:left="6665" w:hanging="360"/>
      </w:pPr>
    </w:lvl>
    <w:lvl w:ilvl="7" w:tplc="04090019">
      <w:start w:val="1"/>
      <w:numFmt w:val="lowerLetter"/>
      <w:lvlText w:val="%8."/>
      <w:lvlJc w:val="left"/>
      <w:pPr>
        <w:ind w:left="7385" w:hanging="360"/>
      </w:pPr>
    </w:lvl>
    <w:lvl w:ilvl="8" w:tplc="0409001B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0F1659F"/>
    <w:multiLevelType w:val="hybridMultilevel"/>
    <w:tmpl w:val="E2C42302"/>
    <w:lvl w:ilvl="0" w:tplc="5E241A9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717"/>
        </w:tabs>
        <w:ind w:left="2717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2"/>
    <w:lvlOverride w:ilvl="0">
      <w:lvl w:ilvl="0" w:tplc="5E241A94">
        <w:start w:val="1"/>
        <w:numFmt w:val="decimal"/>
        <w:lvlText w:val="%1."/>
        <w:lvlJc w:val="left"/>
        <w:pPr>
          <w:ind w:left="1710" w:hanging="576"/>
        </w:pPr>
        <w:rPr>
          <w:rFonts w:hint="default"/>
        </w:rPr>
      </w:lvl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3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4B3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200D"/>
    <w:rsid w:val="00734ACB"/>
    <w:rsid w:val="00757357"/>
    <w:rsid w:val="00792497"/>
    <w:rsid w:val="007E3CF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36BF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6AAB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6254"/>
    <w:rsid w:val="00C71E84"/>
    <w:rsid w:val="00C805C9"/>
    <w:rsid w:val="00C92939"/>
    <w:rsid w:val="00CA1679"/>
    <w:rsid w:val="00CB151C"/>
    <w:rsid w:val="00CE5A1A"/>
    <w:rsid w:val="00CF55F6"/>
    <w:rsid w:val="00D16510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4FC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EE8516"/>
  <w15:docId w15:val="{1DC962E9-92B3-4A0C-9BC2-071413BD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B6AAB"/>
    <w:rPr>
      <w:lang w:val="ru-RU" w:eastAsia="en-US"/>
    </w:rPr>
  </w:style>
  <w:style w:type="character" w:customStyle="1" w:styleId="HChGChar">
    <w:name w:val="_ H _Ch_G Char"/>
    <w:link w:val="HChG"/>
    <w:rsid w:val="00AB6AAB"/>
    <w:rPr>
      <w:b/>
      <w:sz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AB6AAB"/>
    <w:pPr>
      <w:ind w:left="720"/>
      <w:contextualSpacing/>
    </w:pPr>
    <w:rPr>
      <w:rFonts w:eastAsia="Times New Roman" w:cs="Times New Roman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5172</Characters>
  <Application>Microsoft Office Word</Application>
  <DocSecurity>0</DocSecurity>
  <Lines>110</Lines>
  <Paragraphs>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ECE/TRANS/WP.15/AC.1/2020/23</vt:lpstr>
      <vt:lpstr>ECE/TRANS/WP.15/AC.1/2020/23</vt:lpstr>
      <vt:lpstr>A/</vt:lpstr>
    </vt:vector>
  </TitlesOfParts>
  <Company>DCM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ECE/TRANS/WP.15/AC.1/2020/23</dc:title>
  <dc:subject/>
  <dc:creator>Assistant</dc:creator>
  <cp:keywords/>
  <cp:lastModifiedBy>Christine Barrio-Champeau</cp:lastModifiedBy>
  <cp:revision>2</cp:revision>
  <cp:lastPrinted>2020-01-21T15:08:00Z</cp:lastPrinted>
  <dcterms:created xsi:type="dcterms:W3CDTF">2020-01-22T09:06:00Z</dcterms:created>
  <dcterms:modified xsi:type="dcterms:W3CDTF">2020-01-22T09:06:00Z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