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46D70" w:rsidP="00046D70">
            <w:pPr>
              <w:suppressAutoHyphens w:val="0"/>
              <w:spacing w:after="20"/>
              <w:jc w:val="right"/>
            </w:pPr>
            <w:r w:rsidRPr="00046D70">
              <w:rPr>
                <w:sz w:val="40"/>
              </w:rPr>
              <w:t>ECE</w:t>
            </w:r>
            <w:r>
              <w:t>/TRANS/WP.15/AC.1/2020/21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46D70" w:rsidP="00046D70">
            <w:pPr>
              <w:spacing w:before="240"/>
            </w:pPr>
            <w:r>
              <w:t>Distr.: General</w:t>
            </w:r>
          </w:p>
          <w:p w:rsidR="00046D70" w:rsidRDefault="00046D70" w:rsidP="00046D70">
            <w:pPr>
              <w:suppressAutoHyphens w:val="0"/>
            </w:pPr>
            <w:r>
              <w:t>6 January 2020</w:t>
            </w:r>
          </w:p>
          <w:p w:rsidR="00046D70" w:rsidRDefault="00046D70" w:rsidP="00046D70">
            <w:pPr>
              <w:suppressAutoHyphens w:val="0"/>
            </w:pPr>
            <w:r>
              <w:t>English</w:t>
            </w:r>
          </w:p>
          <w:p w:rsidR="00046D70" w:rsidRDefault="00046D70" w:rsidP="00046D70">
            <w:pPr>
              <w:suppressAutoHyphens w:val="0"/>
            </w:pPr>
            <w:r>
              <w:t>Original: French</w:t>
            </w:r>
          </w:p>
        </w:tc>
      </w:tr>
    </w:tbl>
    <w:p w:rsidR="00046D70" w:rsidRDefault="00046D70">
      <w:pPr>
        <w:spacing w:before="120"/>
        <w:rPr>
          <w:b/>
          <w:sz w:val="28"/>
          <w:szCs w:val="28"/>
        </w:rPr>
      </w:pPr>
      <w:r>
        <w:rPr>
          <w:b/>
          <w:sz w:val="28"/>
          <w:szCs w:val="28"/>
        </w:rPr>
        <w:t>Economic Commission for Europe</w:t>
      </w:r>
    </w:p>
    <w:p w:rsidR="00046D70" w:rsidRDefault="00046D70">
      <w:pPr>
        <w:spacing w:before="120"/>
        <w:rPr>
          <w:sz w:val="28"/>
          <w:szCs w:val="28"/>
        </w:rPr>
      </w:pPr>
      <w:r>
        <w:rPr>
          <w:sz w:val="28"/>
          <w:szCs w:val="28"/>
        </w:rPr>
        <w:t>Inland Transport Committee</w:t>
      </w:r>
    </w:p>
    <w:p w:rsidR="00046D70" w:rsidRDefault="00046D70">
      <w:pPr>
        <w:spacing w:before="120"/>
        <w:rPr>
          <w:b/>
          <w:sz w:val="24"/>
          <w:szCs w:val="24"/>
        </w:rPr>
      </w:pPr>
      <w:r w:rsidRPr="00046D70">
        <w:rPr>
          <w:b/>
          <w:sz w:val="24"/>
          <w:szCs w:val="24"/>
        </w:rPr>
        <w:t>Working Party on the Transport of Dangerous Goods</w:t>
      </w:r>
    </w:p>
    <w:p w:rsidR="00046D70" w:rsidRPr="00046D70" w:rsidRDefault="00046D70" w:rsidP="00046D70">
      <w:pPr>
        <w:spacing w:before="120"/>
        <w:rPr>
          <w:b/>
          <w:bCs/>
        </w:rPr>
      </w:pPr>
      <w:r w:rsidRPr="00046D70">
        <w:rPr>
          <w:b/>
          <w:bCs/>
        </w:rPr>
        <w:t>Joint Meeting of the RID Committee of Experts and the</w:t>
      </w:r>
      <w:r w:rsidRPr="00046D70">
        <w:rPr>
          <w:b/>
          <w:bCs/>
        </w:rPr>
        <w:br/>
        <w:t>Working Party on the Transport of Dangerous Goods</w:t>
      </w:r>
    </w:p>
    <w:p w:rsidR="00046D70" w:rsidRPr="005B6195" w:rsidRDefault="00046D70" w:rsidP="00046D70">
      <w:r w:rsidRPr="005B6195">
        <w:t>Bern, 16–20 March 2020</w:t>
      </w:r>
    </w:p>
    <w:p w:rsidR="00046D70" w:rsidRPr="005B6195" w:rsidRDefault="00046D70" w:rsidP="00046D70">
      <w:r w:rsidRPr="005B6195">
        <w:t>Item 5 (a) of the provisional agenda</w:t>
      </w:r>
    </w:p>
    <w:p w:rsidR="00046D70" w:rsidRPr="005B2ABE" w:rsidRDefault="00046D70" w:rsidP="00046D70">
      <w:pPr>
        <w:rPr>
          <w:b/>
          <w:bCs/>
        </w:rPr>
      </w:pPr>
      <w:r w:rsidRPr="005B2ABE">
        <w:rPr>
          <w:b/>
          <w:bCs/>
        </w:rPr>
        <w:t xml:space="preserve">Proposals for amendments to RID/ADR/ADN: </w:t>
      </w:r>
    </w:p>
    <w:p w:rsidR="00046D70" w:rsidRPr="005B2ABE" w:rsidRDefault="00046D70" w:rsidP="00046D70">
      <w:pPr>
        <w:rPr>
          <w:b/>
          <w:bCs/>
        </w:rPr>
      </w:pPr>
      <w:r w:rsidRPr="005B2ABE">
        <w:rPr>
          <w:b/>
          <w:bCs/>
        </w:rPr>
        <w:t>Pending issues</w:t>
      </w:r>
    </w:p>
    <w:p w:rsidR="005B2ABE" w:rsidRPr="005B6195" w:rsidRDefault="005B2ABE" w:rsidP="005B2ABE">
      <w:pPr>
        <w:pStyle w:val="HChG"/>
      </w:pPr>
      <w:r w:rsidRPr="005B6195">
        <w:tab/>
      </w:r>
      <w:r w:rsidRPr="005B6195">
        <w:tab/>
        <w:t>Period of use for plastic packagings for medical waste of UN No. 3549</w:t>
      </w:r>
    </w:p>
    <w:p w:rsidR="005B2ABE" w:rsidRPr="005B6195" w:rsidRDefault="005B2ABE" w:rsidP="005B2ABE">
      <w:pPr>
        <w:pStyle w:val="H1G"/>
      </w:pPr>
      <w:r w:rsidRPr="005B6195">
        <w:tab/>
      </w:r>
      <w:r w:rsidRPr="005B6195">
        <w:tab/>
        <w:t>Transmitted by the Government of Switzerland</w:t>
      </w:r>
      <w:r w:rsidRPr="005B2ABE">
        <w:rPr>
          <w:b w:val="0"/>
          <w:bCs/>
          <w:sz w:val="20"/>
          <w:szCs w:val="16"/>
        </w:rPr>
        <w:footnoteReference w:customMarkFollows="1" w:id="1"/>
        <w:t>*</w:t>
      </w:r>
      <w:r w:rsidRPr="005B2ABE">
        <w:rPr>
          <w:b w:val="0"/>
          <w:bCs/>
          <w:position w:val="8"/>
          <w:sz w:val="20"/>
          <w:szCs w:val="16"/>
        </w:rPr>
        <w:t>,</w:t>
      </w:r>
      <w:r w:rsidRPr="005B2ABE">
        <w:rPr>
          <w:b w:val="0"/>
          <w:bCs/>
          <w:sz w:val="20"/>
          <w:szCs w:val="16"/>
        </w:rPr>
        <w:t xml:space="preserve"> </w:t>
      </w:r>
      <w:r w:rsidRPr="005B2ABE">
        <w:rPr>
          <w:b w:val="0"/>
          <w:bCs/>
          <w:sz w:val="20"/>
          <w:szCs w:val="16"/>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9"/>
      </w:tblGrid>
      <w:tr w:rsidR="005B2ABE" w:rsidRPr="00EB2C90" w:rsidTr="005B6195">
        <w:trPr>
          <w:jc w:val="center"/>
        </w:trPr>
        <w:tc>
          <w:tcPr>
            <w:tcW w:w="9637" w:type="dxa"/>
            <w:shd w:val="clear" w:color="auto" w:fill="auto"/>
          </w:tcPr>
          <w:p w:rsidR="005B2ABE" w:rsidRPr="00EB2C90" w:rsidRDefault="005B2ABE" w:rsidP="005B6195">
            <w:pPr>
              <w:spacing w:before="240" w:after="120"/>
              <w:ind w:left="255"/>
              <w:rPr>
                <w:i/>
                <w:sz w:val="24"/>
              </w:rPr>
            </w:pPr>
            <w:bookmarkStart w:id="0" w:name="_Hlk29215406"/>
            <w:r w:rsidRPr="00EB2C90">
              <w:rPr>
                <w:i/>
                <w:sz w:val="24"/>
              </w:rPr>
              <w:t>Summary</w:t>
            </w:r>
          </w:p>
        </w:tc>
      </w:tr>
      <w:tr w:rsidR="004C43A7" w:rsidRPr="00EB2C90" w:rsidTr="005B6195">
        <w:trPr>
          <w:jc w:val="center"/>
        </w:trPr>
        <w:tc>
          <w:tcPr>
            <w:tcW w:w="9637" w:type="dxa"/>
            <w:shd w:val="clear" w:color="auto" w:fill="auto"/>
          </w:tcPr>
          <w:p w:rsidR="004C43A7" w:rsidRPr="00972311" w:rsidRDefault="004C43A7" w:rsidP="004C43A7">
            <w:pPr>
              <w:pStyle w:val="SingleTxtG"/>
              <w:tabs>
                <w:tab w:val="left" w:pos="2552"/>
              </w:tabs>
              <w:ind w:left="2552" w:hanging="2268"/>
              <w:jc w:val="left"/>
              <w:rPr>
                <w:rStyle w:val="Hyperlink"/>
                <w:b/>
                <w:bCs/>
                <w:color w:val="000000" w:themeColor="text1"/>
                <w:u w:val="none"/>
              </w:rPr>
            </w:pPr>
            <w:r>
              <w:rPr>
                <w:b/>
                <w:szCs w:val="22"/>
              </w:rPr>
              <w:t>Executive s</w:t>
            </w:r>
            <w:r w:rsidRPr="004F0D24">
              <w:rPr>
                <w:b/>
                <w:szCs w:val="22"/>
              </w:rPr>
              <w:t>ummary</w:t>
            </w:r>
            <w:r>
              <w:rPr>
                <w:szCs w:val="22"/>
              </w:rPr>
              <w:t>:</w:t>
            </w:r>
            <w:r>
              <w:rPr>
                <w:szCs w:val="22"/>
              </w:rPr>
              <w:tab/>
            </w:r>
            <w:proofErr w:type="spellStart"/>
            <w:r w:rsidR="007E02E2" w:rsidRPr="00DF5579">
              <w:rPr>
                <w:rStyle w:val="Hyperlink"/>
                <w:color w:val="000000" w:themeColor="text1"/>
                <w:u w:val="none"/>
              </w:rPr>
              <w:t>Packagings</w:t>
            </w:r>
            <w:proofErr w:type="spellEnd"/>
            <w:r w:rsidR="007E02E2" w:rsidRPr="00DF5579">
              <w:rPr>
                <w:rStyle w:val="Hyperlink"/>
                <w:color w:val="000000" w:themeColor="text1"/>
                <w:u w:val="none"/>
              </w:rPr>
              <w:t xml:space="preserve"> for medical waste of Category A (UN No. 3549) should be subject to the same requirements as those for substances of UN Nos. 2814 and 2900. Furthermore, it should be possible to use plastic </w:t>
            </w:r>
            <w:proofErr w:type="spellStart"/>
            <w:r w:rsidR="007E02E2" w:rsidRPr="00DF5579">
              <w:rPr>
                <w:rStyle w:val="Hyperlink"/>
                <w:color w:val="000000" w:themeColor="text1"/>
                <w:u w:val="none"/>
              </w:rPr>
              <w:t>packagings</w:t>
            </w:r>
            <w:proofErr w:type="spellEnd"/>
            <w:r w:rsidR="007E02E2" w:rsidRPr="00DF5579">
              <w:rPr>
                <w:rStyle w:val="Hyperlink"/>
                <w:color w:val="000000" w:themeColor="text1"/>
                <w:u w:val="none"/>
              </w:rPr>
              <w:t xml:space="preserve"> for more than five years, as is the case for </w:t>
            </w:r>
            <w:proofErr w:type="spellStart"/>
            <w:r w:rsidR="007E02E2" w:rsidRPr="00DF5579">
              <w:rPr>
                <w:rStyle w:val="Hyperlink"/>
                <w:color w:val="000000" w:themeColor="text1"/>
                <w:u w:val="none"/>
              </w:rPr>
              <w:t>packagings</w:t>
            </w:r>
            <w:proofErr w:type="spellEnd"/>
            <w:r w:rsidR="007E02E2" w:rsidRPr="00DF5579">
              <w:rPr>
                <w:rStyle w:val="Hyperlink"/>
                <w:color w:val="000000" w:themeColor="text1"/>
                <w:u w:val="none"/>
              </w:rPr>
              <w:t xml:space="preserve"> for other Category A infectious substances of UN Nos. 2814 and 2900.</w:t>
            </w:r>
          </w:p>
        </w:tc>
      </w:tr>
      <w:tr w:rsidR="005B2ABE" w:rsidRPr="00EB2C90" w:rsidTr="005B6195">
        <w:trPr>
          <w:jc w:val="center"/>
        </w:trPr>
        <w:tc>
          <w:tcPr>
            <w:tcW w:w="9637" w:type="dxa"/>
            <w:shd w:val="clear" w:color="auto" w:fill="auto"/>
          </w:tcPr>
          <w:p w:rsidR="005B2ABE" w:rsidRPr="00DF5579" w:rsidRDefault="005B2ABE" w:rsidP="007E02E2">
            <w:pPr>
              <w:pStyle w:val="SingleTxtG"/>
              <w:tabs>
                <w:tab w:val="left" w:pos="2552"/>
              </w:tabs>
              <w:ind w:left="284"/>
              <w:jc w:val="left"/>
              <w:rPr>
                <w:rStyle w:val="Hyperlink"/>
                <w:color w:val="000000" w:themeColor="text1"/>
                <w:u w:val="none"/>
              </w:rPr>
            </w:pPr>
            <w:r w:rsidRPr="00972311">
              <w:rPr>
                <w:rStyle w:val="Hyperlink"/>
                <w:b/>
                <w:bCs/>
                <w:color w:val="000000" w:themeColor="text1"/>
                <w:u w:val="none"/>
              </w:rPr>
              <w:t>Action to be taken:</w:t>
            </w:r>
            <w:r w:rsidRPr="00DF5579">
              <w:rPr>
                <w:rStyle w:val="Hyperlink"/>
                <w:color w:val="000000" w:themeColor="text1"/>
                <w:u w:val="none"/>
              </w:rPr>
              <w:tab/>
              <w:t>Amend packing instruction P622</w:t>
            </w:r>
          </w:p>
        </w:tc>
      </w:tr>
      <w:tr w:rsidR="005B2ABE" w:rsidRPr="005B2ABE" w:rsidTr="005B6195">
        <w:trPr>
          <w:jc w:val="center"/>
        </w:trPr>
        <w:tc>
          <w:tcPr>
            <w:tcW w:w="9637" w:type="dxa"/>
            <w:shd w:val="clear" w:color="auto" w:fill="auto"/>
          </w:tcPr>
          <w:p w:rsidR="005B2ABE" w:rsidRPr="005B2ABE" w:rsidRDefault="005B2ABE" w:rsidP="007E02E2">
            <w:pPr>
              <w:pStyle w:val="SingleTxtG"/>
              <w:tabs>
                <w:tab w:val="left" w:pos="2552"/>
              </w:tabs>
              <w:ind w:left="284"/>
              <w:jc w:val="left"/>
              <w:rPr>
                <w:lang w:val="fr-CH"/>
              </w:rPr>
            </w:pPr>
            <w:r w:rsidRPr="00972311">
              <w:rPr>
                <w:b/>
                <w:bCs/>
              </w:rPr>
              <w:t>Related documents:</w:t>
            </w:r>
            <w:r w:rsidRPr="005B6195">
              <w:tab/>
              <w:t>ECE/TRANS/WP.15/AC.1/2019/22/Add.1</w:t>
            </w:r>
            <w:r w:rsidRPr="005B6195">
              <w:tab/>
              <w:t>ECE/TRANS/WP.15/AC.1/156, para. 18 (</w:t>
            </w:r>
            <w:proofErr w:type="spellStart"/>
            <w:r w:rsidRPr="005B6195">
              <w:t>i</w:t>
            </w:r>
            <w:proofErr w:type="spellEnd"/>
            <w:r w:rsidRPr="005B6195">
              <w:t>)</w:t>
            </w:r>
            <w:r w:rsidR="00BE2664">
              <w:br/>
            </w:r>
            <w:r w:rsidRPr="005B6195">
              <w:tab/>
              <w:t>Informal document INF.25 of the 107th session of WP.15</w:t>
            </w:r>
            <w:r w:rsidRPr="005B6195">
              <w:tab/>
            </w:r>
            <w:r w:rsidRPr="001F4CF4">
              <w:t xml:space="preserve">ECE/TRANS/WP.15/248 paras. </w:t>
            </w:r>
            <w:r w:rsidRPr="005B6195">
              <w:rPr>
                <w:lang w:val="fr-CH"/>
              </w:rPr>
              <w:t>25</w:t>
            </w:r>
            <w:r w:rsidR="001016A7">
              <w:rPr>
                <w:lang w:val="fr-CH"/>
              </w:rPr>
              <w:t>–</w:t>
            </w:r>
            <w:r w:rsidRPr="005B6195">
              <w:rPr>
                <w:lang w:val="fr-CH"/>
              </w:rPr>
              <w:t>27</w:t>
            </w:r>
            <w:r w:rsidR="001016A7">
              <w:rPr>
                <w:lang w:val="fr-CH"/>
              </w:rPr>
              <w:br/>
            </w:r>
            <w:r w:rsidRPr="005B6195">
              <w:rPr>
                <w:lang w:val="fr-CH"/>
              </w:rPr>
              <w:tab/>
              <w:t>UN/SCETDG/56/INF.15</w:t>
            </w:r>
          </w:p>
        </w:tc>
      </w:tr>
      <w:tr w:rsidR="005B2ABE" w:rsidRPr="005B2ABE" w:rsidTr="005B6195">
        <w:trPr>
          <w:jc w:val="center"/>
        </w:trPr>
        <w:tc>
          <w:tcPr>
            <w:tcW w:w="9637" w:type="dxa"/>
            <w:shd w:val="clear" w:color="auto" w:fill="auto"/>
          </w:tcPr>
          <w:p w:rsidR="005B2ABE" w:rsidRPr="005B2ABE" w:rsidRDefault="005B2ABE" w:rsidP="005B2ABE">
            <w:pPr>
              <w:rPr>
                <w:lang w:val="fr-CH"/>
              </w:rPr>
            </w:pPr>
          </w:p>
        </w:tc>
      </w:tr>
    </w:tbl>
    <w:bookmarkEnd w:id="0"/>
    <w:p w:rsidR="00CD5807" w:rsidRPr="005B6195" w:rsidRDefault="00CD5807" w:rsidP="00CD5807">
      <w:pPr>
        <w:pStyle w:val="HChG"/>
      </w:pPr>
      <w:r w:rsidRPr="005B6195">
        <w:rPr>
          <w:lang w:val="fr-CH"/>
        </w:rPr>
        <w:tab/>
      </w:r>
      <w:r w:rsidRPr="005B6195">
        <w:rPr>
          <w:lang w:val="fr-CH"/>
        </w:rPr>
        <w:tab/>
      </w:r>
      <w:r w:rsidRPr="005B6195">
        <w:t>Introduction</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1.</w:t>
      </w:r>
      <w:r w:rsidRPr="00F853F7">
        <w:rPr>
          <w:rStyle w:val="BalloonTextChar"/>
          <w:rFonts w:ascii="Times New Roman" w:hAnsi="Times New Roman" w:cs="Times New Roman"/>
          <w:sz w:val="20"/>
          <w:szCs w:val="20"/>
        </w:rPr>
        <w:tab/>
      </w:r>
      <w:proofErr w:type="gramStart"/>
      <w:r w:rsidRPr="00F853F7">
        <w:rPr>
          <w:rStyle w:val="BalloonTextChar"/>
          <w:rFonts w:ascii="Times New Roman" w:hAnsi="Times New Roman" w:cs="Times New Roman"/>
          <w:sz w:val="20"/>
          <w:szCs w:val="20"/>
        </w:rPr>
        <w:t>Taking into account</w:t>
      </w:r>
      <w:proofErr w:type="gramEnd"/>
      <w:r w:rsidRPr="00F853F7">
        <w:rPr>
          <w:rStyle w:val="BalloonTextChar"/>
          <w:rFonts w:ascii="Times New Roman" w:hAnsi="Times New Roman" w:cs="Times New Roman"/>
          <w:sz w:val="20"/>
          <w:szCs w:val="20"/>
        </w:rPr>
        <w:t xml:space="preserve"> the arguments put forward in informal document INF.25 of the 107th session of the Working Party on the Transport of Dangerous Goods (WP.15), WP.15 and the RID Committee of Experts</w:t>
      </w:r>
      <w:r w:rsidR="00AE1322">
        <w:rPr>
          <w:rStyle w:val="BalloonTextChar"/>
          <w:rFonts w:ascii="Times New Roman" w:hAnsi="Times New Roman" w:cs="Times New Roman"/>
          <w:sz w:val="20"/>
          <w:szCs w:val="20"/>
        </w:rPr>
        <w:t>’</w:t>
      </w:r>
      <w:r w:rsidRPr="00F853F7">
        <w:rPr>
          <w:rStyle w:val="BalloonTextChar"/>
          <w:rFonts w:ascii="Times New Roman" w:hAnsi="Times New Roman" w:cs="Times New Roman"/>
          <w:sz w:val="20"/>
          <w:szCs w:val="20"/>
        </w:rPr>
        <w:t xml:space="preserve"> standing working group agreed not to maintain the following amendment, which had been adopted at the Joint Meeting in September 2019:</w:t>
      </w:r>
    </w:p>
    <w:p w:rsidR="00CD5807" w:rsidRPr="00F853F7" w:rsidRDefault="00AE1322" w:rsidP="00161772">
      <w:pPr>
        <w:pStyle w:val="SingleTxtG"/>
        <w:ind w:left="2268" w:hanging="1134"/>
        <w:rPr>
          <w:rStyle w:val="BalloonTextChar"/>
          <w:rFonts w:ascii="Times New Roman" w:hAnsi="Times New Roman" w:cs="Times New Roman"/>
          <w:sz w:val="20"/>
          <w:szCs w:val="20"/>
        </w:rPr>
      </w:pPr>
      <w:r>
        <w:lastRenderedPageBreak/>
        <w:t>“</w:t>
      </w:r>
      <w:r w:rsidR="00CD5807" w:rsidRPr="00F853F7">
        <w:rPr>
          <w:rStyle w:val="BalloonTextChar"/>
          <w:rFonts w:ascii="Times New Roman" w:hAnsi="Times New Roman" w:cs="Times New Roman"/>
          <w:sz w:val="20"/>
          <w:szCs w:val="20"/>
        </w:rPr>
        <w:t>4.1.8.6</w:t>
      </w:r>
      <w:r w:rsidR="00CD5807" w:rsidRPr="00F853F7">
        <w:rPr>
          <w:rStyle w:val="BalloonTextChar"/>
          <w:rFonts w:ascii="Times New Roman" w:hAnsi="Times New Roman" w:cs="Times New Roman"/>
          <w:sz w:val="20"/>
          <w:szCs w:val="20"/>
        </w:rPr>
        <w:tab/>
        <w:t xml:space="preserve">At the end of the sentence, add </w:t>
      </w:r>
      <w:r>
        <w:t>“</w:t>
      </w:r>
      <w:r w:rsidR="00CD5807" w:rsidRPr="00F853F7">
        <w:rPr>
          <w:rStyle w:val="BalloonTextChar"/>
          <w:rFonts w:ascii="Times New Roman" w:hAnsi="Times New Roman" w:cs="Times New Roman"/>
          <w:sz w:val="20"/>
          <w:szCs w:val="20"/>
        </w:rPr>
        <w:t>, nor to UN No. 3549 MEDICAL WASTE, CATEGORY A, AFFECTING HUMANS or MEDICAL WASTE, CATEGORY A, AFFECTING ANIMALS.</w:t>
      </w:r>
      <w:r>
        <w:t>”</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2.</w:t>
      </w:r>
      <w:r w:rsidRPr="00F853F7">
        <w:rPr>
          <w:rStyle w:val="BalloonTextChar"/>
          <w:rFonts w:ascii="Times New Roman" w:hAnsi="Times New Roman" w:cs="Times New Roman"/>
          <w:sz w:val="20"/>
          <w:szCs w:val="20"/>
        </w:rPr>
        <w:tab/>
        <w:t>The working groups adopted that decision pending a decision by the Joint Meeting in March (see paras. 25 to 27 of ECE/TRANS/WP.15/248 and para. 9 of draft report OTIF/RID/CE/GTP/2019-A). WP.15 also noted that a proposal on the subject was to be submitted to the Sub-Committee of Experts on the Transport of Dangerous Goods in December 2019, which was done in document UN/SCETDG/56/INF.15.</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3.</w:t>
      </w:r>
      <w:r w:rsidRPr="00F853F7">
        <w:rPr>
          <w:rStyle w:val="BalloonTextChar"/>
          <w:rFonts w:ascii="Times New Roman" w:hAnsi="Times New Roman" w:cs="Times New Roman"/>
          <w:sz w:val="20"/>
          <w:szCs w:val="20"/>
        </w:rPr>
        <w:tab/>
        <w:t>During the discussion on that document, two experts expressed reservations about the idea of allowing the use of plastic packagings for the transport of hospital waste of UN No. 3549 beyond the five-year period, although they understood the situation that hospitals could find themselves in if they had unused stocks of packaging that were past their expiry date. The arguments against this happening can be summarized as follows:</w:t>
      </w:r>
    </w:p>
    <w:p w:rsidR="00CD5807" w:rsidRPr="00F853F7" w:rsidRDefault="00CD5807" w:rsidP="00DA5CA2">
      <w:pPr>
        <w:pStyle w:val="Bullet1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When the packing requirements for UN No. 3549 were drafted, attention was paid to developing requirements for packagings that are easily produced and readily available in the trade, which is not the case for packagings for the other entries for Category A infectious substances, UN Nos. 2814 and 2900. Hospitals would therefore not need to keep stocks of the packagings.</w:t>
      </w:r>
    </w:p>
    <w:p w:rsidR="00CD5807" w:rsidRPr="00F853F7" w:rsidRDefault="00CD5807" w:rsidP="00DA5CA2">
      <w:pPr>
        <w:pStyle w:val="Bullet1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 xml:space="preserve">Plastics undergo degradation over time depending on storage and climatic conditions and the products they contain. </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4.</w:t>
      </w:r>
      <w:r w:rsidRPr="00F853F7">
        <w:rPr>
          <w:rStyle w:val="BalloonTextChar"/>
          <w:rFonts w:ascii="Times New Roman" w:hAnsi="Times New Roman" w:cs="Times New Roman"/>
          <w:sz w:val="20"/>
          <w:szCs w:val="20"/>
        </w:rPr>
        <w:tab/>
        <w:t>The majority of the experts and delegates who spoke nevertheless expressed their interest in finding a solution to the problem. None of the experts were in favour of reusing packagings intended for the disposal of infectious medical waste of UN No. 3549, since the safety conditions for them to be returned from incineration centres cannot be met.</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5.</w:t>
      </w:r>
      <w:r w:rsidRPr="00F853F7">
        <w:rPr>
          <w:rStyle w:val="BalloonTextChar"/>
          <w:rFonts w:ascii="Times New Roman" w:hAnsi="Times New Roman" w:cs="Times New Roman"/>
          <w:sz w:val="20"/>
          <w:szCs w:val="20"/>
        </w:rPr>
        <w:tab/>
        <w:t>The expert from Switzerland took note of the comments made and offered to submit a revised proposal taking account of the arguments put forward. Although the plan is to continue the discussions in the Sub-Committee of Experts, the mandate of WP.15 to seek the advice of the Joint Meeting remains valid in view of the urgent need to provide an answer to hospitals that procured stocks of packaging compliant with the new packing instruction P622 in 2014 and of the fact that any decisions that the Sub-Committee of Experts takes in July 2020 will not enter into force in RID/ADR/ADN until 2023.</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6.</w:t>
      </w:r>
      <w:r w:rsidRPr="00F853F7">
        <w:rPr>
          <w:rStyle w:val="BalloonTextChar"/>
          <w:rFonts w:ascii="Times New Roman" w:hAnsi="Times New Roman" w:cs="Times New Roman"/>
          <w:sz w:val="20"/>
          <w:szCs w:val="20"/>
        </w:rPr>
        <w:tab/>
        <w:t>The following answers can be given to arguments against the principle of applying the same rules for the period of validity for plastic drums and jerricans for UN No. 3549 as for UN Nos. 2814 and 2900:</w:t>
      </w:r>
    </w:p>
    <w:p w:rsidR="00CD5807" w:rsidRPr="00F853F7" w:rsidRDefault="00CD5807" w:rsidP="003C4BBF">
      <w:pPr>
        <w:pStyle w:val="Bullet1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There is already a risk of degradation of plastics over time for UN Nos. 2814 and 2900, with the aggravating factor that, for those two UN numbers, indefinite reuse is allowed under 4.1.8.3. That is not the case for UN No. 3549, where the packaging is used only once and is burned at destination. In any case, the consignor may not use packagings which do not meet the type approval conditions or which are not suitable for transport. The consignor must comply with 4.1.1.1.</w:t>
      </w:r>
    </w:p>
    <w:p w:rsidR="00CD5807" w:rsidRPr="00F853F7" w:rsidRDefault="00CD5807" w:rsidP="003C4BBF">
      <w:pPr>
        <w:pStyle w:val="Bullet1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The argument that the packaging is readily available, meaning that hospitals would not need to maintain a stock, does not reflect reality. When a patient is admitted, hospitals cannot be dependent on the length of time of the administrative procedures to obtain the necessary funds to purchase the packaging, nor on production and delivery times.</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7.</w:t>
      </w:r>
      <w:r w:rsidRPr="00F853F7">
        <w:rPr>
          <w:rStyle w:val="BalloonTextChar"/>
          <w:rFonts w:ascii="Times New Roman" w:hAnsi="Times New Roman" w:cs="Times New Roman"/>
          <w:sz w:val="20"/>
          <w:szCs w:val="20"/>
        </w:rPr>
        <w:tab/>
        <w:t>In the texts already adopted, in contrast to the provisions for other Category A infectious substances (UN Nos. 2814 and 2900), the provisions for Category A medical waste of UN No. 3549 (SP 395, P622, LP622) do not refer to 4.1.8. In particular, unlike P620 for UN Nos. 2814 and 2900, P622 for medical waste of UN No. 3549 does not contain any cross-reference to 4.1.8. Consequently, the provisions of 4.1.8.2 applicable to UN Nos. 2814 and 2900 do not apply to UN No. 3549. Thus, for medical waste of UN No. 3549, the permitted period of use for plastic drums and jerricans is limited to five years in accordance with 4.1.1.15.</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8.</w:t>
      </w:r>
      <w:r w:rsidRPr="00F853F7">
        <w:rPr>
          <w:rStyle w:val="BalloonTextChar"/>
          <w:rFonts w:ascii="Times New Roman" w:hAnsi="Times New Roman" w:cs="Times New Roman"/>
          <w:sz w:val="20"/>
          <w:szCs w:val="20"/>
        </w:rPr>
        <w:tab/>
        <w:t>There are some arguments that would justify applying the same rule on use after the five-year period to UN No. 3549 as to UN Nos. 2814 and 2900:</w:t>
      </w:r>
    </w:p>
    <w:p w:rsidR="00CD5807" w:rsidRPr="00F853F7" w:rsidRDefault="00CD5807" w:rsidP="00F853F7">
      <w:pPr>
        <w:pStyle w:val="SingleTxtG"/>
        <w:rPr>
          <w:rStyle w:val="BalloonTextChar"/>
          <w:rFonts w:ascii="Times New Roman" w:hAnsi="Times New Roman" w:cs="Times New Roman"/>
          <w:sz w:val="20"/>
          <w:szCs w:val="20"/>
        </w:rPr>
      </w:pPr>
      <w:bookmarkStart w:id="1" w:name="_GoBack"/>
      <w:bookmarkEnd w:id="1"/>
      <w:r w:rsidRPr="00F853F7">
        <w:rPr>
          <w:rStyle w:val="BalloonTextChar"/>
          <w:rFonts w:ascii="Times New Roman" w:hAnsi="Times New Roman" w:cs="Times New Roman"/>
          <w:sz w:val="20"/>
          <w:szCs w:val="20"/>
        </w:rPr>
        <w:lastRenderedPageBreak/>
        <w:tab/>
        <w:t>(a)</w:t>
      </w:r>
      <w:r w:rsidRPr="00F853F7">
        <w:rPr>
          <w:rStyle w:val="BalloonTextChar"/>
          <w:rFonts w:ascii="Times New Roman" w:hAnsi="Times New Roman" w:cs="Times New Roman"/>
          <w:sz w:val="20"/>
          <w:szCs w:val="20"/>
        </w:rPr>
        <w:tab/>
        <w:t>Hospitals need to have these packagings rapidly available when a patient presents with a disease of this type, so the hospital must have the packagings in its stocks. Given the volume of waste generated by a patient and the production and delivery times that packaging manufacturers can guarantee, hospitals cannot wait for a patient to be admitted before placing packaging orders. It is therefore imperative for them to have several weeks</w:t>
      </w:r>
      <w:r w:rsidR="00AE1322">
        <w:rPr>
          <w:rStyle w:val="BalloonTextChar"/>
          <w:rFonts w:ascii="Times New Roman" w:hAnsi="Times New Roman" w:cs="Times New Roman"/>
          <w:sz w:val="20"/>
          <w:szCs w:val="20"/>
        </w:rPr>
        <w:t>’</w:t>
      </w:r>
      <w:r w:rsidRPr="00F853F7">
        <w:rPr>
          <w:rStyle w:val="BalloonTextChar"/>
          <w:rFonts w:ascii="Times New Roman" w:hAnsi="Times New Roman" w:cs="Times New Roman"/>
          <w:sz w:val="20"/>
          <w:szCs w:val="20"/>
        </w:rPr>
        <w:t xml:space="preserve"> worth of stocks to enable them to cope with both packaging delivery times and the large volumes of waste generated.</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ab/>
        <w:t>(b)</w:t>
      </w:r>
      <w:r w:rsidRPr="00F853F7">
        <w:rPr>
          <w:rStyle w:val="BalloonTextChar"/>
          <w:rFonts w:ascii="Times New Roman" w:hAnsi="Times New Roman" w:cs="Times New Roman"/>
          <w:sz w:val="20"/>
          <w:szCs w:val="20"/>
        </w:rPr>
        <w:tab/>
        <w:t>However, as this type of disease is relatively rare, it is likely that the packaging will not be used regularly and will remain in hospital stocks for a long period of time without being used. This is already the case in Switzerland. The packagings are still in good condition because they have not been used.</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ab/>
        <w:t>(c)</w:t>
      </w:r>
      <w:r w:rsidRPr="00F853F7">
        <w:rPr>
          <w:rStyle w:val="BalloonTextChar"/>
          <w:rFonts w:ascii="Times New Roman" w:hAnsi="Times New Roman" w:cs="Times New Roman"/>
          <w:sz w:val="20"/>
          <w:szCs w:val="20"/>
        </w:rPr>
        <w:tab/>
        <w:t xml:space="preserve">The five-year limit on use may be justified for packagings that have been used with different contents or filled with dangerous goods under ambient conditions that may affect the performance of the packaging. This should not be the case for new packaging stored in hospitals awaiting patients with Category A diseases and intended for use in the transport of UN No. 3549. Furthermore, outer packagings do not come into direct contact with the products, and solid infectious substances are unlikely to be so aggressive as to change the structure of the packaging. In this connection, it should be noted that the use of large plastic packagings that comply with the new packing instruction LP622 is not limited to five years, since they do not </w:t>
      </w:r>
      <w:proofErr w:type="gramStart"/>
      <w:r w:rsidRPr="00F853F7">
        <w:rPr>
          <w:rStyle w:val="BalloonTextChar"/>
          <w:rFonts w:ascii="Times New Roman" w:hAnsi="Times New Roman" w:cs="Times New Roman"/>
          <w:sz w:val="20"/>
          <w:szCs w:val="20"/>
        </w:rPr>
        <w:t>come into contact with</w:t>
      </w:r>
      <w:proofErr w:type="gramEnd"/>
      <w:r w:rsidRPr="00F853F7">
        <w:rPr>
          <w:rStyle w:val="BalloonTextChar"/>
          <w:rFonts w:ascii="Times New Roman" w:hAnsi="Times New Roman" w:cs="Times New Roman"/>
          <w:sz w:val="20"/>
          <w:szCs w:val="20"/>
        </w:rPr>
        <w:t xml:space="preserve"> the substances being transported either.</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ab/>
        <w:t>(d)</w:t>
      </w:r>
      <w:r w:rsidRPr="00F853F7">
        <w:rPr>
          <w:rStyle w:val="BalloonTextChar"/>
          <w:rFonts w:ascii="Times New Roman" w:hAnsi="Times New Roman" w:cs="Times New Roman"/>
          <w:sz w:val="20"/>
          <w:szCs w:val="20"/>
        </w:rPr>
        <w:tab/>
        <w:t xml:space="preserve">Unlike packagings for UN Nos. 2814 and 2900, packagings for UN No. 3549 are not reused several times because they are intended to be incinerated after transport. </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9.</w:t>
      </w:r>
      <w:r w:rsidRPr="00F853F7">
        <w:rPr>
          <w:rStyle w:val="BalloonTextChar"/>
          <w:rFonts w:ascii="Times New Roman" w:hAnsi="Times New Roman" w:cs="Times New Roman"/>
          <w:sz w:val="20"/>
          <w:szCs w:val="20"/>
        </w:rPr>
        <w:tab/>
        <w:t xml:space="preserve">The only difference between packagings for UN No. 3549 and those for UN Nos. 2814 and 2900 are the type approval tests. The packaging tests for UN Nos. 2814 and 2900 in Chapter 6.3 are more stringent (9 m drop test) than those for packing group I for UN No. 3549 (1.8 m drop test). They are also more </w:t>
      </w:r>
      <w:proofErr w:type="gramStart"/>
      <w:r w:rsidRPr="00F853F7">
        <w:rPr>
          <w:rStyle w:val="BalloonTextChar"/>
          <w:rFonts w:ascii="Times New Roman" w:hAnsi="Times New Roman" w:cs="Times New Roman"/>
          <w:sz w:val="20"/>
          <w:szCs w:val="20"/>
        </w:rPr>
        <w:t>expensive</w:t>
      </w:r>
      <w:proofErr w:type="gramEnd"/>
      <w:r w:rsidRPr="00F853F7">
        <w:rPr>
          <w:rStyle w:val="BalloonTextChar"/>
          <w:rFonts w:ascii="Times New Roman" w:hAnsi="Times New Roman" w:cs="Times New Roman"/>
          <w:sz w:val="20"/>
          <w:szCs w:val="20"/>
        </w:rPr>
        <w:t xml:space="preserve"> and the type designation code displays the marking </w:t>
      </w:r>
      <w:r w:rsidR="00AE1322">
        <w:t>“</w:t>
      </w:r>
      <w:r w:rsidRPr="00F853F7">
        <w:rPr>
          <w:rStyle w:val="BalloonTextChar"/>
          <w:rFonts w:ascii="Times New Roman" w:hAnsi="Times New Roman" w:cs="Times New Roman"/>
          <w:sz w:val="20"/>
          <w:szCs w:val="20"/>
        </w:rPr>
        <w:t>Class 6.2</w:t>
      </w:r>
      <w:r w:rsidR="00AE1322">
        <w:t>”</w:t>
      </w:r>
      <w:r w:rsidRPr="00F853F7">
        <w:rPr>
          <w:rStyle w:val="BalloonTextChar"/>
          <w:rFonts w:ascii="Times New Roman" w:hAnsi="Times New Roman" w:cs="Times New Roman"/>
          <w:sz w:val="20"/>
          <w:szCs w:val="20"/>
        </w:rPr>
        <w:t xml:space="preserve">. These packagings have a de facto dedicated use for infectious substances of category A. The difference in the period of use cannot be justified </w:t>
      </w:r>
      <w:proofErr w:type="gramStart"/>
      <w:r w:rsidRPr="00F853F7">
        <w:rPr>
          <w:rStyle w:val="BalloonTextChar"/>
          <w:rFonts w:ascii="Times New Roman" w:hAnsi="Times New Roman" w:cs="Times New Roman"/>
          <w:sz w:val="20"/>
          <w:szCs w:val="20"/>
        </w:rPr>
        <w:t>on the basis of</w:t>
      </w:r>
      <w:proofErr w:type="gramEnd"/>
      <w:r w:rsidRPr="00F853F7">
        <w:rPr>
          <w:rStyle w:val="BalloonTextChar"/>
          <w:rFonts w:ascii="Times New Roman" w:hAnsi="Times New Roman" w:cs="Times New Roman"/>
          <w:sz w:val="20"/>
          <w:szCs w:val="20"/>
        </w:rPr>
        <w:t xml:space="preserve"> the tests, nor on the basis of the frequency and type of use. Unlike P620 packagings, P622 packagings are used only once and are burned at destination because there is no waste incineration plant with the infrastructure, personnel and procedures necessary to ensure the sterilization required to guarantee safe reuse of the packagings in question. Consequently, the risk of deterioration over time of packagings used once is even lower than for packagings for UN Nos. 2814 and 2900, which are used several times.</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10.</w:t>
      </w:r>
      <w:r w:rsidRPr="00F853F7">
        <w:rPr>
          <w:rStyle w:val="BalloonTextChar"/>
          <w:rFonts w:ascii="Times New Roman" w:hAnsi="Times New Roman" w:cs="Times New Roman"/>
          <w:sz w:val="20"/>
          <w:szCs w:val="20"/>
        </w:rPr>
        <w:tab/>
        <w:t xml:space="preserve">The decisive factor in allowing use beyond the five-year period, as currently permitted in 4.1.8.2 for Category A infectious substances, is first and foremost the type of products transported. Since P622 outer packagings are not in contact with the infectious substances themselves, there is no risk of deterioration during the single journey to the incineration plant. In this connection, it should be noted that the use of large plastic packagings that comply with the new packing instruction LP622 is not limited to five years, since they do not </w:t>
      </w:r>
      <w:proofErr w:type="gramStart"/>
      <w:r w:rsidRPr="00F853F7">
        <w:rPr>
          <w:rStyle w:val="BalloonTextChar"/>
          <w:rFonts w:ascii="Times New Roman" w:hAnsi="Times New Roman" w:cs="Times New Roman"/>
          <w:sz w:val="20"/>
          <w:szCs w:val="20"/>
        </w:rPr>
        <w:t>come into contact with</w:t>
      </w:r>
      <w:proofErr w:type="gramEnd"/>
      <w:r w:rsidRPr="00F853F7">
        <w:rPr>
          <w:rStyle w:val="BalloonTextChar"/>
          <w:rFonts w:ascii="Times New Roman" w:hAnsi="Times New Roman" w:cs="Times New Roman"/>
          <w:sz w:val="20"/>
          <w:szCs w:val="20"/>
        </w:rPr>
        <w:t xml:space="preserve"> the substances being transported either.</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11.</w:t>
      </w:r>
      <w:r w:rsidRPr="00F853F7">
        <w:rPr>
          <w:rStyle w:val="BalloonTextChar"/>
          <w:rFonts w:ascii="Times New Roman" w:hAnsi="Times New Roman" w:cs="Times New Roman"/>
          <w:sz w:val="20"/>
          <w:szCs w:val="20"/>
        </w:rPr>
        <w:tab/>
        <w:t>It would therefore seem that the same criteria can be applied for UN No. 3549 as for UN Nos. 2814 and 2900. This means that, if it is guaranteed that plastic packagings that comply with P622 are used only for infectious substances, consideration could be given to permitting the same period of use for them as for plastic packagings used for UN Nos. 2814 and 2900, that is, a period of use not dependent on the provisions of 4.1.1.15.</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12.</w:t>
      </w:r>
      <w:r w:rsidRPr="00F853F7">
        <w:rPr>
          <w:rStyle w:val="BalloonTextChar"/>
          <w:rFonts w:ascii="Times New Roman" w:hAnsi="Times New Roman" w:cs="Times New Roman"/>
          <w:sz w:val="20"/>
          <w:szCs w:val="20"/>
        </w:rPr>
        <w:tab/>
        <w:t>In order to permit the use of such packagings beyond the five-year period without the need for special authorizations for plastic drums and jerricans of UN No. 3549, the approach adopted in packing instruction P621 for waste containing infectious substances of Category B should be introduced by excluding 4.1.1.15 in new packing instruction P622, on condition of the dedicated use of such packagings for substances of UN No. 3549. The principle of exclusive use for UN No. 3549 should be introduced in the additional requirements in P622.</w:t>
      </w:r>
    </w:p>
    <w:p w:rsidR="00CD5807" w:rsidRPr="00F853F7" w:rsidRDefault="00CD5807" w:rsidP="00EE23B0">
      <w:pPr>
        <w:pStyle w:val="HChG"/>
        <w:rPr>
          <w:rStyle w:val="BalloonTextChar"/>
          <w:rFonts w:ascii="Times New Roman" w:hAnsi="Times New Roman" w:cs="Times New Roman"/>
          <w:sz w:val="28"/>
          <w:szCs w:val="20"/>
        </w:rPr>
      </w:pPr>
      <w:r w:rsidRPr="00F853F7">
        <w:rPr>
          <w:rStyle w:val="BalloonTextChar"/>
          <w:rFonts w:ascii="Times New Roman" w:hAnsi="Times New Roman" w:cs="Times New Roman"/>
          <w:sz w:val="28"/>
          <w:szCs w:val="20"/>
        </w:rPr>
        <w:lastRenderedPageBreak/>
        <w:tab/>
      </w:r>
      <w:r w:rsidRPr="00F853F7">
        <w:rPr>
          <w:rStyle w:val="BalloonTextChar"/>
          <w:rFonts w:ascii="Times New Roman" w:hAnsi="Times New Roman" w:cs="Times New Roman"/>
          <w:sz w:val="28"/>
          <w:szCs w:val="20"/>
        </w:rPr>
        <w:tab/>
        <w:t>Proposal</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13.</w:t>
      </w:r>
      <w:r w:rsidRPr="00F853F7">
        <w:rPr>
          <w:rStyle w:val="BalloonTextChar"/>
          <w:rFonts w:ascii="Times New Roman" w:hAnsi="Times New Roman" w:cs="Times New Roman"/>
          <w:sz w:val="20"/>
          <w:szCs w:val="20"/>
        </w:rPr>
        <w:tab/>
        <w:t>Switzerland proposes the following amendments to packing instruction P622 in 4.1.4.1, as adopted in ECE/TRANS/WP.15/AC.1/2019/22/Add.1:</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 xml:space="preserve">Amend the second sentence to read as follows (new text in bold underlined): </w:t>
      </w:r>
    </w:p>
    <w:p w:rsidR="00CD5807" w:rsidRPr="00F853F7" w:rsidRDefault="00AE1322" w:rsidP="00F853F7">
      <w:pPr>
        <w:pStyle w:val="SingleTxtG"/>
        <w:rPr>
          <w:rStyle w:val="BalloonTextChar"/>
          <w:rFonts w:ascii="Times New Roman" w:hAnsi="Times New Roman" w:cs="Times New Roman"/>
          <w:sz w:val="20"/>
          <w:szCs w:val="20"/>
        </w:rPr>
      </w:pPr>
      <w:r>
        <w:t>“</w:t>
      </w:r>
      <w:r w:rsidR="00CD5807" w:rsidRPr="00F853F7">
        <w:rPr>
          <w:rStyle w:val="BalloonTextChar"/>
          <w:rFonts w:ascii="Times New Roman" w:hAnsi="Times New Roman" w:cs="Times New Roman"/>
          <w:sz w:val="20"/>
          <w:szCs w:val="20"/>
        </w:rPr>
        <w:t xml:space="preserve">The following packagings are authorized provided the general provisions of 4.1.1, </w:t>
      </w:r>
      <w:r w:rsidR="00CD5807" w:rsidRPr="00A77CFF">
        <w:rPr>
          <w:rStyle w:val="BalloonTextChar"/>
          <w:rFonts w:ascii="Times New Roman" w:hAnsi="Times New Roman" w:cs="Times New Roman"/>
          <w:b/>
          <w:bCs/>
          <w:sz w:val="20"/>
          <w:szCs w:val="20"/>
          <w:u w:val="single"/>
        </w:rPr>
        <w:t>except 4.1.1.15</w:t>
      </w:r>
      <w:r w:rsidR="00CD5807" w:rsidRPr="00F853F7">
        <w:rPr>
          <w:rStyle w:val="BalloonTextChar"/>
          <w:rFonts w:ascii="Times New Roman" w:hAnsi="Times New Roman" w:cs="Times New Roman"/>
          <w:sz w:val="20"/>
          <w:szCs w:val="20"/>
        </w:rPr>
        <w:t>, and 4.1.3 are met:</w:t>
      </w:r>
    </w:p>
    <w:p w:rsidR="00CD5807" w:rsidRPr="00F853F7" w:rsidRDefault="00CD5807" w:rsidP="00F853F7">
      <w:pPr>
        <w:pStyle w:val="SingleTxtG"/>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rPr>
        <w:t>Add the following new additional requirement 8:</w:t>
      </w:r>
    </w:p>
    <w:p w:rsidR="00CD5807" w:rsidRPr="00A77CFF" w:rsidRDefault="00AE1322" w:rsidP="00F853F7">
      <w:pPr>
        <w:pStyle w:val="SingleTxtG"/>
        <w:rPr>
          <w:rStyle w:val="BalloonTextChar"/>
          <w:rFonts w:ascii="Times New Roman" w:hAnsi="Times New Roman" w:cs="Times New Roman"/>
          <w:b/>
          <w:bCs/>
          <w:sz w:val="20"/>
          <w:szCs w:val="20"/>
        </w:rPr>
      </w:pPr>
      <w:r>
        <w:rPr>
          <w:b/>
          <w:bCs/>
        </w:rPr>
        <w:t>“</w:t>
      </w:r>
      <w:r w:rsidR="00CD5807" w:rsidRPr="00A77CFF">
        <w:rPr>
          <w:rStyle w:val="BalloonTextChar"/>
          <w:rFonts w:ascii="Times New Roman" w:hAnsi="Times New Roman" w:cs="Times New Roman"/>
          <w:b/>
          <w:bCs/>
          <w:sz w:val="20"/>
          <w:szCs w:val="20"/>
        </w:rPr>
        <w:t xml:space="preserve">8. </w:t>
      </w:r>
      <w:r w:rsidR="00CD5807" w:rsidRPr="00A77CFF">
        <w:rPr>
          <w:rStyle w:val="BalloonTextChar"/>
          <w:rFonts w:ascii="Times New Roman" w:hAnsi="Times New Roman" w:cs="Times New Roman"/>
          <w:b/>
          <w:bCs/>
          <w:sz w:val="20"/>
          <w:szCs w:val="20"/>
          <w:u w:val="single"/>
        </w:rPr>
        <w:t>Subsection 4.1.1.15 is not applicable for drums and jerricans used exclusively for the carriage of UN No. 3549</w:t>
      </w:r>
      <w:r w:rsidR="00CD5807" w:rsidRPr="00A77CFF">
        <w:rPr>
          <w:rStyle w:val="BalloonTextChar"/>
          <w:rFonts w:ascii="Times New Roman" w:hAnsi="Times New Roman" w:cs="Times New Roman"/>
          <w:b/>
          <w:bCs/>
          <w:sz w:val="20"/>
          <w:szCs w:val="20"/>
        </w:rPr>
        <w:t>.</w:t>
      </w:r>
      <w:r>
        <w:rPr>
          <w:rStyle w:val="BalloonTextChar"/>
          <w:rFonts w:ascii="Times New Roman" w:hAnsi="Times New Roman" w:cs="Times New Roman"/>
          <w:b/>
          <w:bCs/>
          <w:sz w:val="20"/>
          <w:szCs w:val="20"/>
        </w:rPr>
        <w:t>”</w:t>
      </w:r>
    </w:p>
    <w:p w:rsidR="00F07822" w:rsidRPr="00F853F7" w:rsidRDefault="00F853F7" w:rsidP="00F853F7">
      <w:pPr>
        <w:pStyle w:val="SingleTxtG"/>
        <w:jc w:val="center"/>
        <w:rPr>
          <w:rStyle w:val="BalloonTextChar"/>
          <w:rFonts w:ascii="Times New Roman" w:hAnsi="Times New Roman" w:cs="Times New Roman"/>
          <w:sz w:val="20"/>
          <w:szCs w:val="20"/>
        </w:rPr>
      </w:pPr>
      <w:r w:rsidRPr="00F853F7">
        <w:rPr>
          <w:rStyle w:val="BalloonTextChar"/>
          <w:rFonts w:ascii="Times New Roman" w:hAnsi="Times New Roman" w:cs="Times New Roman"/>
          <w:sz w:val="20"/>
          <w:szCs w:val="20"/>
          <w:u w:val="single"/>
        </w:rPr>
        <w:tab/>
      </w:r>
      <w:r w:rsidRPr="00F853F7">
        <w:rPr>
          <w:rStyle w:val="BalloonTextChar"/>
          <w:rFonts w:ascii="Times New Roman" w:hAnsi="Times New Roman" w:cs="Times New Roman"/>
          <w:sz w:val="20"/>
          <w:szCs w:val="20"/>
          <w:u w:val="single"/>
        </w:rPr>
        <w:tab/>
      </w:r>
      <w:r w:rsidRPr="00F853F7">
        <w:rPr>
          <w:rStyle w:val="BalloonTextChar"/>
          <w:rFonts w:ascii="Times New Roman" w:hAnsi="Times New Roman" w:cs="Times New Roman"/>
          <w:sz w:val="20"/>
          <w:szCs w:val="20"/>
          <w:u w:val="single"/>
        </w:rPr>
        <w:tab/>
      </w:r>
    </w:p>
    <w:sectPr w:rsidR="00F07822" w:rsidRPr="00F853F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309" w:rsidRPr="00FB1744" w:rsidRDefault="00333309" w:rsidP="00FB1744">
      <w:pPr>
        <w:pStyle w:val="Footer"/>
      </w:pPr>
    </w:p>
  </w:endnote>
  <w:endnote w:type="continuationSeparator" w:id="0">
    <w:p w:rsidR="00333309" w:rsidRPr="00FB1744" w:rsidRDefault="0033330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D70" w:rsidRDefault="00046D70" w:rsidP="00046D70">
    <w:pPr>
      <w:pStyle w:val="Footer"/>
      <w:tabs>
        <w:tab w:val="right" w:pos="9638"/>
      </w:tabs>
    </w:pPr>
    <w:r w:rsidRPr="00046D70">
      <w:rPr>
        <w:b/>
        <w:bCs/>
        <w:sz w:val="18"/>
      </w:rPr>
      <w:fldChar w:fldCharType="begin"/>
    </w:r>
    <w:r w:rsidRPr="00046D70">
      <w:rPr>
        <w:b/>
        <w:bCs/>
        <w:sz w:val="18"/>
      </w:rPr>
      <w:instrText xml:space="preserve"> PAGE  \* MERGEFORMAT </w:instrText>
    </w:r>
    <w:r w:rsidRPr="00046D70">
      <w:rPr>
        <w:b/>
        <w:bCs/>
        <w:sz w:val="18"/>
      </w:rPr>
      <w:fldChar w:fldCharType="separate"/>
    </w:r>
    <w:r w:rsidRPr="00046D70">
      <w:rPr>
        <w:b/>
        <w:bCs/>
        <w:noProof/>
        <w:sz w:val="18"/>
      </w:rPr>
      <w:t>2</w:t>
    </w:r>
    <w:r w:rsidRPr="00046D70">
      <w:rPr>
        <w:b/>
        <w:bCs/>
        <w:sz w:val="18"/>
      </w:rPr>
      <w:fldChar w:fldCharType="end"/>
    </w:r>
    <w:r>
      <w:tab/>
      <w:t>GE.20-00083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D70" w:rsidRDefault="00046D70" w:rsidP="00046D70">
    <w:pPr>
      <w:pStyle w:val="Footer"/>
      <w:tabs>
        <w:tab w:val="right" w:pos="9638"/>
      </w:tabs>
    </w:pPr>
    <w:r>
      <w:t>GE.20-00083</w:t>
    </w:r>
    <w:r>
      <w:tab/>
    </w:r>
    <w:r w:rsidRPr="00046D70">
      <w:rPr>
        <w:b/>
        <w:bCs/>
        <w:sz w:val="18"/>
      </w:rPr>
      <w:fldChar w:fldCharType="begin"/>
    </w:r>
    <w:r w:rsidRPr="00046D70">
      <w:rPr>
        <w:b/>
        <w:bCs/>
        <w:sz w:val="18"/>
      </w:rPr>
      <w:instrText xml:space="preserve"> PAGE  \* MERGEFORMAT </w:instrText>
    </w:r>
    <w:r w:rsidRPr="00046D70">
      <w:rPr>
        <w:b/>
        <w:bCs/>
        <w:sz w:val="18"/>
      </w:rPr>
      <w:fldChar w:fldCharType="separate"/>
    </w:r>
    <w:r w:rsidRPr="00046D70">
      <w:rPr>
        <w:b/>
        <w:bCs/>
        <w:noProof/>
        <w:sz w:val="18"/>
      </w:rPr>
      <w:t>3</w:t>
    </w:r>
    <w:r w:rsidRPr="00046D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D70" w:rsidRDefault="00046D70">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46D70" w:rsidRDefault="00046D70" w:rsidP="00046D70">
    <w:pPr>
      <w:pStyle w:val="Footer"/>
      <w:rPr>
        <w:sz w:val="20"/>
      </w:rPr>
    </w:pPr>
    <w:r>
      <w:rPr>
        <w:sz w:val="20"/>
      </w:rPr>
      <w:t>GE.20-</w:t>
    </w:r>
    <w:proofErr w:type="gramStart"/>
    <w:r>
      <w:rPr>
        <w:sz w:val="20"/>
      </w:rPr>
      <w:t>00083  (</w:t>
    </w:r>
    <w:proofErr w:type="gramEnd"/>
    <w:r>
      <w:rPr>
        <w:sz w:val="20"/>
      </w:rPr>
      <w:t>E)</w:t>
    </w:r>
    <w:r w:rsidR="00DA3503">
      <w:rPr>
        <w:sz w:val="20"/>
      </w:rPr>
      <w:t xml:space="preserve">    </w:t>
    </w:r>
    <w:r w:rsidR="00245BC1">
      <w:rPr>
        <w:sz w:val="20"/>
      </w:rPr>
      <w:t>170120    170120</w:t>
    </w:r>
  </w:p>
  <w:p w:rsidR="00046D70" w:rsidRPr="00046D70" w:rsidRDefault="00046D70" w:rsidP="00046D7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20/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309" w:rsidRPr="00FB1744" w:rsidRDefault="00333309" w:rsidP="00FB1744">
      <w:pPr>
        <w:tabs>
          <w:tab w:val="right" w:pos="2155"/>
        </w:tabs>
        <w:spacing w:after="80" w:line="240" w:lineRule="auto"/>
        <w:ind w:left="680"/>
      </w:pPr>
      <w:r>
        <w:rPr>
          <w:u w:val="single"/>
        </w:rPr>
        <w:tab/>
      </w:r>
    </w:p>
  </w:footnote>
  <w:footnote w:type="continuationSeparator" w:id="0">
    <w:p w:rsidR="00333309" w:rsidRPr="00FB1744" w:rsidRDefault="00333309" w:rsidP="00FB1744">
      <w:pPr>
        <w:tabs>
          <w:tab w:val="right" w:pos="2155"/>
        </w:tabs>
        <w:spacing w:after="80" w:line="240" w:lineRule="auto"/>
        <w:ind w:left="680"/>
      </w:pPr>
      <w:r>
        <w:rPr>
          <w:u w:val="single"/>
        </w:rPr>
        <w:tab/>
      </w:r>
    </w:p>
  </w:footnote>
  <w:footnote w:id="1">
    <w:p w:rsidR="005B2ABE" w:rsidRPr="004861CC" w:rsidRDefault="005B2ABE" w:rsidP="00CD5807">
      <w:pPr>
        <w:pStyle w:val="FootnoteText"/>
      </w:pPr>
      <w:r w:rsidRPr="004861CC">
        <w:rPr>
          <w:rStyle w:val="Heading3Char"/>
        </w:rPr>
        <w:tab/>
        <w:t>*</w:t>
      </w:r>
      <w:r w:rsidRPr="004861CC">
        <w:rPr>
          <w:rStyle w:val="Heading3Char"/>
        </w:rPr>
        <w:tab/>
      </w:r>
      <w:r w:rsidRPr="004861CC">
        <w:t>Subprogramme 2 of the programme budget for 2020 (A/74/6 (Sect.</w:t>
      </w:r>
      <w:r w:rsidR="000661F4">
        <w:t xml:space="preserve"> </w:t>
      </w:r>
      <w:r w:rsidRPr="004861CC">
        <w:t>20) an</w:t>
      </w:r>
      <w:r>
        <w:t>d additional</w:t>
      </w:r>
      <w:r w:rsidRPr="004861CC">
        <w:t xml:space="preserve"> information).</w:t>
      </w:r>
    </w:p>
  </w:footnote>
  <w:footnote w:id="2">
    <w:p w:rsidR="005B2ABE" w:rsidRPr="00FC0B26" w:rsidRDefault="005B2ABE" w:rsidP="00CD5807">
      <w:pPr>
        <w:pStyle w:val="FootnoteText"/>
      </w:pPr>
      <w:r w:rsidRPr="004861CC">
        <w:rPr>
          <w:rStyle w:val="Heading3Char"/>
        </w:rPr>
        <w:tab/>
      </w:r>
      <w:r w:rsidRPr="00FC0B26">
        <w:rPr>
          <w:rStyle w:val="Heading3Char"/>
        </w:rPr>
        <w:t>**</w:t>
      </w:r>
      <w:r w:rsidRPr="00FC0B26">
        <w:rPr>
          <w:rStyle w:val="Heading3Char"/>
        </w:rPr>
        <w:tab/>
      </w:r>
      <w:r>
        <w:t>Circulated by the Intergovernmental Organisation for International Carriage by Rail (OTIF) under the symbol OTIF/RID/RC/2020/</w:t>
      </w:r>
      <w:r w:rsidRPr="00FC0B26">
        <w:t>2</w:t>
      </w:r>
      <w:r>
        <w:t>1</w:t>
      </w:r>
      <w:r w:rsidRPr="00FC0B2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D70" w:rsidRDefault="00046D70" w:rsidP="00046D70">
    <w:pPr>
      <w:pStyle w:val="Header"/>
    </w:pPr>
    <w:r>
      <w:t>ECE/TRANS/WP.15/AC.1/2020/21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D70" w:rsidRDefault="00046D70" w:rsidP="00046D70">
    <w:pPr>
      <w:pStyle w:val="Header"/>
      <w:jc w:val="right"/>
    </w:pPr>
    <w:r>
      <w:t>ECE/TRANS/WP.15/AC.1/2020/21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09"/>
    <w:rsid w:val="00046D70"/>
    <w:rsid w:val="00046E92"/>
    <w:rsid w:val="000661F4"/>
    <w:rsid w:val="000D1B89"/>
    <w:rsid w:val="001016A7"/>
    <w:rsid w:val="001170DC"/>
    <w:rsid w:val="00161772"/>
    <w:rsid w:val="001B5A4E"/>
    <w:rsid w:val="001F4CF4"/>
    <w:rsid w:val="00245BC1"/>
    <w:rsid w:val="00247E2C"/>
    <w:rsid w:val="002C44C7"/>
    <w:rsid w:val="002D6C53"/>
    <w:rsid w:val="002F5595"/>
    <w:rsid w:val="00333309"/>
    <w:rsid w:val="00334F6A"/>
    <w:rsid w:val="00342AC8"/>
    <w:rsid w:val="00363E07"/>
    <w:rsid w:val="003B4550"/>
    <w:rsid w:val="003C4BBF"/>
    <w:rsid w:val="0043448D"/>
    <w:rsid w:val="00461253"/>
    <w:rsid w:val="004A0485"/>
    <w:rsid w:val="004C43A7"/>
    <w:rsid w:val="005042C2"/>
    <w:rsid w:val="00506C12"/>
    <w:rsid w:val="0056599A"/>
    <w:rsid w:val="00587690"/>
    <w:rsid w:val="005B2ABE"/>
    <w:rsid w:val="00671529"/>
    <w:rsid w:val="006A6F24"/>
    <w:rsid w:val="00717266"/>
    <w:rsid w:val="007268F9"/>
    <w:rsid w:val="007C52B0"/>
    <w:rsid w:val="007E02E2"/>
    <w:rsid w:val="008952CB"/>
    <w:rsid w:val="008B1419"/>
    <w:rsid w:val="009411B4"/>
    <w:rsid w:val="00972311"/>
    <w:rsid w:val="009D0139"/>
    <w:rsid w:val="009F5CDC"/>
    <w:rsid w:val="00A429CD"/>
    <w:rsid w:val="00A775CF"/>
    <w:rsid w:val="00A77CFF"/>
    <w:rsid w:val="00AB3C7E"/>
    <w:rsid w:val="00AE1322"/>
    <w:rsid w:val="00B06045"/>
    <w:rsid w:val="00BE2664"/>
    <w:rsid w:val="00C35A27"/>
    <w:rsid w:val="00CD5807"/>
    <w:rsid w:val="00DA3503"/>
    <w:rsid w:val="00DA5CA2"/>
    <w:rsid w:val="00E02C2B"/>
    <w:rsid w:val="00E404E6"/>
    <w:rsid w:val="00ED6C48"/>
    <w:rsid w:val="00EE23B0"/>
    <w:rsid w:val="00F07822"/>
    <w:rsid w:val="00F65F5D"/>
    <w:rsid w:val="00F853F7"/>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2528486-7A7E-4C60-B615-4D1E5B15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D5807"/>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D5807"/>
    <w:rPr>
      <w:rFonts w:ascii="Times New Roman" w:hAnsi="Times New Roman" w:cs="Times New Roman"/>
      <w:b/>
      <w:sz w:val="18"/>
      <w:szCs w:val="20"/>
    </w:rPr>
  </w:style>
  <w:style w:type="paragraph" w:styleId="Footer">
    <w:name w:val="footer"/>
    <w:aliases w:val="3_G"/>
    <w:basedOn w:val="Normal"/>
    <w:link w:val="FooterChar"/>
    <w:rsid w:val="00CD5807"/>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D5807"/>
    <w:rPr>
      <w:rFonts w:ascii="Times New Roman" w:hAnsi="Times New Roman" w:cs="Times New Roman"/>
      <w:sz w:val="16"/>
      <w:szCs w:val="20"/>
    </w:rPr>
  </w:style>
  <w:style w:type="paragraph" w:customStyle="1" w:styleId="HMG">
    <w:name w:val="_ H __M_G"/>
    <w:basedOn w:val="Normal"/>
    <w:next w:val="Normal"/>
    <w:rsid w:val="00CD5807"/>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CD5807"/>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CD5807"/>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CD5807"/>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CD5807"/>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CD5807"/>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CD5807"/>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CD5807"/>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D5807"/>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D5807"/>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D5807"/>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CD5807"/>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CD5807"/>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D5807"/>
    <w:pPr>
      <w:numPr>
        <w:numId w:val="15"/>
      </w:numPr>
    </w:pPr>
  </w:style>
  <w:style w:type="numbering" w:styleId="111111">
    <w:name w:val="Outline List 2"/>
    <w:basedOn w:val="NoList"/>
    <w:semiHidden/>
    <w:rsid w:val="00CD5807"/>
    <w:pPr>
      <w:numPr>
        <w:numId w:val="11"/>
      </w:numPr>
    </w:pPr>
  </w:style>
  <w:style w:type="numbering" w:styleId="1ai">
    <w:name w:val="Outline List 1"/>
    <w:basedOn w:val="NoList"/>
    <w:semiHidden/>
    <w:rsid w:val="00CD5807"/>
    <w:pPr>
      <w:numPr>
        <w:numId w:val="6"/>
      </w:numPr>
    </w:pPr>
  </w:style>
  <w:style w:type="character" w:styleId="EndnoteReference">
    <w:name w:val="endnote reference"/>
    <w:aliases w:val="1_G"/>
    <w:rsid w:val="00CD5807"/>
    <w:rPr>
      <w:rFonts w:ascii="Times New Roman" w:hAnsi="Times New Roman"/>
      <w:sz w:val="18"/>
      <w:vertAlign w:val="superscript"/>
    </w:rPr>
  </w:style>
  <w:style w:type="paragraph" w:styleId="FootnoteText">
    <w:name w:val="footnote text"/>
    <w:aliases w:val="5_G"/>
    <w:basedOn w:val="Normal"/>
    <w:link w:val="FootnoteTextChar"/>
    <w:rsid w:val="00CD580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D5807"/>
    <w:rPr>
      <w:rFonts w:ascii="Times New Roman" w:hAnsi="Times New Roman" w:cs="Times New Roman"/>
      <w:sz w:val="18"/>
      <w:szCs w:val="20"/>
    </w:rPr>
  </w:style>
  <w:style w:type="paragraph" w:styleId="EndnoteText">
    <w:name w:val="endnote text"/>
    <w:aliases w:val="2_G"/>
    <w:basedOn w:val="FootnoteText"/>
    <w:link w:val="EndnoteTextChar"/>
    <w:rsid w:val="00CD5807"/>
  </w:style>
  <w:style w:type="character" w:customStyle="1" w:styleId="EndnoteTextChar">
    <w:name w:val="Endnote Text Char"/>
    <w:aliases w:val="2_G Char"/>
    <w:basedOn w:val="DefaultParagraphFont"/>
    <w:link w:val="EndnoteText"/>
    <w:rsid w:val="00CD5807"/>
    <w:rPr>
      <w:rFonts w:ascii="Times New Roman" w:hAnsi="Times New Roman" w:cs="Times New Roman"/>
      <w:sz w:val="18"/>
      <w:szCs w:val="20"/>
    </w:rPr>
  </w:style>
  <w:style w:type="character" w:styleId="FootnoteReference">
    <w:name w:val="footnote reference"/>
    <w:aliases w:val="4_G"/>
    <w:rsid w:val="00CD580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807"/>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D5807"/>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basedOn w:val="DefaultParagraphFont"/>
    <w:uiPriority w:val="99"/>
    <w:unhideWhenUsed/>
    <w:rsid w:val="005B2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296D-4F96-485F-94E6-23B4822F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ECE/TRANS/WP.15/AC.1/2020/21</vt:lpstr>
    </vt:vector>
  </TitlesOfParts>
  <Company>DCM</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ECE/TRANS/WP.15/AC.1/2020/21</dc:title>
  <dc:subject>2000083</dc:subject>
  <dc:creator>dm</dc:creator>
  <cp:keywords/>
  <dc:description/>
  <cp:lastModifiedBy>Christine Barrio-Champeau</cp:lastModifiedBy>
  <cp:revision>2</cp:revision>
  <dcterms:created xsi:type="dcterms:W3CDTF">2020-01-22T09:03:00Z</dcterms:created>
  <dcterms:modified xsi:type="dcterms:W3CDTF">2020-01-22T09:03:00Z</dcterms:modified>
</cp:coreProperties>
</file>