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E8020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060511" w14:textId="77777777" w:rsidR="002D5AAC" w:rsidRDefault="002D5AAC" w:rsidP="005E21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FD00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FC44CB" w14:textId="77777777" w:rsidR="002D5AAC" w:rsidRDefault="005E21F8" w:rsidP="005E21F8">
            <w:pPr>
              <w:jc w:val="right"/>
            </w:pPr>
            <w:r w:rsidRPr="005E21F8">
              <w:rPr>
                <w:sz w:val="40"/>
              </w:rPr>
              <w:t>ECE</w:t>
            </w:r>
            <w:r>
              <w:t>/TRANS/WP.15/AC.1/2020/1</w:t>
            </w:r>
          </w:p>
        </w:tc>
      </w:tr>
      <w:tr w:rsidR="002D5AAC" w:rsidRPr="008968A0" w14:paraId="3D34953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A3928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854212" wp14:editId="414459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39FF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03B271" w14:textId="77777777" w:rsidR="002D5AAC" w:rsidRDefault="005E21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E17CEF" w14:textId="77777777" w:rsidR="005E21F8" w:rsidRDefault="005E21F8" w:rsidP="005E21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6282952B" w14:textId="77777777" w:rsidR="005E21F8" w:rsidRDefault="005E21F8" w:rsidP="005E21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A1833D" w14:textId="77777777" w:rsidR="005E21F8" w:rsidRPr="008D53B6" w:rsidRDefault="005E21F8" w:rsidP="005E21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4D9249" w14:textId="77777777" w:rsidR="005E21F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F1C78C" w14:textId="77777777" w:rsidR="005E21F8" w:rsidRPr="007E558B" w:rsidRDefault="005E21F8" w:rsidP="005E21F8">
      <w:pPr>
        <w:spacing w:before="120"/>
        <w:rPr>
          <w:sz w:val="28"/>
          <w:szCs w:val="28"/>
        </w:rPr>
      </w:pPr>
      <w:r w:rsidRPr="001F356C">
        <w:rPr>
          <w:sz w:val="28"/>
          <w:szCs w:val="28"/>
        </w:rPr>
        <w:t>Комитет по внутреннему транспорту</w:t>
      </w:r>
    </w:p>
    <w:p w14:paraId="75811535" w14:textId="77777777" w:rsidR="005E21F8" w:rsidRPr="001F356C" w:rsidRDefault="005E21F8" w:rsidP="005E21F8">
      <w:pPr>
        <w:spacing w:before="120" w:after="120"/>
        <w:rPr>
          <w:b/>
          <w:sz w:val="24"/>
          <w:szCs w:val="24"/>
        </w:rPr>
      </w:pPr>
      <w:r w:rsidRPr="001F356C">
        <w:rPr>
          <w:b/>
          <w:bCs/>
          <w:sz w:val="24"/>
          <w:szCs w:val="24"/>
        </w:rPr>
        <w:t>Рабочая группа по перевозкам опасных грузов</w:t>
      </w:r>
    </w:p>
    <w:p w14:paraId="741779CD" w14:textId="77777777" w:rsidR="005E21F8" w:rsidRPr="001F356C" w:rsidRDefault="005E21F8" w:rsidP="005E21F8">
      <w:pPr>
        <w:rPr>
          <w:b/>
          <w:bCs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  <w:r>
        <w:rPr>
          <w:b/>
          <w:bCs/>
        </w:rPr>
        <w:br/>
      </w:r>
      <w:r>
        <w:t>Берн, 16–20 марта 2020 года</w:t>
      </w:r>
      <w:r>
        <w:br/>
        <w:t>Пункт 5 b) предварительной повестки дня</w:t>
      </w:r>
      <w:r>
        <w:br/>
      </w: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МПОГ/ДОПОГ/ВОПОГ:</w:t>
      </w:r>
      <w:r>
        <w:rPr>
          <w:b/>
          <w:bCs/>
        </w:rPr>
        <w:br/>
        <w:t>новые предложения</w:t>
      </w:r>
    </w:p>
    <w:p w14:paraId="43A8AEE0" w14:textId="77777777" w:rsidR="005E21F8" w:rsidRPr="001F356C" w:rsidRDefault="005E21F8" w:rsidP="005E21F8">
      <w:pPr>
        <w:pStyle w:val="HChG"/>
      </w:pPr>
      <w:r>
        <w:tab/>
      </w:r>
      <w:r>
        <w:tab/>
        <w:t>Периодические и промежуточные проверки цистерн, предназначенных для перевозки охлажденных</w:t>
      </w:r>
      <w:r>
        <w:br/>
        <w:t>сжиженных газов</w:t>
      </w:r>
    </w:p>
    <w:p w14:paraId="39499587" w14:textId="77777777" w:rsidR="005E21F8" w:rsidRDefault="005E21F8" w:rsidP="005E21F8">
      <w:pPr>
        <w:pStyle w:val="H1G"/>
        <w:rPr>
          <w:b w:val="0"/>
          <w:bCs/>
          <w:position w:val="4"/>
          <w:szCs w:val="18"/>
        </w:rPr>
      </w:pPr>
      <w:r>
        <w:tab/>
      </w:r>
      <w:r>
        <w:tab/>
        <w:t>Передано Европейской ассоциацией по промышленным</w:t>
      </w:r>
      <w:r>
        <w:br/>
        <w:t>газам (ЕАПГ)</w:t>
      </w:r>
      <w:r w:rsidRPr="005E21F8">
        <w:rPr>
          <w:rStyle w:val="FootnoteReference"/>
          <w:b w:val="0"/>
          <w:position w:val="4"/>
          <w:szCs w:val="18"/>
          <w:vertAlign w:val="baseline"/>
        </w:rPr>
        <w:footnoteReference w:customMarkFollows="1" w:id="1"/>
        <w:t>*</w:t>
      </w:r>
      <w:r w:rsidRPr="005E21F8">
        <w:rPr>
          <w:b w:val="0"/>
          <w:position w:val="4"/>
          <w:sz w:val="18"/>
          <w:szCs w:val="18"/>
        </w:rPr>
        <w:t xml:space="preserve"> </w:t>
      </w:r>
      <w:r w:rsidRPr="005E21F8">
        <w:rPr>
          <w:rStyle w:val="FootnoteReference"/>
          <w:b w:val="0"/>
          <w:bCs/>
          <w:position w:val="4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649"/>
        <w:gridCol w:w="5979"/>
      </w:tblGrid>
      <w:tr w:rsidR="005E21F8" w:rsidRPr="005E21F8" w14:paraId="54CA351D" w14:textId="77777777" w:rsidTr="005E21F8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56FA20D3" w14:textId="77777777" w:rsidR="005E21F8" w:rsidRPr="005E21F8" w:rsidRDefault="005E21F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E21F8">
              <w:rPr>
                <w:rFonts w:cs="Times New Roman"/>
              </w:rPr>
              <w:tab/>
            </w:r>
            <w:r w:rsidRPr="005E21F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E21F8" w:rsidRPr="005E21F8" w14:paraId="64FBD397" w14:textId="77777777" w:rsidTr="005E21F8">
        <w:trPr>
          <w:jc w:val="center"/>
        </w:trPr>
        <w:tc>
          <w:tcPr>
            <w:tcW w:w="36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647A0A" w14:textId="77777777" w:rsidR="005E21F8" w:rsidRPr="005E21F8" w:rsidRDefault="005E21F8" w:rsidP="005E21F8">
            <w:pPr>
              <w:pStyle w:val="SingleTxtG"/>
              <w:ind w:right="0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AD009" w14:textId="77777777" w:rsidR="005E21F8" w:rsidRPr="005E21F8" w:rsidRDefault="005E21F8" w:rsidP="005E21F8">
            <w:pPr>
              <w:pStyle w:val="SingleTxtG"/>
              <w:ind w:left="0"/>
            </w:pPr>
            <w:r>
              <w:t>На последнем Совместном совещании Комиссии экспертов МПОГ и Рабочей группы по перевозкам опасных грузов, которое состоялось в Женеве</w:t>
            </w:r>
            <w:r>
              <w:br/>
              <w:t>17–27 сентября 2019 года, правительство Франции представило неофициальный документ INF.27, касающийся толкования пункта 6.8.3.4.6 МПОГ/</w:t>
            </w:r>
            <w:r w:rsidRPr="005E21F8">
              <w:t xml:space="preserve"> </w:t>
            </w:r>
            <w:r>
              <w:t>ДОПОГ. Правительство Франция полагало, что первая промежуточная проверка должна проводиться через</w:t>
            </w:r>
            <w:r>
              <w:br/>
              <w:t>три года после первоначальной проверки, и предложило последующие поправки к пункту 6.8.3.4.6.</w:t>
            </w:r>
            <w:r>
              <w:br/>
              <w:t>Из-за недостатка времени обсудить INF.27 не удалось. ЕАПГ обобщила текущую практику своих членов: первая промежуточная проверка проводится через</w:t>
            </w:r>
            <w:r>
              <w:br/>
              <w:t>шесть лет после первой периодической проверки,</w:t>
            </w:r>
            <w:r>
              <w:br/>
              <w:t xml:space="preserve">а не через три года после первоначальной проверки. </w:t>
            </w:r>
            <w:r>
              <w:lastRenderedPageBreak/>
              <w:t>Насколько известно ЕАПГ, не поступало никаких сообщений о каких-либо инцидентах в связи с этой практикой, которая применяется в течение многих лет.</w:t>
            </w:r>
          </w:p>
        </w:tc>
      </w:tr>
      <w:tr w:rsidR="005E21F8" w:rsidRPr="005E21F8" w14:paraId="752ED7C1" w14:textId="77777777" w:rsidTr="005E21F8">
        <w:trPr>
          <w:jc w:val="center"/>
        </w:trPr>
        <w:tc>
          <w:tcPr>
            <w:tcW w:w="3649" w:type="dxa"/>
            <w:tcBorders>
              <w:top w:val="nil"/>
              <w:bottom w:val="nil"/>
              <w:right w:val="nil"/>
            </w:tcBorders>
          </w:tcPr>
          <w:p w14:paraId="2BF13E65" w14:textId="77777777" w:rsidR="005E21F8" w:rsidRPr="005E21F8" w:rsidRDefault="005E21F8" w:rsidP="005E21F8">
            <w:pPr>
              <w:pStyle w:val="SingleTxtG"/>
              <w:ind w:right="0"/>
            </w:pPr>
            <w:r>
              <w:rPr>
                <w:b/>
                <w:bCs/>
              </w:rPr>
              <w:lastRenderedPageBreak/>
              <w:t>Предлагаемое решение: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</w:tcBorders>
          </w:tcPr>
          <w:p w14:paraId="60F369CD" w14:textId="77777777" w:rsidR="005E21F8" w:rsidRPr="005E21F8" w:rsidRDefault="005E21F8" w:rsidP="005E21F8">
            <w:pPr>
              <w:pStyle w:val="SingleTxtG"/>
              <w:ind w:left="0"/>
            </w:pPr>
            <w:r>
              <w:t>Изменить текст пункта 6.8.3.4.6, с тем чтобы уточнить, что первая промежуточная проверка должна проводиться через шесть лет после первой периодической проверки.</w:t>
            </w:r>
          </w:p>
        </w:tc>
      </w:tr>
      <w:tr w:rsidR="005E21F8" w:rsidRPr="005E21F8" w14:paraId="0A53D7D6" w14:textId="77777777" w:rsidTr="005E21F8">
        <w:trPr>
          <w:jc w:val="center"/>
        </w:trPr>
        <w:tc>
          <w:tcPr>
            <w:tcW w:w="3649" w:type="dxa"/>
            <w:tcBorders>
              <w:top w:val="nil"/>
              <w:bottom w:val="nil"/>
              <w:right w:val="nil"/>
            </w:tcBorders>
          </w:tcPr>
          <w:p w14:paraId="2117F1BD" w14:textId="77777777" w:rsidR="005E21F8" w:rsidRPr="005E21F8" w:rsidRDefault="005E21F8" w:rsidP="005E21F8">
            <w:pPr>
              <w:pStyle w:val="SingleTxtG"/>
              <w:ind w:right="0"/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</w:tcBorders>
          </w:tcPr>
          <w:p w14:paraId="2EA1A56B" w14:textId="77777777" w:rsidR="005E21F8" w:rsidRPr="005E21F8" w:rsidRDefault="005E21F8" w:rsidP="005E21F8">
            <w:pPr>
              <w:pStyle w:val="SingleTxtG"/>
              <w:spacing w:after="0"/>
              <w:ind w:left="0"/>
            </w:pPr>
            <w:r>
              <w:t>Неофициальный документ INF.27 (Женева,</w:t>
            </w:r>
            <w:r>
              <w:br/>
              <w:t>17–27 сентября 2019 года)</w:t>
            </w:r>
          </w:p>
        </w:tc>
      </w:tr>
      <w:tr w:rsidR="005E21F8" w:rsidRPr="005E21F8" w14:paraId="08DDE4C3" w14:textId="77777777" w:rsidTr="005E21F8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4D8BD7AD" w14:textId="77777777" w:rsidR="005E21F8" w:rsidRPr="005E21F8" w:rsidRDefault="005E21F8" w:rsidP="00850215">
            <w:pPr>
              <w:rPr>
                <w:rFonts w:cs="Times New Roman"/>
              </w:rPr>
            </w:pPr>
          </w:p>
        </w:tc>
      </w:tr>
    </w:tbl>
    <w:p w14:paraId="439DC94F" w14:textId="77777777" w:rsidR="005E21F8" w:rsidRPr="001F356C" w:rsidRDefault="005E21F8" w:rsidP="00B14404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1740A595" w14:textId="77777777" w:rsidR="005E21F8" w:rsidRPr="001F356C" w:rsidRDefault="005E21F8" w:rsidP="005E21F8">
      <w:pPr>
        <w:pStyle w:val="SingleTxtG"/>
      </w:pPr>
      <w:r>
        <w:t>1.</w:t>
      </w:r>
      <w:r>
        <w:tab/>
        <w:t>В пункте 6.8.3.4.6 МПОГ/ДОПОГ установлена периодичность проведения периодических и промежуточных проверок цистерн, перевозящих охлажденные сжиженные газы.</w:t>
      </w:r>
    </w:p>
    <w:p w14:paraId="261CFC5A" w14:textId="77777777" w:rsidR="005E21F8" w:rsidRPr="001F356C" w:rsidRDefault="005E21F8" w:rsidP="005E21F8">
      <w:pPr>
        <w:pStyle w:val="SingleTxtG"/>
      </w:pPr>
      <w:r>
        <w:t>2.</w:t>
      </w:r>
      <w:r>
        <w:tab/>
        <w:t>Некоторые проблемы с толкованием, как представляется, связаны с формулировкой «в случае цистерн, предназначенных для перевозки охлажденных сжиженных газов», содержащейся в конце первого абзаца, о чем правительство Франции сообщило в INF.27 (Женева, 17–27 сентября 2019 года).</w:t>
      </w:r>
    </w:p>
    <w:p w14:paraId="4109DD84" w14:textId="77777777" w:rsidR="005E21F8" w:rsidRPr="001F356C" w:rsidRDefault="005E21F8" w:rsidP="005E21F8">
      <w:pPr>
        <w:pStyle w:val="SingleTxtG"/>
      </w:pPr>
      <w:r>
        <w:t>3.</w:t>
      </w:r>
      <w:r>
        <w:tab/>
        <w:t>На практике, насколько известно членам ЕАПГ, промежуточная проверка не проводится через три года после первоначальной проверки. Первая промежуточная проверка проводится через шесть лет после первой периодической проверки.</w:t>
      </w:r>
    </w:p>
    <w:p w14:paraId="3283DC1B" w14:textId="77777777" w:rsidR="005E21F8" w:rsidRPr="001F356C" w:rsidRDefault="005E21F8" w:rsidP="005E21F8">
      <w:pPr>
        <w:pStyle w:val="SingleTxtG"/>
      </w:pPr>
      <w:r>
        <w:t>4.</w:t>
      </w:r>
      <w:r>
        <w:tab/>
        <w:t>Во избежание любого неправильного толкования и для отражения текущей практики ЕАПГ предлагает заменить пункт 6.8.3.4.6 нижеследующим текстом.</w:t>
      </w:r>
    </w:p>
    <w:p w14:paraId="079FD8C5" w14:textId="77777777" w:rsidR="005E21F8" w:rsidRPr="001F356C" w:rsidRDefault="005E21F8" w:rsidP="00B14404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1A4BB2B1" w14:textId="77777777" w:rsidR="005E21F8" w:rsidRPr="001F356C" w:rsidRDefault="005E21F8" w:rsidP="005E21F8">
      <w:pPr>
        <w:pStyle w:val="SingleTxtG"/>
      </w:pPr>
      <w:r>
        <w:t>5.</w:t>
      </w:r>
      <w:r>
        <w:tab/>
        <w:t>Изменить пункт 6.8.3.4.6 МПОГ/ДОПОГ следующим образом [новый текст подчеркнут]:</w:t>
      </w:r>
    </w:p>
    <w:p w14:paraId="651301D2" w14:textId="77777777" w:rsidR="005E21F8" w:rsidRPr="001F356C" w:rsidRDefault="005E21F8" w:rsidP="005E21F8">
      <w:pPr>
        <w:pStyle w:val="SingleTxtG"/>
      </w:pPr>
      <w:r>
        <w:t>«6.8.3.4.6</w:t>
      </w:r>
      <w:r>
        <w:tab/>
        <w:t>В случае цистерн, предназначенных для перевозки охлажденных сжиженных газов:</w:t>
      </w:r>
    </w:p>
    <w:p w14:paraId="2539C71B" w14:textId="77777777" w:rsidR="005E21F8" w:rsidRPr="001F356C" w:rsidRDefault="005E21F8" w:rsidP="005E21F8">
      <w:pPr>
        <w:pStyle w:val="SingleTxtG"/>
        <w:ind w:left="1708" w:hanging="574"/>
      </w:pPr>
      <w:r w:rsidRPr="001F356C">
        <w:t>a)</w:t>
      </w:r>
      <w:r w:rsidRPr="001F356C">
        <w:tab/>
      </w:r>
      <w:r>
        <w:t xml:space="preserve">В отступление от требований пункта 6.8.2.4.2 периодические проверки должны проводиться: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830"/>
        <w:gridCol w:w="4998"/>
      </w:tblGrid>
      <w:tr w:rsidR="005E21F8" w:rsidRPr="0041719F" w14:paraId="24B6B022" w14:textId="77777777" w:rsidTr="00B14404">
        <w:tc>
          <w:tcPr>
            <w:tcW w:w="4830" w:type="dxa"/>
            <w:tcBorders>
              <w:right w:val="single" w:sz="4" w:space="0" w:color="auto"/>
            </w:tcBorders>
          </w:tcPr>
          <w:p w14:paraId="34982D47" w14:textId="77777777" w:rsidR="005E21F8" w:rsidRPr="001F356C" w:rsidRDefault="005E21F8" w:rsidP="000456AC">
            <w:pPr>
              <w:pStyle w:val="SingleTxtG"/>
              <w:ind w:left="1026" w:right="0"/>
              <w:rPr>
                <w:noProof/>
              </w:rPr>
            </w:pPr>
            <w:r>
              <w:t>по крайней мере после шести лет</w:t>
            </w:r>
          </w:p>
        </w:tc>
        <w:tc>
          <w:tcPr>
            <w:tcW w:w="4998" w:type="dxa"/>
            <w:tcBorders>
              <w:left w:val="single" w:sz="4" w:space="0" w:color="auto"/>
            </w:tcBorders>
          </w:tcPr>
          <w:p w14:paraId="4D0DC7CC" w14:textId="77777777" w:rsidR="005E21F8" w:rsidRPr="001F356C" w:rsidRDefault="005E21F8" w:rsidP="000456AC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left="1418" w:right="597" w:hanging="1418"/>
              <w:jc w:val="both"/>
              <w:rPr>
                <w:rFonts w:eastAsia="SimSun"/>
              </w:rPr>
            </w:pPr>
            <w:r>
              <w:t>по крайней мере после восьми лет</w:t>
            </w:r>
          </w:p>
        </w:tc>
      </w:tr>
    </w:tbl>
    <w:p w14:paraId="0F8FC5B9" w14:textId="77777777" w:rsidR="005E21F8" w:rsidRPr="001F356C" w:rsidRDefault="005E21F8" w:rsidP="005E21F8">
      <w:pPr>
        <w:pStyle w:val="SingleTxtG"/>
        <w:spacing w:after="200"/>
        <w:ind w:right="0"/>
      </w:pPr>
      <w:r>
        <w:t>эксплуатации, а затем по крайней мере каждые 12 лет.</w:t>
      </w:r>
    </w:p>
    <w:p w14:paraId="19A0F49E" w14:textId="3E0B9A39" w:rsidR="005E21F8" w:rsidRPr="001F356C" w:rsidRDefault="005E21F8" w:rsidP="005E21F8">
      <w:pPr>
        <w:pStyle w:val="SingleTxtG"/>
        <w:ind w:left="1494" w:right="0" w:hanging="360"/>
        <w:rPr>
          <w:bCs/>
          <w:iCs/>
        </w:rPr>
      </w:pPr>
      <w:r w:rsidRPr="001F356C">
        <w:rPr>
          <w:bCs/>
          <w:iCs/>
        </w:rPr>
        <w:t>b)</w:t>
      </w:r>
      <w:r w:rsidRPr="001F356C">
        <w:rPr>
          <w:bCs/>
          <w:iCs/>
        </w:rPr>
        <w:tab/>
      </w:r>
      <w:r w:rsidR="008968A0">
        <w:rPr>
          <w:bCs/>
          <w:iCs/>
        </w:rPr>
        <w:tab/>
      </w:r>
      <w:r>
        <w:t>В отступление от требований пункта 6.8.2.4.3</w:t>
      </w:r>
    </w:p>
    <w:tbl>
      <w:tblPr>
        <w:tblW w:w="0" w:type="auto"/>
        <w:tblInd w:w="1120" w:type="dxa"/>
        <w:tblLayout w:type="fixed"/>
        <w:tblLook w:val="01E0" w:firstRow="1" w:lastRow="1" w:firstColumn="1" w:lastColumn="1" w:noHBand="0" w:noVBand="0"/>
      </w:tblPr>
      <w:tblGrid>
        <w:gridCol w:w="3723"/>
        <w:gridCol w:w="3724"/>
      </w:tblGrid>
      <w:tr w:rsidR="005E21F8" w:rsidRPr="0041719F" w14:paraId="58ADFF7B" w14:textId="77777777" w:rsidTr="008968A0">
        <w:tc>
          <w:tcPr>
            <w:tcW w:w="3723" w:type="dxa"/>
            <w:tcBorders>
              <w:right w:val="single" w:sz="2" w:space="0" w:color="auto"/>
            </w:tcBorders>
            <w:tcMar>
              <w:left w:w="0" w:type="dxa"/>
            </w:tcMar>
          </w:tcPr>
          <w:p w14:paraId="4ED523E5" w14:textId="77777777" w:rsidR="005E21F8" w:rsidRPr="001F356C" w:rsidRDefault="005E21F8" w:rsidP="00B14404">
            <w:pPr>
              <w:pStyle w:val="SingleTxtG"/>
              <w:spacing w:after="0"/>
              <w:ind w:left="0" w:right="0"/>
              <w:rPr>
                <w:bCs/>
                <w:iCs/>
              </w:rPr>
            </w:pPr>
            <w:r w:rsidRPr="002F277A">
              <w:rPr>
                <w:u w:val="single"/>
              </w:rPr>
              <w:t>между любыми двумя последовательными периодическими проверками</w:t>
            </w:r>
            <w:r>
              <w:t xml:space="preserve"> по крайней мере через шесть лет после предыдущей периодической проверки должны проводиться промежуточные проверки в соответствии с пунктом 6.8.2.4.3.</w:t>
            </w:r>
          </w:p>
        </w:tc>
        <w:tc>
          <w:tcPr>
            <w:tcW w:w="3724" w:type="dxa"/>
            <w:tcBorders>
              <w:left w:val="single" w:sz="2" w:space="0" w:color="auto"/>
            </w:tcBorders>
            <w:tcMar>
              <w:right w:w="0" w:type="dxa"/>
            </w:tcMar>
          </w:tcPr>
          <w:p w14:paraId="61CEE181" w14:textId="56F3CC2E" w:rsidR="005E21F8" w:rsidRPr="001F356C" w:rsidRDefault="005E21F8" w:rsidP="008968A0">
            <w:pPr>
              <w:tabs>
                <w:tab w:val="left" w:pos="-1227"/>
                <w:tab w:val="left" w:pos="-883"/>
                <w:tab w:val="left" w:pos="397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jc w:val="both"/>
              <w:rPr>
                <w:rFonts w:eastAsia="SimSun"/>
              </w:rPr>
            </w:pPr>
            <w:r>
              <w:t>между любыми двумя последовательными периодическими проверками по требованию компетентного органа может проводиться испытание на герметичность или промежуточная проверка в соответствии</w:t>
            </w:r>
            <w:r w:rsidR="008968A0">
              <w:rPr>
                <w:lang w:val="en-US"/>
              </w:rPr>
              <w:t xml:space="preserve"> </w:t>
            </w:r>
            <w:r>
              <w:t>с пунктом 6.8.2.4.3.».</w:t>
            </w:r>
          </w:p>
        </w:tc>
      </w:tr>
    </w:tbl>
    <w:p w14:paraId="262F07EC" w14:textId="77777777" w:rsidR="005E21F8" w:rsidRPr="001F356C" w:rsidRDefault="005E21F8" w:rsidP="005E21F8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754FB456" w14:textId="77777777" w:rsidR="005E21F8" w:rsidRPr="001F356C" w:rsidRDefault="005E21F8" w:rsidP="005E21F8">
      <w:pPr>
        <w:pStyle w:val="SingleTxtG"/>
        <w:rPr>
          <w:rFonts w:eastAsia="SimSun"/>
        </w:rPr>
      </w:pPr>
      <w:r>
        <w:t>6.</w:t>
      </w:r>
      <w:r>
        <w:tab/>
        <w:t>Данное уточнение позволит продолжить нынешнюю практику, применяемую в течение многих лет без каких-либо последствий для безопасности. Это также позволит избежать нелогичного и ненужного переключения с шестилетнего на трехлетний интервал, что привело бы к ненужной путанице.</w:t>
      </w:r>
    </w:p>
    <w:p w14:paraId="0DC62BA6" w14:textId="77777777" w:rsidR="005E21F8" w:rsidRPr="001F356C" w:rsidRDefault="005E21F8" w:rsidP="005E21F8">
      <w:pPr>
        <w:spacing w:before="240"/>
        <w:jc w:val="center"/>
        <w:rPr>
          <w:u w:val="single"/>
        </w:rPr>
      </w:pPr>
      <w:r w:rsidRPr="001F356C">
        <w:rPr>
          <w:u w:val="single"/>
        </w:rPr>
        <w:tab/>
      </w:r>
      <w:r w:rsidRPr="001F356C">
        <w:rPr>
          <w:u w:val="single"/>
        </w:rPr>
        <w:tab/>
      </w:r>
      <w:r w:rsidRPr="001F356C">
        <w:rPr>
          <w:u w:val="single"/>
        </w:rPr>
        <w:tab/>
      </w:r>
    </w:p>
    <w:sectPr w:rsidR="005E21F8" w:rsidRPr="001F356C" w:rsidSect="005E21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C628" w14:textId="77777777" w:rsidR="006C2FB5" w:rsidRPr="00A312BC" w:rsidRDefault="006C2FB5" w:rsidP="00A312BC"/>
  </w:endnote>
  <w:endnote w:type="continuationSeparator" w:id="0">
    <w:p w14:paraId="32025C93" w14:textId="77777777" w:rsidR="006C2FB5" w:rsidRPr="00A312BC" w:rsidRDefault="006C2F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BD6E" w14:textId="48399B15" w:rsidR="005E21F8" w:rsidRPr="005E21F8" w:rsidRDefault="005E21F8">
    <w:pPr>
      <w:pStyle w:val="Footer"/>
    </w:pPr>
    <w:r w:rsidRPr="005E21F8">
      <w:rPr>
        <w:b/>
        <w:sz w:val="18"/>
      </w:rPr>
      <w:fldChar w:fldCharType="begin"/>
    </w:r>
    <w:r w:rsidRPr="005E21F8">
      <w:rPr>
        <w:b/>
        <w:sz w:val="18"/>
      </w:rPr>
      <w:instrText xml:space="preserve"> PAGE  \* MERGEFORMAT </w:instrText>
    </w:r>
    <w:r w:rsidRPr="005E21F8">
      <w:rPr>
        <w:b/>
        <w:sz w:val="18"/>
      </w:rPr>
      <w:fldChar w:fldCharType="separate"/>
    </w:r>
    <w:r w:rsidR="002F1A15">
      <w:rPr>
        <w:b/>
        <w:noProof/>
        <w:sz w:val="18"/>
      </w:rPr>
      <w:t>2</w:t>
    </w:r>
    <w:r w:rsidRPr="005E21F8">
      <w:rPr>
        <w:b/>
        <w:sz w:val="18"/>
      </w:rPr>
      <w:fldChar w:fldCharType="end"/>
    </w:r>
    <w:r>
      <w:rPr>
        <w:b/>
        <w:sz w:val="18"/>
      </w:rPr>
      <w:tab/>
    </w:r>
    <w:r>
      <w:t>GE.19-21799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33A3" w14:textId="3191C1D8" w:rsidR="005E21F8" w:rsidRPr="005E21F8" w:rsidRDefault="005E21F8" w:rsidP="005E21F8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GE.19-21799</w:t>
    </w:r>
    <w:r>
      <w:tab/>
    </w:r>
    <w:r w:rsidRPr="005E21F8">
      <w:rPr>
        <w:b/>
        <w:sz w:val="18"/>
      </w:rPr>
      <w:fldChar w:fldCharType="begin"/>
    </w:r>
    <w:r w:rsidRPr="005E21F8">
      <w:rPr>
        <w:b/>
        <w:sz w:val="18"/>
      </w:rPr>
      <w:instrText xml:space="preserve"> PAGE  \* MERGEFORMAT </w:instrText>
    </w:r>
    <w:r w:rsidRPr="005E21F8">
      <w:rPr>
        <w:b/>
        <w:sz w:val="18"/>
      </w:rPr>
      <w:fldChar w:fldCharType="separate"/>
    </w:r>
    <w:r w:rsidR="002F1A15">
      <w:rPr>
        <w:b/>
        <w:noProof/>
        <w:sz w:val="18"/>
      </w:rPr>
      <w:t>3</w:t>
    </w:r>
    <w:r w:rsidRPr="005E21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E820" w14:textId="77777777" w:rsidR="00042B72" w:rsidRPr="005E21F8" w:rsidRDefault="005E21F8" w:rsidP="005E21F8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949584E" wp14:editId="5DCD66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19-21799  (R)</w:t>
    </w:r>
    <w:r>
      <w:rPr>
        <w:lang w:val="en-US"/>
      </w:rPr>
      <w:t xml:space="preserve">  020120  030120</w:t>
    </w:r>
    <w:r>
      <w:br/>
    </w:r>
    <w:r w:rsidRPr="005E21F8">
      <w:rPr>
        <w:rFonts w:ascii="C39T30Lfz" w:hAnsi="C39T30Lfz"/>
        <w:kern w:val="14"/>
        <w:sz w:val="56"/>
      </w:rPr>
      <w:t></w:t>
    </w:r>
    <w:r w:rsidRPr="005E21F8">
      <w:rPr>
        <w:rFonts w:ascii="C39T30Lfz" w:hAnsi="C39T30Lfz"/>
        <w:kern w:val="14"/>
        <w:sz w:val="56"/>
      </w:rPr>
      <w:t></w:t>
    </w:r>
    <w:r w:rsidRPr="005E21F8">
      <w:rPr>
        <w:rFonts w:ascii="C39T30Lfz" w:hAnsi="C39T30Lfz"/>
        <w:kern w:val="14"/>
        <w:sz w:val="56"/>
      </w:rPr>
      <w:t></w:t>
    </w:r>
    <w:r w:rsidRPr="005E21F8">
      <w:rPr>
        <w:rFonts w:ascii="C39T30Lfz" w:hAnsi="C39T30Lfz"/>
        <w:kern w:val="14"/>
        <w:sz w:val="56"/>
      </w:rPr>
      <w:t></w:t>
    </w:r>
    <w:r w:rsidRPr="005E21F8">
      <w:rPr>
        <w:rFonts w:ascii="C39T30Lfz" w:hAnsi="C39T30Lfz"/>
        <w:kern w:val="14"/>
        <w:sz w:val="56"/>
      </w:rPr>
      <w:t></w:t>
    </w:r>
    <w:r w:rsidRPr="005E21F8">
      <w:rPr>
        <w:rFonts w:ascii="C39T30Lfz" w:hAnsi="C39T30Lfz"/>
        <w:kern w:val="14"/>
        <w:sz w:val="56"/>
      </w:rPr>
      <w:t></w:t>
    </w:r>
    <w:r w:rsidRPr="005E21F8">
      <w:rPr>
        <w:rFonts w:ascii="C39T30Lfz" w:hAnsi="C39T30Lfz"/>
        <w:kern w:val="14"/>
        <w:sz w:val="56"/>
      </w:rPr>
      <w:t></w:t>
    </w:r>
    <w:r w:rsidRPr="005E21F8">
      <w:rPr>
        <w:rFonts w:ascii="C39T30Lfz" w:hAnsi="C39T30Lfz"/>
        <w:kern w:val="14"/>
        <w:sz w:val="56"/>
      </w:rPr>
      <w:t></w:t>
    </w:r>
    <w:r w:rsidRPr="005E21F8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58E661" wp14:editId="218B00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2E63" w14:textId="77777777" w:rsidR="006C2FB5" w:rsidRPr="001075E9" w:rsidRDefault="006C2F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FF713C" w14:textId="77777777" w:rsidR="006C2FB5" w:rsidRDefault="006C2F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9403D0" w14:textId="77777777" w:rsidR="005E21F8" w:rsidRPr="001F356C" w:rsidRDefault="005E21F8" w:rsidP="005E21F8">
      <w:pPr>
        <w:pStyle w:val="FootnoteText"/>
        <w:rPr>
          <w:sz w:val="20"/>
        </w:rPr>
      </w:pPr>
      <w:r>
        <w:tab/>
      </w:r>
      <w:r w:rsidRPr="005E21F8"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0563277F" w14:textId="77777777" w:rsidR="005E21F8" w:rsidRPr="001F356C" w:rsidRDefault="005E21F8" w:rsidP="005E21F8">
      <w:pPr>
        <w:pStyle w:val="FootnoteText"/>
        <w:spacing w:after="240"/>
        <w:rPr>
          <w:sz w:val="20"/>
        </w:rPr>
      </w:pPr>
      <w:r>
        <w:tab/>
      </w:r>
      <w:r w:rsidRPr="005E21F8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62D9" w14:textId="0997E5D7" w:rsidR="005E21F8" w:rsidRPr="005E21F8" w:rsidRDefault="00F209D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F1A15">
      <w:t>ECE/TRANS/WP.15/AC.1/2020/1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963C" w14:textId="2FCC4DB8" w:rsidR="005E21F8" w:rsidRPr="005E21F8" w:rsidRDefault="00F209D9" w:rsidP="005E21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1A15">
      <w:t>ECE/TRANS/WP.15/AC.1/2020/1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41DFD"/>
    <w:multiLevelType w:val="hybridMultilevel"/>
    <w:tmpl w:val="75E07E80"/>
    <w:lvl w:ilvl="0" w:tplc="909C25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A15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509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1F8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2FB5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68A0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1F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440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09D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5BAB1"/>
  <w15:docId w15:val="{2CAC72EC-2469-414C-B814-F5B2CAB1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E21F8"/>
    <w:rPr>
      <w:lang w:val="ru-RU" w:eastAsia="en-US"/>
    </w:rPr>
  </w:style>
  <w:style w:type="character" w:customStyle="1" w:styleId="HChGChar">
    <w:name w:val="_ H _Ch_G Char"/>
    <w:link w:val="HChG"/>
    <w:rsid w:val="005E21F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</vt:lpstr>
      <vt:lpstr>ECE/TRANS/WP.15/AC.1/2020/1</vt:lpstr>
      <vt:lpstr>A/</vt:lpstr>
    </vt:vector>
  </TitlesOfParts>
  <Company>DCM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</dc:title>
  <dc:subject/>
  <dc:creator>Anna KISSELEVA</dc:creator>
  <cp:keywords/>
  <cp:lastModifiedBy>Christine Barrio-Champeau</cp:lastModifiedBy>
  <cp:revision>2</cp:revision>
  <cp:lastPrinted>2020-01-03T09:49:00Z</cp:lastPrinted>
  <dcterms:created xsi:type="dcterms:W3CDTF">2020-01-14T15:02:00Z</dcterms:created>
  <dcterms:modified xsi:type="dcterms:W3CDTF">2020-01-14T15:02:00Z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