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0F0DC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D5B3AA" w14:textId="77777777" w:rsidR="002D5AAC" w:rsidRDefault="002D5AAC" w:rsidP="000528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5A33B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7E9461" w14:textId="77777777" w:rsidR="002D5AAC" w:rsidRDefault="0005282A" w:rsidP="0005282A">
            <w:pPr>
              <w:jc w:val="right"/>
            </w:pPr>
            <w:r w:rsidRPr="0005282A">
              <w:rPr>
                <w:sz w:val="40"/>
              </w:rPr>
              <w:t>ECE</w:t>
            </w:r>
            <w:r>
              <w:t>/TRANS/WP.15/AC.1/2020/19</w:t>
            </w:r>
          </w:p>
        </w:tc>
      </w:tr>
      <w:tr w:rsidR="002D5AAC" w:rsidRPr="00F067B2" w14:paraId="288B3E0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8F67A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DA71AF" wp14:editId="23480C6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88308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4BABA74" w14:textId="77777777" w:rsidR="002D5AAC" w:rsidRDefault="000528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8FE74E" w14:textId="77777777" w:rsidR="0005282A" w:rsidRDefault="0005282A" w:rsidP="000528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January 2020</w:t>
            </w:r>
          </w:p>
          <w:p w14:paraId="2DA97C25" w14:textId="77777777" w:rsidR="0005282A" w:rsidRDefault="0005282A" w:rsidP="000528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0C64FE" w14:textId="77777777" w:rsidR="0005282A" w:rsidRPr="008D53B6" w:rsidRDefault="0005282A" w:rsidP="000528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0D7D057" w14:textId="77777777" w:rsidR="0005282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6050C0" w14:textId="77777777" w:rsidR="0005282A" w:rsidRPr="00DB03E9" w:rsidRDefault="0005282A" w:rsidP="0005282A">
      <w:pPr>
        <w:spacing w:before="120"/>
        <w:rPr>
          <w:sz w:val="28"/>
          <w:szCs w:val="28"/>
        </w:rPr>
      </w:pPr>
      <w:r w:rsidRPr="00DB03E9">
        <w:rPr>
          <w:sz w:val="28"/>
          <w:szCs w:val="28"/>
        </w:rPr>
        <w:t>Комитет по внутреннему транспорту</w:t>
      </w:r>
    </w:p>
    <w:p w14:paraId="7406C9F6" w14:textId="77777777" w:rsidR="0005282A" w:rsidRPr="00DB03E9" w:rsidRDefault="0005282A" w:rsidP="0005282A">
      <w:pPr>
        <w:spacing w:before="120"/>
        <w:rPr>
          <w:b/>
          <w:sz w:val="24"/>
          <w:szCs w:val="24"/>
        </w:rPr>
      </w:pPr>
      <w:r w:rsidRPr="00DB03E9">
        <w:rPr>
          <w:b/>
          <w:bCs/>
          <w:sz w:val="24"/>
          <w:szCs w:val="24"/>
        </w:rPr>
        <w:t>Рабочая группа по перевозкам опасных грузов</w:t>
      </w:r>
    </w:p>
    <w:p w14:paraId="437EE39E" w14:textId="77777777" w:rsidR="0005282A" w:rsidRPr="00DB03E9" w:rsidRDefault="0005282A" w:rsidP="0005282A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75EF0AF9" w14:textId="77777777" w:rsidR="0005282A" w:rsidRPr="00DB03E9" w:rsidRDefault="0005282A" w:rsidP="0005282A">
      <w:pPr>
        <w:spacing w:line="276" w:lineRule="auto"/>
      </w:pPr>
      <w:r>
        <w:t>Берн, 16–20 марта 2020 года</w:t>
      </w:r>
    </w:p>
    <w:p w14:paraId="6E84E5D8" w14:textId="77777777" w:rsidR="0005282A" w:rsidRPr="00DB03E9" w:rsidRDefault="0005282A" w:rsidP="0005282A">
      <w:pPr>
        <w:spacing w:line="276" w:lineRule="auto"/>
      </w:pPr>
      <w:r>
        <w:t>Пункт 2 предварительной повестки дня</w:t>
      </w:r>
    </w:p>
    <w:p w14:paraId="7B72852E" w14:textId="77777777" w:rsidR="0005282A" w:rsidRPr="00DB03E9" w:rsidRDefault="0005282A" w:rsidP="0005282A">
      <w:pPr>
        <w:rPr>
          <w:b/>
          <w:bCs/>
        </w:rPr>
      </w:pPr>
      <w:r>
        <w:rPr>
          <w:b/>
          <w:bCs/>
        </w:rPr>
        <w:t>Цистерны</w:t>
      </w:r>
    </w:p>
    <w:p w14:paraId="736C1D55" w14:textId="77777777" w:rsidR="0005282A" w:rsidRPr="00DB03E9" w:rsidRDefault="0005282A" w:rsidP="0005282A">
      <w:pPr>
        <w:pStyle w:val="HChG"/>
        <w:tabs>
          <w:tab w:val="clear" w:pos="851"/>
        </w:tabs>
        <w:spacing w:after="0"/>
        <w:ind w:firstLine="0"/>
      </w:pPr>
      <w:r>
        <w:rPr>
          <w:bCs/>
        </w:rPr>
        <w:t>Доклад о работе тринадцатого совещания неофициальной рабочей группы по проверке и</w:t>
      </w:r>
      <w:r>
        <w:rPr>
          <w:bCs/>
          <w:lang w:val="en-US"/>
        </w:rPr>
        <w:t> </w:t>
      </w:r>
      <w:r>
        <w:rPr>
          <w:bCs/>
        </w:rPr>
        <w:t>утверждению цистерн</w:t>
      </w:r>
    </w:p>
    <w:p w14:paraId="15AE4E2D" w14:textId="77777777" w:rsidR="0005282A" w:rsidRPr="00DB03E9" w:rsidRDefault="0005282A" w:rsidP="0005282A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  <w:r w:rsidRPr="0005282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05282A">
        <w:rPr>
          <w:b w:val="0"/>
          <w:sz w:val="20"/>
        </w:rPr>
        <w:t xml:space="preserve"> </w:t>
      </w:r>
      <w:r w:rsidRPr="0005282A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5AF9D768" w14:textId="77777777" w:rsidR="0005282A" w:rsidRPr="00DB03E9" w:rsidRDefault="0005282A" w:rsidP="0005282A">
      <w:pPr>
        <w:pStyle w:val="SingleTxtG"/>
      </w:pPr>
      <w:r>
        <w:t>1.</w:t>
      </w:r>
      <w:r>
        <w:tab/>
        <w:t xml:space="preserve">Неофициальная рабочая группа по проверке и </w:t>
      </w:r>
      <w:r w:rsidRPr="0005282A">
        <w:t>утверждению</w:t>
      </w:r>
      <w:r>
        <w:t xml:space="preserve"> цистерн провела свое тринадцатое совещание 11–13 декабря 2019 года в Лондоне под председательством г-на Стива Джиллингема (Соединенное Королевство). В работе совещания приняли участие представители Австрии, Бельгии, Германии, Испании, Нидерландов, Польши, Румынии, Соединенного Королевства, Турции, Финляндии, Франции, Швейцарии</w:t>
      </w:r>
      <w:r>
        <w:rPr>
          <w:b/>
          <w:bCs/>
        </w:rPr>
        <w:t xml:space="preserve"> </w:t>
      </w:r>
      <w:r>
        <w:t>и Европейской ассоциации по промышленным газам (ЕАПГ). Извинения были получены от представителей Европейской комиссии, Люксембурга, Международной организации производителей контейнеров-цистерн (МОКЦ), Международного союза владельцев грузовых вагонов (МСАГВ), Норвегии и Швеции.</w:t>
      </w:r>
    </w:p>
    <w:p w14:paraId="3DC9A06D" w14:textId="77777777" w:rsidR="0005282A" w:rsidRPr="00DB03E9" w:rsidRDefault="0005282A" w:rsidP="0005282A">
      <w:pPr>
        <w:pStyle w:val="SingleTxtG"/>
      </w:pPr>
      <w:r>
        <w:t>2.</w:t>
      </w:r>
      <w:r>
        <w:tab/>
        <w:t>Председатель отметил итоги сессии Совместного совещания, состоявшейся в сентябре 2019 года в Женеве, на которой на основе полного набора предложений, содержащегося в документах ECE/TRANS/WP.15/AC.1/2019/GE/INF.19r1e и INF.16r1e, по разделам 1.8.6, 1.8.7 и соответствующим разделам глав 6.8 и 6.2 в отношении административного контроля и процедур оценки соответствия, сертификации официального утверждения типа и проверок, было решено, что неофициальная рабочая группа рассмотрит письменные замечания и материалы, касающиеся взаимного признания проверяющих органов, процесса проверки и утверждения эквивалентных национальных систем для утверждения проверяющих органов, а также переходных мер для этих предложений, с тем чтобы можно было завершить работу над поправками для их рассмотрения на весенней сессии Совместного совещания 2020 года с целью включения поправок в издания МПОГ/ДОПОГ 2021 года.</w:t>
      </w:r>
    </w:p>
    <w:p w14:paraId="7B1C41CC" w14:textId="77777777" w:rsidR="0005282A" w:rsidRPr="00DB03E9" w:rsidRDefault="0005282A" w:rsidP="0005282A">
      <w:pPr>
        <w:pStyle w:val="SingleTxtG"/>
      </w:pPr>
      <w:r>
        <w:rPr>
          <w:noProof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74494C" wp14:editId="382CE511">
                <wp:simplePos x="0" y="0"/>
                <wp:positionH relativeFrom="column">
                  <wp:posOffset>9052560</wp:posOffset>
                </wp:positionH>
                <wp:positionV relativeFrom="paragraph">
                  <wp:posOffset>450215</wp:posOffset>
                </wp:positionV>
                <wp:extent cx="31910" cy="360"/>
                <wp:effectExtent l="38100" t="38100" r="4445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91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A250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712.3pt;margin-top:34.95pt;width:3.4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">
                <v:imagedata r:id="rId9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D5C8BC7" wp14:editId="526B1986">
                <wp:simplePos x="0" y="0"/>
                <wp:positionH relativeFrom="column">
                  <wp:posOffset>9026950</wp:posOffset>
                </wp:positionH>
                <wp:positionV relativeFrom="paragraph">
                  <wp:posOffset>316845</wp:posOffset>
                </wp:positionV>
                <wp:extent cx="240" cy="240"/>
                <wp:effectExtent l="38100" t="38100" r="38100" b="3810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E20AB0" id="Ink 29" o:spid="_x0000_s1026" type="#_x0000_t75" style="position:absolute;margin-left:710.5pt;margin-top:24.65pt;width:.6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">
                <v:imagedata r:id="rId11" o:title="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1BF076A" wp14:editId="488C5043">
                <wp:simplePos x="0" y="0"/>
                <wp:positionH relativeFrom="column">
                  <wp:posOffset>9058870</wp:posOffset>
                </wp:positionH>
                <wp:positionV relativeFrom="paragraph">
                  <wp:posOffset>431085</wp:posOffset>
                </wp:positionV>
                <wp:extent cx="240" cy="6480"/>
                <wp:effectExtent l="38100" t="38100" r="38100" b="508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94D2D" id="Ink 28" o:spid="_x0000_s1026" type="#_x0000_t75" style="position:absolute;margin-left:713pt;margin-top:33.65pt;width:.6pt;height: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">
                <v:imagedata r:id="rId13" o:title=""/>
              </v:shape>
            </w:pict>
          </mc:Fallback>
        </mc:AlternateContent>
      </w:r>
      <w:r>
        <w:t>3.</w:t>
      </w:r>
      <w:r>
        <w:tab/>
        <w:t>Председатель поблагодарил участников за их работу над документами ECE/</w:t>
      </w:r>
      <w:r w:rsidR="004F53CE">
        <w:br/>
      </w:r>
      <w:r>
        <w:t>TRANS/WP.15/AC.1/2019/GE/INF.19r1e и INF.16r1e и отметил представленные неофициальной рабочей группе</w:t>
      </w:r>
      <w:r w:rsidRPr="00442C36">
        <w:t xml:space="preserve"> </w:t>
      </w:r>
      <w:r>
        <w:t>документы по взаимному признанию (Нидерланды), эквивалентным национальным системам (Австрия), переходным мерам (Дания и Нидерланды), предэксплуатационной проверке (Бельгия, МОКЦ и постоянная рабочая группа Комиссии экспертов МПОГ), а также различные документы, содержащие замечания (Бельгия, Германия, Республика Ирландия, Финляндия, Франция, Швейцария, Швеция, Европейская комиссия и ЕАПГ).</w:t>
      </w:r>
    </w:p>
    <w:p w14:paraId="061524E7" w14:textId="77777777" w:rsidR="0005282A" w:rsidRPr="00434738" w:rsidRDefault="00434738" w:rsidP="00434738">
      <w:pPr>
        <w:pStyle w:val="H4G"/>
        <w:rPr>
          <w:b/>
        </w:rPr>
      </w:pPr>
      <w:r>
        <w:tab/>
      </w:r>
      <w:r>
        <w:tab/>
      </w:r>
      <w:r w:rsidR="0005282A" w:rsidRPr="00434738">
        <w:rPr>
          <w:b/>
        </w:rPr>
        <w:t xml:space="preserve">Назначение проверяющих органов, контроль и мониторинг их деятельности </w:t>
      </w:r>
    </w:p>
    <w:p w14:paraId="743553B5" w14:textId="77777777" w:rsidR="0005282A" w:rsidRPr="00B97F09" w:rsidRDefault="0005282A" w:rsidP="0005282A">
      <w:pPr>
        <w:pStyle w:val="SingleTxtG"/>
      </w:pPr>
      <w:r>
        <w:t>4.</w:t>
      </w:r>
      <w:r>
        <w:tab/>
        <w:t>Группа рассмотрела пункт 1.8.6.2.5.3, касающийся взаимного признания проверяющих органов, на основе дискуссионного документа Нидерландов и подтвердила, что после утверждения одним компетентным органом проверяющий орган может быть признан другим компетентным органом. В таких случаях компетентные органы публикуют в списке данные об указанном проверяющем органе и сведения о видах деятельности, для которых он утвержден/признан. Если в будущем утверждение будет отозвано или его действие будет приостановлено, то признание утратит свою силу. В примечании, содержащемся в предложениях, уже четко указано, что соглашения о взаимном признании между такими странами, как государства – члены Европейского союза, должны соблюдаться.</w:t>
      </w:r>
    </w:p>
    <w:p w14:paraId="3CD943E2" w14:textId="77777777" w:rsidR="0005282A" w:rsidRPr="00DB03E9" w:rsidRDefault="0005282A" w:rsidP="0005282A">
      <w:pPr>
        <w:pStyle w:val="SingleTxtG"/>
      </w:pPr>
      <w:r>
        <w:t>5.</w:t>
      </w:r>
      <w:r>
        <w:tab/>
        <w:t xml:space="preserve">Предложения по пункту 1.8.6.2.1 требуют, чтобы компетентные органы основывали утверждение проверяющих органов на аккредитации в соответствии </w:t>
      </w:r>
      <w:r w:rsidR="004F53CE">
        <w:br/>
      </w:r>
      <w:r>
        <w:t>с EN ISO/IEC 17020:2012 (за исключением пункта 8.1.3), тип А, как это предусмотрено в специальных положениях ТА4 и ТТ9 раздела 6.8.4 (или тип В, как это предусмотрено в случае утверждения для проведения периодических проверок сосудов в соответствии с главой 6.2). В качестве альтернативы компетентные органы могут основывать такое утверждение на эквивалентной национальной системе, утвержденной Комиссией экспертов МПОГ/Рабочей группой по перевозкам опасных грузов. Процесс, посредством которого такие системы могут быть проверены и утверждены на основе системы, используемой для признания классификационных обществ согласно главе</w:t>
      </w:r>
      <w:r w:rsidR="00434738">
        <w:rPr>
          <w:lang w:val="en-US"/>
        </w:rPr>
        <w:t> </w:t>
      </w:r>
      <w:r>
        <w:t>1.15 ВОПОГ, был представлен Австрией и в принципе получил поддержку в ожидании подробного рассмотрения, которое было отложено до Совместного совещания в Берне в марте 2020 года. Для справки указанный процесс включен в приложение I к настоящему докладу.</w:t>
      </w:r>
    </w:p>
    <w:p w14:paraId="760E1C20" w14:textId="77777777" w:rsidR="0005282A" w:rsidRPr="00DB03E9" w:rsidRDefault="0005282A" w:rsidP="0005282A">
      <w:pPr>
        <w:pStyle w:val="SingleTxtG"/>
      </w:pPr>
      <w:r>
        <w:t>6.</w:t>
      </w:r>
      <w:r>
        <w:tab/>
        <w:t>Группа рассмотрела различные оставшиеся замечания по разделу 1.8.6, за исключением озабоченностей, высказанных в связи с предложениями разрешить проведение проверок только органами типа А, которые, как было сочтено, лучше всего было бы рассмотреть на Совместном совещании в марте.</w:t>
      </w:r>
    </w:p>
    <w:p w14:paraId="1659EE77" w14:textId="77777777" w:rsidR="0005282A" w:rsidRPr="00434738" w:rsidRDefault="00434738" w:rsidP="00434738">
      <w:pPr>
        <w:pStyle w:val="H4G"/>
        <w:rPr>
          <w:b/>
        </w:rPr>
      </w:pPr>
      <w:r>
        <w:tab/>
      </w:r>
      <w:r>
        <w:tab/>
      </w:r>
      <w:r w:rsidR="0005282A" w:rsidRPr="00434738">
        <w:rPr>
          <w:b/>
        </w:rPr>
        <w:t xml:space="preserve">Согласование процедур оценки и проверки </w:t>
      </w:r>
    </w:p>
    <w:p w14:paraId="131E0202" w14:textId="77777777" w:rsidR="0005282A" w:rsidRPr="00B97F09" w:rsidRDefault="0005282A" w:rsidP="0005282A">
      <w:pPr>
        <w:pStyle w:val="SingleTxtG"/>
      </w:pPr>
      <w:r>
        <w:t>7.</w:t>
      </w:r>
      <w:r>
        <w:tab/>
        <w:t>В рамках пункта 6.8.1.5.5 группа в ответ на замечания из различных источников рассмотрела вопрос о применении и сфере охвата предэксплуатационной проверки. Как предлагается, компетентный орган страны первой регистрации или страны, в которую передается цистерна, может потребовать проведения предэксплуатационной проверки цистерны проверяющим органом. Это может быть сделано на основании подозрений, возникающих в связи с административной проверкой документации на цистерну или в связи с рыночной информацией, полученной в ходе проверок цистерн или деятельности по наблюдению. В</w:t>
      </w:r>
      <w:r w:rsidR="00434738">
        <w:rPr>
          <w:lang w:val="en-US"/>
        </w:rPr>
        <w:t> </w:t>
      </w:r>
      <w:r>
        <w:t>примечании, содержащемся в предложениях, уже четко указано, что соглашения о взаимном признании между такими странами, как государства – члены Европейского союза, должны соблюдаться. В ходе дискуссии было признано, что предэксплуатационная проверка может не подходить для некоторых секторов, таких как контейнеры-цистерны и вагоны-цистерны, но также было отмечено и то, что в любом случае такая проверка не является обязательным требованием. Таким образом, она в принципе не должна создавать трудностей на практике. С учетом источников замечаний было решено отложить дальнейшее обсуждение до Совместного совещания в марте.</w:t>
      </w:r>
    </w:p>
    <w:p w14:paraId="013FB1BD" w14:textId="77777777" w:rsidR="0005282A" w:rsidRPr="00DB03E9" w:rsidRDefault="0005282A" w:rsidP="0005282A">
      <w:pPr>
        <w:pStyle w:val="SingleTxtG"/>
      </w:pPr>
      <w:r>
        <w:lastRenderedPageBreak/>
        <w:t>8.</w:t>
      </w:r>
      <w:r>
        <w:tab/>
        <w:t xml:space="preserve">Группа рассмотрела различные оставшиеся замечания по главам 6.8 и 6.2. </w:t>
      </w:r>
      <w:r w:rsidR="00434738">
        <w:br/>
      </w:r>
      <w:r>
        <w:t>Из-за нехватки времени было решено отложить обсуждение различных оставшихся замечаний по разделу 1.8.7 до Совместного совещания в марте, когда на рассмотрение Рабочей группы по цистернам будет представлен неофициальный документ, обобщающий эти замечания.</w:t>
      </w:r>
    </w:p>
    <w:p w14:paraId="03925D2E" w14:textId="77777777" w:rsidR="0005282A" w:rsidRPr="00434738" w:rsidRDefault="00434738" w:rsidP="00434738">
      <w:pPr>
        <w:pStyle w:val="H4G"/>
        <w:rPr>
          <w:b/>
        </w:rPr>
      </w:pPr>
      <w:r>
        <w:tab/>
      </w:r>
      <w:r w:rsidRPr="00434738">
        <w:rPr>
          <w:b/>
        </w:rPr>
        <w:tab/>
      </w:r>
      <w:r w:rsidR="0005282A" w:rsidRPr="00434738">
        <w:rPr>
          <w:b/>
        </w:rPr>
        <w:t>Переходные меры</w:t>
      </w:r>
    </w:p>
    <w:p w14:paraId="210D660F" w14:textId="61483ECB" w:rsidR="0005282A" w:rsidRPr="00DB03E9" w:rsidRDefault="0005282A" w:rsidP="0005282A">
      <w:pPr>
        <w:pStyle w:val="SingleTxtG"/>
        <w:rPr>
          <w:color w:val="000000" w:themeColor="text1"/>
        </w:rPr>
      </w:pPr>
      <w:r>
        <w:t>9.</w:t>
      </w:r>
      <w:r>
        <w:tab/>
        <w:t>Группа рассмотрела переходные меры, которые могут потребоваться, на основе ряда предложений Нидерландов и пришла к выводу, что в случае перехода к эквивалентной утвержденной национальной системе целесообразным будет 10-летний переходный переход и что официальные утверждения типа могут продолжать использоваться до конца срока их действия. Никакие другие переходные меры не были сочтены необходимыми.</w:t>
      </w:r>
    </w:p>
    <w:p w14:paraId="1A112334" w14:textId="77777777" w:rsidR="0005282A" w:rsidRPr="00434738" w:rsidRDefault="00434738" w:rsidP="00434738">
      <w:pPr>
        <w:pStyle w:val="H4G"/>
        <w:rPr>
          <w:b/>
        </w:rPr>
      </w:pPr>
      <w:r>
        <w:tab/>
      </w:r>
      <w:r>
        <w:tab/>
      </w:r>
      <w:r w:rsidR="0005282A" w:rsidRPr="00434738">
        <w:rPr>
          <w:b/>
        </w:rPr>
        <w:t>Просьба о принятии мер, обращенная к Совместному совещанию</w:t>
      </w:r>
    </w:p>
    <w:p w14:paraId="1E803C99" w14:textId="12433254" w:rsidR="0005282A" w:rsidRPr="00DB03E9" w:rsidRDefault="0005282A" w:rsidP="0005282A">
      <w:pPr>
        <w:pStyle w:val="SingleTxtG"/>
        <w:rPr>
          <w:color w:val="000000" w:themeColor="text1"/>
        </w:rPr>
      </w:pPr>
      <w:r>
        <w:t>10.</w:t>
      </w:r>
      <w:r>
        <w:tab/>
        <w:t>Совместному совещанию предлагается провести дальнейший обмен мнениями по предложениям, представленным для весенней сессии, которая состоится в марте 2020 года, как до, так и после рассмотрения представленных предложений Рабочей группой по цистернам и, в случае необходимости, дать согласие членам неофициальной рабочей группы и другим заинтересованным сторонам на проведение в надлежащее время еще одного совещания для рассмотрения итогов работы Совместного совещания, с тем чтобы представить окончательные предложения в рабочем документе к крайнему сроку представления официальной документации – 19</w:t>
      </w:r>
      <w:r w:rsidR="00434738">
        <w:rPr>
          <w:lang w:val="en-US"/>
        </w:rPr>
        <w:t> </w:t>
      </w:r>
      <w:r>
        <w:t>июня 2020 года. Исходя из результатов работы, проделанной к настоящему времени, основными вопросами для обсуждения будут процесс для эквивалентных утвержденных национальных систем и соответствующие переходные меры, пригодность органов, не относящихся к типу А, для проведения проверок, а также применение и сфера охвата предэксплуатационной проверки.</w:t>
      </w:r>
    </w:p>
    <w:p w14:paraId="38A18C57" w14:textId="77777777" w:rsidR="0005282A" w:rsidRPr="00DB03E9" w:rsidRDefault="0005282A" w:rsidP="0005282A"/>
    <w:p w14:paraId="2891C421" w14:textId="77777777" w:rsidR="0005282A" w:rsidRPr="00DB03E9" w:rsidRDefault="0005282A" w:rsidP="0005282A">
      <w:pPr>
        <w:suppressAutoHyphens w:val="0"/>
        <w:spacing w:line="240" w:lineRule="auto"/>
      </w:pPr>
      <w:r w:rsidRPr="00DB03E9">
        <w:br w:type="page"/>
      </w:r>
    </w:p>
    <w:p w14:paraId="7B1DF1F6" w14:textId="77777777" w:rsidR="0005282A" w:rsidRPr="00DB03E9" w:rsidRDefault="0005282A" w:rsidP="0005282A">
      <w:pPr>
        <w:pStyle w:val="HChG"/>
      </w:pPr>
      <w:r>
        <w:lastRenderedPageBreak/>
        <w:tab/>
      </w:r>
      <w:r>
        <w:tab/>
      </w:r>
      <w:r>
        <w:rPr>
          <w:bCs/>
        </w:rPr>
        <w:t>Приложение</w:t>
      </w:r>
      <w:r>
        <w:t xml:space="preserve"> </w:t>
      </w:r>
    </w:p>
    <w:p w14:paraId="46D8719D" w14:textId="77777777" w:rsidR="0005282A" w:rsidRPr="00DB03E9" w:rsidRDefault="0005282A" w:rsidP="0005282A">
      <w:pPr>
        <w:spacing w:before="120" w:after="120"/>
        <w:ind w:left="567" w:firstLine="567"/>
      </w:pPr>
      <w:r>
        <w:t xml:space="preserve">1.8.6.2.4 </w:t>
      </w:r>
      <w:r>
        <w:tab/>
      </w:r>
      <w:r>
        <w:rPr>
          <w:i/>
          <w:iCs/>
        </w:rPr>
        <w:t>Признание национальных систем</w:t>
      </w:r>
    </w:p>
    <w:p w14:paraId="788B68A0" w14:textId="77777777" w:rsidR="0005282A" w:rsidRPr="00DB03E9" w:rsidRDefault="0005282A" w:rsidP="0005282A">
      <w:pPr>
        <w:spacing w:before="120" w:after="120"/>
        <w:ind w:left="1134" w:right="1134"/>
        <w:jc w:val="both"/>
      </w:pPr>
      <w:r>
        <w:t>1.8.6.2.4.1</w:t>
      </w:r>
      <w:r>
        <w:tab/>
        <w:t>Национальные системы для утверждения и мониторинга деятельности проверяющих органов должны быть эквивалентны стандарту EN ISO/IEC 17020:2012 (за исключением пункта 8.1.3) и признаны Комиссией экспертов МПОГ/Рабочей группой по перевозкам опасных грузов.</w:t>
      </w:r>
    </w:p>
    <w:p w14:paraId="1739C51A" w14:textId="77777777" w:rsidR="0005282A" w:rsidRPr="00DB03E9" w:rsidRDefault="0005282A" w:rsidP="0005282A">
      <w:pPr>
        <w:spacing w:before="120" w:after="120"/>
        <w:ind w:left="1134" w:right="1134"/>
        <w:jc w:val="both"/>
      </w:pPr>
      <w:r>
        <w:t>1.8.6.2.4.2</w:t>
      </w:r>
      <w:r>
        <w:tab/>
        <w:t>Совместное совещание назначает комитет из числа своих членов (Договаривающиеся государства/Договаривающиеся стороны) для рассмотрения вопроса о признании национальной системы. Этот комитет называется Национальным комитетом по признанию (НКП) и состоит не менее чем из пяти членов. Для рассмотрения заявок НКП должен использовать следующую процедуру:</w:t>
      </w:r>
    </w:p>
    <w:p w14:paraId="1E4B3D68" w14:textId="77777777" w:rsidR="0005282A" w:rsidRPr="00DB03E9" w:rsidRDefault="0005282A" w:rsidP="0005282A">
      <w:pPr>
        <w:spacing w:before="120" w:after="120"/>
        <w:ind w:left="2268" w:right="1134"/>
        <w:jc w:val="both"/>
      </w:pPr>
      <w:r>
        <w:t>a)</w:t>
      </w:r>
      <w:r>
        <w:tab/>
        <w:t>Договаривающееся государство МПОГ/Договаривающаяся сторона ДОПОГ представляет в секретариат Совместного совещания до конца года заявку с подробным описанием своей национальной системы на английском языке;</w:t>
      </w:r>
    </w:p>
    <w:p w14:paraId="477F72C8" w14:textId="77777777" w:rsidR="0005282A" w:rsidRPr="00DB03E9" w:rsidRDefault="0005282A" w:rsidP="0005282A">
      <w:pPr>
        <w:spacing w:before="120" w:after="120"/>
        <w:ind w:left="2268" w:right="1134"/>
        <w:jc w:val="both"/>
      </w:pPr>
      <w:r>
        <w:t>b)</w:t>
      </w:r>
      <w:r>
        <w:tab/>
        <w:t>секретариат направляет заявку членам НКП в течение двух недель. Затем члены проверяют подробное описание национальной системы в соответствии с условиями, изложенными в пункте 1.8.6.3.1, и рассматривают вопрос о том, является ли национальная система эквивалентной стандарту EN ISO/IEC 17020:2012 (за исключением пункта 8.1.3) или нет;</w:t>
      </w:r>
    </w:p>
    <w:p w14:paraId="7F633EBD" w14:textId="77777777" w:rsidR="0005282A" w:rsidRPr="00B97F09" w:rsidRDefault="0005282A" w:rsidP="0005282A">
      <w:pPr>
        <w:spacing w:before="120" w:after="120"/>
        <w:ind w:left="2268" w:right="1134"/>
        <w:jc w:val="both"/>
      </w:pPr>
      <w:r>
        <w:t>с)</w:t>
      </w:r>
      <w:r>
        <w:tab/>
        <w:t>НКП проводит свое совещание параллельно весенней сессии Совместного совещания. Для этого совещания подавшее заявку Договаривающееся государство/подавшая заявку Договаривающаяся сторона должно быть приглашено/должна быть приглашена секретариатом Совместного совещания высказать свою позицию, особенно по вопросам, которые не могли быть заранее прояснены в письменном виде. В конце совещания НКП на основе единодушного голосования представляет Совместному совещанию в ходе его текущей сессии доклад с рекомендацией в виде неофициального документа.</w:t>
      </w:r>
    </w:p>
    <w:p w14:paraId="1D6AE1EE" w14:textId="77777777" w:rsidR="0005282A" w:rsidRPr="00DB03E9" w:rsidRDefault="0005282A" w:rsidP="0005282A">
      <w:pPr>
        <w:spacing w:before="120" w:after="120"/>
        <w:ind w:left="1134" w:right="1134"/>
        <w:jc w:val="both"/>
      </w:pPr>
      <w:r>
        <w:t>1.8.6.2.4.3</w:t>
      </w:r>
      <w:r>
        <w:tab/>
        <w:t xml:space="preserve">Доклад НКП представляется секретариатом на пленарном заседании Совместного совещания. Если Совместное совещание последует рекомендации НКП, оно должно принять решение о том, является ли национальная система эквивалентной стандарту EN ISO/IEC 17020:2012 (за исключением пункта 8.1.3) или нет. </w:t>
      </w:r>
    </w:p>
    <w:p w14:paraId="286A384F" w14:textId="77777777" w:rsidR="0005282A" w:rsidRPr="00DB03E9" w:rsidRDefault="0005282A" w:rsidP="0005282A">
      <w:pPr>
        <w:spacing w:before="120" w:after="120"/>
        <w:ind w:left="1134" w:right="1134"/>
        <w:jc w:val="both"/>
      </w:pPr>
      <w:r>
        <w:t>1.8.6.2.4.4</w:t>
      </w:r>
      <w:r>
        <w:tab/>
        <w:t>Если Совместное совещание сочтет, что национальная система не является/еще не является эквивалентной, оно может принять решение о том, чтобы вновь передать данный вопрос на рассмотрение НКП или предоставить Договаривающимся государствам/Договаривающимся сторонам время для рассмотрения и принятия решения на осенней сессии Совместного совещания.</w:t>
      </w:r>
    </w:p>
    <w:p w14:paraId="0DFF082B" w14:textId="77777777" w:rsidR="0005282A" w:rsidRPr="00DB03E9" w:rsidRDefault="0005282A" w:rsidP="0005282A">
      <w:pPr>
        <w:spacing w:before="120" w:after="120"/>
        <w:ind w:left="1134" w:right="1134"/>
        <w:jc w:val="both"/>
      </w:pPr>
      <w:r>
        <w:t>1.8.6.2.4.5</w:t>
      </w:r>
      <w:r>
        <w:tab/>
        <w:t>В случае эквивалентности Совместное совещание в двухнедельный срок информирует Комиссию экспертов МПОГ/Рабочую группу по перевозкам опасных грузов о признании.</w:t>
      </w:r>
    </w:p>
    <w:p w14:paraId="0BE90874" w14:textId="3ACC24CC" w:rsidR="0005282A" w:rsidRPr="00B97F09" w:rsidRDefault="0005282A" w:rsidP="0005282A">
      <w:pPr>
        <w:spacing w:before="120" w:after="120"/>
        <w:ind w:left="1134" w:right="1134"/>
        <w:jc w:val="both"/>
      </w:pPr>
      <w:r>
        <w:t xml:space="preserve">1.8.6.2.4.6 </w:t>
      </w:r>
      <w:r w:rsidR="00F067B2">
        <w:tab/>
      </w:r>
      <w:r>
        <w:t>После признания секретариат ОТИФ/ЕЭК ООН публикует список проверяющих органов на основе признанной национальной системы Договаривающихся государств МПОГ/Договаривающихся сторон ДОПОГ.</w:t>
      </w:r>
    </w:p>
    <w:p w14:paraId="05F611C7" w14:textId="77777777" w:rsidR="0005282A" w:rsidRPr="00DB03E9" w:rsidRDefault="0005282A" w:rsidP="0005282A">
      <w:pPr>
        <w:spacing w:before="120" w:after="120"/>
        <w:ind w:left="1134" w:right="1134"/>
        <w:jc w:val="both"/>
      </w:pPr>
      <w:r>
        <w:t>1.8.6.2.4.7</w:t>
      </w:r>
      <w:r>
        <w:tab/>
        <w:t>В случае принятия пересмотренного варианта любого из вышеупомянутых стандартов компетентный орган проводит повторную оценку своей национальной системы. Если изменения затрагивают национальную систему, данная система должна быть пересмотрена с учетом этих изменений. Пересмотренная национальная система затем вновь представляется Совместному совещанию.</w:t>
      </w:r>
    </w:p>
    <w:p w14:paraId="4C14A548" w14:textId="77777777" w:rsidR="0005282A" w:rsidRPr="00DB03E9" w:rsidRDefault="0005282A" w:rsidP="0005282A">
      <w:pPr>
        <w:spacing w:before="120" w:after="120"/>
        <w:ind w:left="1134" w:right="1134"/>
        <w:jc w:val="both"/>
      </w:pPr>
      <w:r>
        <w:lastRenderedPageBreak/>
        <w:t>1.8.6.2.4.8</w:t>
      </w:r>
      <w:r>
        <w:tab/>
        <w:t>Если какое-либо Договаривающееся государство МПОГ/какая-либо Договаривающаяся сторона ДОПОГ считает, что проверяющий орган не отвечает условиям и критериям, изложенным в пункте 1.8.6.3.1, оно/она должно/должна:</w:t>
      </w:r>
    </w:p>
    <w:p w14:paraId="4F159884" w14:textId="47EA9162" w:rsidR="0005282A" w:rsidRPr="00DB03E9" w:rsidRDefault="0005282A" w:rsidP="0005282A">
      <w:pPr>
        <w:spacing w:before="120" w:after="120"/>
        <w:ind w:left="2268" w:right="1134"/>
        <w:jc w:val="both"/>
      </w:pPr>
      <w:r>
        <w:t>a)</w:t>
      </w:r>
      <w:r>
        <w:tab/>
        <w:t>в случае его собственного проверяющего органа проинформировать секретариат Совместного совещания об исключении названия соответствующего проверяющего органа из списка ОТИФ/ЕЭК ООН;</w:t>
      </w:r>
    </w:p>
    <w:p w14:paraId="0A88E63C" w14:textId="77777777" w:rsidR="0005282A" w:rsidRPr="00B97F09" w:rsidRDefault="0005282A" w:rsidP="0005282A">
      <w:pPr>
        <w:spacing w:before="120" w:after="120"/>
        <w:ind w:left="2268" w:right="1134"/>
        <w:jc w:val="both"/>
      </w:pPr>
      <w:r>
        <w:t>b)</w:t>
      </w:r>
      <w:r>
        <w:tab/>
        <w:t>в случае бывшего проверяющего органа проинформировать другое Договаривающееся государство МПОГ/другую Договаривающуюся сторону ДОПОГ и представить в НКП через секретариат Совместного совещания предложение об исключении данного проверяющего органа из списка ОТИФ/ЕЭК ООН. Такое предложение должно подкрепляться убедительными доказательствами несоблюдения условий и критериев, изложенных в пункте 1.8.6.3.1. В</w:t>
      </w:r>
      <w:r w:rsidR="00434738">
        <w:rPr>
          <w:lang w:val="en-US"/>
        </w:rPr>
        <w:t> </w:t>
      </w:r>
      <w:r>
        <w:t>случае несоблюдения НКП информирует проверяющий орган и предлагает ему прокомментировать выводы. После рассмотрения комментариев НКП может принять решение предоставить данному проверяющему органу возможность представить план по устранению выявленного(ых) недостатка(ов) в течение шести месяцев и недопущению его (их) повторения в будущем или принять решение об исключении названия соответствующего проверяющего органа из списка ОТИФ/ЕЭК ООН.</w:t>
      </w:r>
    </w:p>
    <w:p w14:paraId="40F53CF3" w14:textId="77777777" w:rsidR="0005282A" w:rsidRPr="00DB03E9" w:rsidRDefault="0005282A" w:rsidP="0005282A">
      <w:pPr>
        <w:spacing w:before="120" w:after="120"/>
        <w:ind w:left="2268" w:right="1134"/>
        <w:jc w:val="both"/>
      </w:pPr>
      <w:r>
        <w:t>В любом случае НКП представляет Совместному совещанию доклад о принятых мерах.</w:t>
      </w:r>
    </w:p>
    <w:p w14:paraId="1B30161D" w14:textId="77777777" w:rsidR="0005282A" w:rsidRPr="00DB03E9" w:rsidRDefault="0005282A" w:rsidP="0005282A">
      <w:pPr>
        <w:spacing w:before="240"/>
        <w:jc w:val="center"/>
        <w:rPr>
          <w:u w:val="single"/>
        </w:rPr>
      </w:pPr>
      <w:r w:rsidRPr="00DB03E9">
        <w:rPr>
          <w:u w:val="single"/>
        </w:rPr>
        <w:tab/>
      </w:r>
      <w:r w:rsidRPr="00DB03E9">
        <w:rPr>
          <w:u w:val="single"/>
        </w:rPr>
        <w:tab/>
      </w:r>
      <w:r w:rsidRPr="00DB03E9">
        <w:rPr>
          <w:u w:val="single"/>
        </w:rPr>
        <w:tab/>
      </w:r>
    </w:p>
    <w:p w14:paraId="1ECD163A" w14:textId="77777777" w:rsidR="00E12C5F" w:rsidRPr="008D53B6" w:rsidRDefault="00E12C5F" w:rsidP="00D9145B"/>
    <w:sectPr w:rsidR="00E12C5F" w:rsidRPr="008D53B6" w:rsidSect="0005282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2701" w14:textId="77777777" w:rsidR="00891F7A" w:rsidRPr="00A312BC" w:rsidRDefault="00891F7A" w:rsidP="00A312BC"/>
  </w:endnote>
  <w:endnote w:type="continuationSeparator" w:id="0">
    <w:p w14:paraId="5F6960DD" w14:textId="77777777" w:rsidR="00891F7A" w:rsidRPr="00A312BC" w:rsidRDefault="00891F7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99AC" w14:textId="51196C2B" w:rsidR="0005282A" w:rsidRPr="0005282A" w:rsidRDefault="0005282A">
    <w:pPr>
      <w:pStyle w:val="Footer"/>
    </w:pPr>
    <w:r w:rsidRPr="0005282A">
      <w:rPr>
        <w:b/>
        <w:sz w:val="18"/>
      </w:rPr>
      <w:fldChar w:fldCharType="begin"/>
    </w:r>
    <w:r w:rsidRPr="0005282A">
      <w:rPr>
        <w:b/>
        <w:sz w:val="18"/>
      </w:rPr>
      <w:instrText xml:space="preserve"> PAGE  \* MERGEFORMAT </w:instrText>
    </w:r>
    <w:r w:rsidRPr="0005282A">
      <w:rPr>
        <w:b/>
        <w:sz w:val="18"/>
      </w:rPr>
      <w:fldChar w:fldCharType="separate"/>
    </w:r>
    <w:r w:rsidR="00AF6CBF">
      <w:rPr>
        <w:b/>
        <w:noProof/>
        <w:sz w:val="18"/>
      </w:rPr>
      <w:t>4</w:t>
    </w:r>
    <w:r w:rsidRPr="0005282A">
      <w:rPr>
        <w:b/>
        <w:sz w:val="18"/>
      </w:rPr>
      <w:fldChar w:fldCharType="end"/>
    </w:r>
    <w:r>
      <w:rPr>
        <w:b/>
        <w:sz w:val="18"/>
      </w:rPr>
      <w:tab/>
    </w:r>
    <w:r>
      <w:t>GE.20-00080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AB3A" w14:textId="03527363" w:rsidR="0005282A" w:rsidRPr="0005282A" w:rsidRDefault="0005282A" w:rsidP="0005282A">
    <w:pPr>
      <w:pStyle w:val="Footer"/>
      <w:tabs>
        <w:tab w:val="clear" w:pos="9639"/>
        <w:tab w:val="right" w:pos="9638"/>
      </w:tabs>
      <w:rPr>
        <w:b/>
        <w:sz w:val="18"/>
      </w:rPr>
    </w:pPr>
    <w:r>
      <w:t>GE.20-00080</w:t>
    </w:r>
    <w:r>
      <w:tab/>
    </w:r>
    <w:r w:rsidRPr="0005282A">
      <w:rPr>
        <w:b/>
        <w:sz w:val="18"/>
      </w:rPr>
      <w:fldChar w:fldCharType="begin"/>
    </w:r>
    <w:r w:rsidRPr="0005282A">
      <w:rPr>
        <w:b/>
        <w:sz w:val="18"/>
      </w:rPr>
      <w:instrText xml:space="preserve"> PAGE  \* MERGEFORMAT </w:instrText>
    </w:r>
    <w:r w:rsidRPr="0005282A">
      <w:rPr>
        <w:b/>
        <w:sz w:val="18"/>
      </w:rPr>
      <w:fldChar w:fldCharType="separate"/>
    </w:r>
    <w:r w:rsidR="00AF6CBF">
      <w:rPr>
        <w:b/>
        <w:noProof/>
        <w:sz w:val="18"/>
      </w:rPr>
      <w:t>3</w:t>
    </w:r>
    <w:r w:rsidRPr="000528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C10B" w14:textId="77777777" w:rsidR="00042B72" w:rsidRPr="0005282A" w:rsidRDefault="0005282A" w:rsidP="0005282A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407E12E" wp14:editId="7D5675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20-00080  (R)</w:t>
    </w:r>
    <w:r w:rsidR="00434738">
      <w:rPr>
        <w:lang w:val="en-US"/>
      </w:rPr>
      <w:t xml:space="preserve">  080120  080120</w:t>
    </w:r>
    <w:r>
      <w:br/>
    </w:r>
    <w:r w:rsidRPr="0005282A">
      <w:rPr>
        <w:rFonts w:ascii="C39T30Lfz" w:hAnsi="C39T30Lfz"/>
        <w:kern w:val="14"/>
        <w:sz w:val="56"/>
      </w:rPr>
      <w:t></w:t>
    </w:r>
    <w:r w:rsidRPr="0005282A">
      <w:rPr>
        <w:rFonts w:ascii="C39T30Lfz" w:hAnsi="C39T30Lfz"/>
        <w:kern w:val="14"/>
        <w:sz w:val="56"/>
      </w:rPr>
      <w:t></w:t>
    </w:r>
    <w:r w:rsidRPr="0005282A">
      <w:rPr>
        <w:rFonts w:ascii="C39T30Lfz" w:hAnsi="C39T30Lfz"/>
        <w:kern w:val="14"/>
        <w:sz w:val="56"/>
      </w:rPr>
      <w:t></w:t>
    </w:r>
    <w:r w:rsidRPr="0005282A">
      <w:rPr>
        <w:rFonts w:ascii="C39T30Lfz" w:hAnsi="C39T30Lfz"/>
        <w:kern w:val="14"/>
        <w:sz w:val="56"/>
      </w:rPr>
      <w:t></w:t>
    </w:r>
    <w:r w:rsidRPr="0005282A">
      <w:rPr>
        <w:rFonts w:ascii="C39T30Lfz" w:hAnsi="C39T30Lfz"/>
        <w:kern w:val="14"/>
        <w:sz w:val="56"/>
      </w:rPr>
      <w:t></w:t>
    </w:r>
    <w:r w:rsidRPr="0005282A">
      <w:rPr>
        <w:rFonts w:ascii="C39T30Lfz" w:hAnsi="C39T30Lfz"/>
        <w:kern w:val="14"/>
        <w:sz w:val="56"/>
      </w:rPr>
      <w:t></w:t>
    </w:r>
    <w:r w:rsidRPr="0005282A">
      <w:rPr>
        <w:rFonts w:ascii="C39T30Lfz" w:hAnsi="C39T30Lfz"/>
        <w:kern w:val="14"/>
        <w:sz w:val="56"/>
      </w:rPr>
      <w:t></w:t>
    </w:r>
    <w:r w:rsidRPr="0005282A">
      <w:rPr>
        <w:rFonts w:ascii="C39T30Lfz" w:hAnsi="C39T30Lfz"/>
        <w:kern w:val="14"/>
        <w:sz w:val="56"/>
      </w:rPr>
      <w:t></w:t>
    </w:r>
    <w:r w:rsidRPr="0005282A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FBAFCC4" wp14:editId="637FBB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03C3" w14:textId="77777777" w:rsidR="00891F7A" w:rsidRPr="001075E9" w:rsidRDefault="00891F7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094440" w14:textId="77777777" w:rsidR="00891F7A" w:rsidRDefault="00891F7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471939" w14:textId="77777777" w:rsidR="0005282A" w:rsidRPr="00DB03E9" w:rsidRDefault="0005282A" w:rsidP="0005282A">
      <w:pPr>
        <w:pStyle w:val="FootnoteText"/>
        <w:rPr>
          <w:sz w:val="20"/>
        </w:rPr>
      </w:pPr>
      <w:r>
        <w:tab/>
      </w:r>
      <w:r w:rsidRPr="0005282A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609F6F81" w14:textId="77777777" w:rsidR="0005282A" w:rsidRPr="00DB03E9" w:rsidRDefault="0005282A" w:rsidP="0005282A">
      <w:pPr>
        <w:pStyle w:val="FootnoteText"/>
        <w:rPr>
          <w:sz w:val="20"/>
        </w:rPr>
      </w:pPr>
      <w:r>
        <w:tab/>
      </w:r>
      <w:r w:rsidRPr="0005282A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E9B1" w14:textId="59EE5926" w:rsidR="0005282A" w:rsidRPr="0005282A" w:rsidRDefault="008E406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F6CBF">
      <w:t>ECE/TRANS/WP.15/AC.1/2020/19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D7FD" w14:textId="2D2062D2" w:rsidR="0005282A" w:rsidRPr="0005282A" w:rsidRDefault="008E406E" w:rsidP="000528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F6CBF">
      <w:t>ECE/TRANS/WP.15/AC.1/2020/19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F7A"/>
    <w:rsid w:val="00033EE1"/>
    <w:rsid w:val="00042B72"/>
    <w:rsid w:val="0005282A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0EED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4738"/>
    <w:rsid w:val="00452493"/>
    <w:rsid w:val="00453318"/>
    <w:rsid w:val="00454AF2"/>
    <w:rsid w:val="00454E07"/>
    <w:rsid w:val="00472C5C"/>
    <w:rsid w:val="004E05B7"/>
    <w:rsid w:val="004F53CE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65BAA"/>
    <w:rsid w:val="00792497"/>
    <w:rsid w:val="007F7DB6"/>
    <w:rsid w:val="00806737"/>
    <w:rsid w:val="00825F8D"/>
    <w:rsid w:val="00834B71"/>
    <w:rsid w:val="0086445C"/>
    <w:rsid w:val="00891F7A"/>
    <w:rsid w:val="00894693"/>
    <w:rsid w:val="008A08D7"/>
    <w:rsid w:val="008A37C8"/>
    <w:rsid w:val="008B6909"/>
    <w:rsid w:val="008D53B6"/>
    <w:rsid w:val="008E406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CB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272F"/>
    <w:rsid w:val="00E73F76"/>
    <w:rsid w:val="00EA2C9F"/>
    <w:rsid w:val="00EA420E"/>
    <w:rsid w:val="00ED0BDA"/>
    <w:rsid w:val="00EE142A"/>
    <w:rsid w:val="00EF1360"/>
    <w:rsid w:val="00EF3220"/>
    <w:rsid w:val="00F067B2"/>
    <w:rsid w:val="00F21F3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ADFAAE"/>
  <w15:docId w15:val="{394169C4-0C9F-4FEA-AC74-5F961842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5282A"/>
    <w:rPr>
      <w:lang w:val="ru-RU" w:eastAsia="en-US"/>
    </w:rPr>
  </w:style>
  <w:style w:type="paragraph" w:customStyle="1" w:styleId="ParNoG">
    <w:name w:val="_ParNo_G"/>
    <w:basedOn w:val="SingleTxtG"/>
    <w:qFormat/>
    <w:rsid w:val="0005282A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05282A"/>
    <w:rPr>
      <w:b/>
      <w:sz w:val="24"/>
      <w:lang w:val="ru-RU" w:eastAsia="ru-RU"/>
    </w:rPr>
  </w:style>
  <w:style w:type="character" w:customStyle="1" w:styleId="HChGChar">
    <w:name w:val="_ H _Ch_G Char"/>
    <w:link w:val="HChG"/>
    <w:uiPriority w:val="99"/>
    <w:rsid w:val="0005282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e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ink/ink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483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0 0 6201,'0'0'472,"0"0"377,0 0-2170,0 0-135,0 0 232,0 0-145,0 0 529,0 0 144</inkml:trace>
  <inkml:trace contextRef="#ctx0" brushRef="#br0" timeOffset="188">18 0 2240,'53'0'1553,"-53"0"-81,0 0-496,0 0-240,0 0-351,0 0-145,0 0-208,0 0-304,17 0-225,-17 0-423,0 0-344,0 0-240,0 0-201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235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16643 6333 2881,'0'0'680,"0"0"-296,0 0-848,0 0-777,0 0-335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2-13T21:19:12.086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16687 6518 8818,'0'0'1344,"0"-27"537,0 27-4322,0 0-400,0 0-775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ECE/TRANS/WP.15/AC.1/2020/19</vt:lpstr>
      <vt:lpstr>ECE/TRANS/WP.15/AC.1/2020/19</vt:lpstr>
      <vt:lpstr>A/</vt:lpstr>
    </vt:vector>
  </TitlesOfParts>
  <Company>DCM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ECE/TRANS/WP.15/AC.1/2020/19</dc:title>
  <dc:subject/>
  <dc:creator>Assistant</dc:creator>
  <cp:keywords/>
  <cp:lastModifiedBy>Christine Barrio-Champeau</cp:lastModifiedBy>
  <cp:revision>2</cp:revision>
  <cp:lastPrinted>2020-01-09T08:56:00Z</cp:lastPrinted>
  <dcterms:created xsi:type="dcterms:W3CDTF">2020-01-17T13:03:00Z</dcterms:created>
  <dcterms:modified xsi:type="dcterms:W3CDTF">2020-01-17T13:03:00Z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