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6789AB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99ACD15" w14:textId="77777777" w:rsidR="002D5AAC" w:rsidRDefault="002D5AAC" w:rsidP="00E570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2BA41E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E7FC36B" w14:textId="77777777" w:rsidR="002D5AAC" w:rsidRDefault="00E57073" w:rsidP="00E57073">
            <w:pPr>
              <w:jc w:val="right"/>
            </w:pPr>
            <w:r w:rsidRPr="00E57073">
              <w:rPr>
                <w:sz w:val="40"/>
              </w:rPr>
              <w:t>ECE</w:t>
            </w:r>
            <w:r>
              <w:t>/TRANS/WP.15/AC.1/2020/14</w:t>
            </w:r>
          </w:p>
        </w:tc>
      </w:tr>
      <w:tr w:rsidR="002D5AAC" w:rsidRPr="00E57073" w14:paraId="576DC48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D3425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34452E3" wp14:editId="4F2CB7B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A47C0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B375849" w14:textId="77777777" w:rsidR="002D5AAC" w:rsidRDefault="00E5707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542BB64" w14:textId="77777777" w:rsidR="00E57073" w:rsidRDefault="00E57073" w:rsidP="00E570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December 2019</w:t>
            </w:r>
          </w:p>
          <w:p w14:paraId="5C1BC11F" w14:textId="77777777" w:rsidR="00E57073" w:rsidRDefault="00E57073" w:rsidP="00E570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FCC9B47" w14:textId="77777777" w:rsidR="00E57073" w:rsidRPr="008D53B6" w:rsidRDefault="00E57073" w:rsidP="00E570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919C27E" w14:textId="77777777" w:rsidR="00E5707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C4725E0" w14:textId="77777777" w:rsidR="00E57073" w:rsidRPr="00E57073" w:rsidRDefault="00E57073" w:rsidP="00E57073">
      <w:pPr>
        <w:spacing w:before="120"/>
        <w:rPr>
          <w:sz w:val="28"/>
          <w:szCs w:val="28"/>
        </w:rPr>
      </w:pPr>
      <w:r w:rsidRPr="00E57073">
        <w:rPr>
          <w:sz w:val="28"/>
          <w:szCs w:val="28"/>
        </w:rPr>
        <w:t>Комитет по внутреннему транспорту</w:t>
      </w:r>
    </w:p>
    <w:p w14:paraId="3084F4DE" w14:textId="77777777" w:rsidR="00E57073" w:rsidRPr="00E57073" w:rsidRDefault="00E57073" w:rsidP="00E57073">
      <w:pPr>
        <w:spacing w:before="120" w:after="120"/>
        <w:rPr>
          <w:b/>
          <w:sz w:val="24"/>
          <w:szCs w:val="24"/>
        </w:rPr>
      </w:pPr>
      <w:r w:rsidRPr="00E57073">
        <w:rPr>
          <w:b/>
          <w:bCs/>
          <w:sz w:val="24"/>
          <w:szCs w:val="24"/>
        </w:rPr>
        <w:t>Рабочая группа по перевозкам опасных грузов</w:t>
      </w:r>
    </w:p>
    <w:p w14:paraId="77B2B11A" w14:textId="77777777" w:rsidR="00E57073" w:rsidRPr="006D74C4" w:rsidRDefault="00E57073" w:rsidP="00E57073">
      <w:pPr>
        <w:rPr>
          <w:b/>
          <w:bCs/>
        </w:rPr>
      </w:pPr>
      <w:r w:rsidRPr="006D74C4">
        <w:rPr>
          <w:b/>
          <w:bCs/>
        </w:rPr>
        <w:t>Совместное совещание Комиссии экспертов МПОГ</w:t>
      </w:r>
      <w:r>
        <w:rPr>
          <w:b/>
          <w:bCs/>
        </w:rPr>
        <w:br/>
      </w:r>
      <w:r w:rsidRPr="006D74C4">
        <w:rPr>
          <w:b/>
          <w:bCs/>
        </w:rPr>
        <w:t>и Рабочей группы по перевозкам опасных грузов</w:t>
      </w:r>
      <w:r>
        <w:rPr>
          <w:b/>
          <w:bCs/>
        </w:rPr>
        <w:br/>
      </w:r>
      <w:r w:rsidRPr="006D74C4">
        <w:t>Берн, 16</w:t>
      </w:r>
      <w:r w:rsidRPr="00E57073">
        <w:t>–</w:t>
      </w:r>
      <w:r w:rsidRPr="006D74C4">
        <w:t>20 марта 2020 года</w:t>
      </w:r>
      <w:r>
        <w:br/>
      </w:r>
      <w:r w:rsidRPr="006D74C4">
        <w:t>Пункт 5 b) предварительной повестки дня</w:t>
      </w:r>
      <w:r>
        <w:br/>
      </w:r>
      <w:r w:rsidRPr="006D74C4">
        <w:rPr>
          <w:b/>
          <w:bCs/>
        </w:rPr>
        <w:t>Предложения о внесении поправок</w:t>
      </w:r>
      <w:r>
        <w:rPr>
          <w:b/>
          <w:bCs/>
        </w:rPr>
        <w:br/>
      </w:r>
      <w:r w:rsidRPr="006D74C4">
        <w:rPr>
          <w:b/>
          <w:bCs/>
        </w:rPr>
        <w:t>в МПОГ/ДОПОГ/ВОПОГ</w:t>
      </w:r>
      <w:r>
        <w:rPr>
          <w:b/>
          <w:bCs/>
        </w:rPr>
        <w:br/>
      </w:r>
      <w:r w:rsidRPr="006D74C4">
        <w:rPr>
          <w:b/>
          <w:bCs/>
        </w:rPr>
        <w:t>новые предложения</w:t>
      </w:r>
    </w:p>
    <w:p w14:paraId="1D412517" w14:textId="77777777" w:rsidR="00E57073" w:rsidRPr="006D74C4" w:rsidRDefault="00E57073" w:rsidP="00E57073">
      <w:pPr>
        <w:pStyle w:val="HChG"/>
      </w:pPr>
      <w:r w:rsidRPr="006D74C4">
        <w:tab/>
      </w:r>
      <w:r w:rsidRPr="006D74C4">
        <w:tab/>
      </w:r>
      <w:bookmarkStart w:id="1" w:name="_Hlk29220077"/>
      <w:r w:rsidRPr="006D74C4">
        <w:rPr>
          <w:bCs/>
        </w:rPr>
        <w:t>Ссылки на систему управления рисками при перевозке опасных грузов внутренним транспортом</w:t>
      </w:r>
      <w:r>
        <w:rPr>
          <w:bCs/>
        </w:rPr>
        <w:br/>
      </w:r>
      <w:r w:rsidRPr="006D74C4">
        <w:rPr>
          <w:bCs/>
        </w:rPr>
        <w:t>в МПОГ/ДОПОГ/ВОПОГ</w:t>
      </w:r>
    </w:p>
    <w:p w14:paraId="67389388" w14:textId="77777777" w:rsidR="00E57073" w:rsidRPr="006D74C4" w:rsidRDefault="00E57073" w:rsidP="00E57073">
      <w:pPr>
        <w:pStyle w:val="H1G"/>
        <w:rPr>
          <w:bCs/>
        </w:rPr>
      </w:pPr>
      <w:r w:rsidRPr="006D74C4">
        <w:tab/>
      </w:r>
      <w:r w:rsidRPr="006D74C4">
        <w:tab/>
        <w:t>Передано Европейским железнодорожным агентством (ЕЖДА)</w:t>
      </w:r>
      <w:r w:rsidRPr="00E57073">
        <w:rPr>
          <w:rStyle w:val="FootnoteReference"/>
          <w:b w:val="0"/>
          <w:bCs/>
          <w:position w:val="6"/>
          <w:szCs w:val="18"/>
          <w:vertAlign w:val="baseline"/>
        </w:rPr>
        <w:footnoteReference w:customMarkFollows="1" w:id="1"/>
        <w:t>*</w:t>
      </w:r>
      <w:r w:rsidRPr="00E57073">
        <w:rPr>
          <w:b w:val="0"/>
          <w:position w:val="6"/>
          <w:sz w:val="18"/>
          <w:szCs w:val="18"/>
        </w:rPr>
        <w:t xml:space="preserve"> </w:t>
      </w:r>
      <w:r w:rsidRPr="00E57073">
        <w:rPr>
          <w:rStyle w:val="FootnoteReference"/>
          <w:b w:val="0"/>
          <w:bCs/>
          <w:position w:val="6"/>
          <w:szCs w:val="18"/>
          <w:vertAlign w:val="baseline"/>
        </w:rPr>
        <w:footnoteReference w:customMarkFollows="1" w:id="2"/>
        <w:t>*</w:t>
      </w:r>
      <w:bookmarkEnd w:id="1"/>
      <w:r w:rsidRPr="00E57073">
        <w:rPr>
          <w:rStyle w:val="FootnoteReference"/>
          <w:b w:val="0"/>
          <w:bCs/>
          <w:position w:val="6"/>
          <w:szCs w:val="18"/>
          <w:vertAlign w:val="baseline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E57073" w:rsidRPr="006D74C4" w14:paraId="666F07EC" w14:textId="77777777" w:rsidTr="001F637C">
        <w:trPr>
          <w:jc w:val="center"/>
        </w:trPr>
        <w:tc>
          <w:tcPr>
            <w:tcW w:w="9629" w:type="dxa"/>
            <w:tcBorders>
              <w:bottom w:val="nil"/>
            </w:tcBorders>
            <w:shd w:val="clear" w:color="auto" w:fill="auto"/>
          </w:tcPr>
          <w:p w14:paraId="0080C0BF" w14:textId="77777777" w:rsidR="00E57073" w:rsidRPr="006D74C4" w:rsidRDefault="00E57073" w:rsidP="001F637C">
            <w:pPr>
              <w:tabs>
                <w:tab w:val="left" w:pos="255"/>
              </w:tabs>
              <w:spacing w:before="120"/>
              <w:rPr>
                <w:rFonts w:eastAsia="Arial"/>
                <w:sz w:val="24"/>
              </w:rPr>
            </w:pPr>
            <w:r w:rsidRPr="006D74C4">
              <w:br w:type="page"/>
            </w:r>
          </w:p>
        </w:tc>
      </w:tr>
      <w:tr w:rsidR="00E57073" w:rsidRPr="006D74C4" w14:paraId="43B22CD2" w14:textId="77777777" w:rsidTr="001F637C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4C8FCCD7" w14:textId="77777777" w:rsidR="00E57073" w:rsidRPr="006D74C4" w:rsidRDefault="00E57073" w:rsidP="00E57073">
            <w:pPr>
              <w:pStyle w:val="SingleTxtG"/>
              <w:spacing w:after="0"/>
              <w:ind w:left="3402" w:hanging="2268"/>
              <w:rPr>
                <w:b/>
                <w:szCs w:val="22"/>
              </w:rPr>
            </w:pPr>
            <w:r w:rsidRPr="00E57073">
              <w:rPr>
                <w:b/>
              </w:rPr>
              <w:t>Существо предложения</w:t>
            </w:r>
            <w:r w:rsidRPr="006D74C4">
              <w:t>:</w:t>
            </w:r>
            <w:r w:rsidRPr="006D74C4">
              <w:tab/>
              <w:t>Делегатам Совместного совещания предлагается принять решение о включении в МПОГ/ДОПОГ/ВОПОГ сноски, содержащей ссылку на руковод</w:t>
            </w:r>
            <w:r>
              <w:t xml:space="preserve">ства </w:t>
            </w:r>
            <w:r w:rsidRPr="006D74C4">
              <w:t>системы управления рисками при перевозке опасных грузов внутренним транспортом.</w:t>
            </w:r>
          </w:p>
        </w:tc>
      </w:tr>
      <w:tr w:rsidR="00E57073" w:rsidRPr="006D74C4" w14:paraId="14141586" w14:textId="77777777" w:rsidTr="001F637C">
        <w:trPr>
          <w:jc w:val="center"/>
        </w:trPr>
        <w:tc>
          <w:tcPr>
            <w:tcW w:w="9629" w:type="dxa"/>
            <w:tcBorders>
              <w:top w:val="nil"/>
            </w:tcBorders>
            <w:shd w:val="clear" w:color="auto" w:fill="auto"/>
          </w:tcPr>
          <w:p w14:paraId="256E5087" w14:textId="77777777" w:rsidR="00E57073" w:rsidRPr="006D74C4" w:rsidRDefault="00E57073" w:rsidP="001F637C">
            <w:pPr>
              <w:rPr>
                <w:rFonts w:eastAsia="Arial"/>
              </w:rPr>
            </w:pPr>
          </w:p>
        </w:tc>
      </w:tr>
    </w:tbl>
    <w:p w14:paraId="618A7E49" w14:textId="77777777" w:rsidR="00E57073" w:rsidRPr="006D74C4" w:rsidRDefault="00E57073" w:rsidP="00E57073">
      <w:pPr>
        <w:pStyle w:val="HChG"/>
      </w:pPr>
      <w:r w:rsidRPr="006D74C4">
        <w:tab/>
      </w:r>
      <w:r w:rsidRPr="006D74C4">
        <w:tab/>
      </w:r>
      <w:r w:rsidRPr="006D74C4">
        <w:rPr>
          <w:bCs/>
        </w:rPr>
        <w:t>Справочная информация</w:t>
      </w:r>
    </w:p>
    <w:p w14:paraId="191B90BC" w14:textId="77777777" w:rsidR="00E57073" w:rsidRPr="006D74C4" w:rsidRDefault="00E57073" w:rsidP="00E57073">
      <w:pPr>
        <w:pStyle w:val="SingleTxtG"/>
      </w:pPr>
      <w:r w:rsidRPr="006D74C4">
        <w:t>1.</w:t>
      </w:r>
      <w:r w:rsidRPr="006D74C4">
        <w:tab/>
        <w:t>На осенней сессии 2019 года делегаты Совместного совещания были проинформированы о публикации системы управления рисками при перевозке опасных грузов внутренним транспортом, что было с удовлетворением встречено рядом делегаций.</w:t>
      </w:r>
    </w:p>
    <w:p w14:paraId="518C4A72" w14:textId="77777777" w:rsidR="00E57073" w:rsidRPr="006D74C4" w:rsidRDefault="00E57073" w:rsidP="00E57073">
      <w:pPr>
        <w:pStyle w:val="SingleTxtG"/>
      </w:pPr>
      <w:r w:rsidRPr="006D74C4">
        <w:t>2.</w:t>
      </w:r>
      <w:r w:rsidRPr="006D74C4">
        <w:tab/>
        <w:t xml:space="preserve">Совместное совещание приветствовало также начало разработки совместной ИТ-платформы (этап создания прототипа) для оказания дальнейшей помощи </w:t>
      </w:r>
      <w:r w:rsidRPr="006D74C4">
        <w:lastRenderedPageBreak/>
        <w:t xml:space="preserve">пользователям руководящих принципов (см. </w:t>
      </w:r>
      <w:r>
        <w:t xml:space="preserve">главу </w:t>
      </w:r>
      <w:r w:rsidRPr="006D74C4">
        <w:t>X</w:t>
      </w:r>
      <w:r>
        <w:t>, раздел</w:t>
      </w:r>
      <w:r w:rsidRPr="006D74C4">
        <w:t xml:space="preserve"> A</w:t>
      </w:r>
      <w:r>
        <w:t>,</w:t>
      </w:r>
      <w:r w:rsidRPr="006D74C4">
        <w:t xml:space="preserve"> </w:t>
      </w:r>
      <w:r>
        <w:t>подразделы</w:t>
      </w:r>
      <w:r w:rsidRPr="006D74C4">
        <w:t xml:space="preserve"> 1 и 2</w:t>
      </w:r>
      <w:r>
        <w:t>,</w:t>
      </w:r>
      <w:r w:rsidRPr="006D74C4">
        <w:t xml:space="preserve"> документа ECE/TRANS/WP.15/AC.1/156).</w:t>
      </w:r>
    </w:p>
    <w:p w14:paraId="0E10E291" w14:textId="77777777" w:rsidR="00E57073" w:rsidRPr="006D74C4" w:rsidRDefault="00E57073" w:rsidP="00E57073">
      <w:pPr>
        <w:pStyle w:val="HChG"/>
      </w:pPr>
      <w:r w:rsidRPr="006D74C4">
        <w:tab/>
      </w:r>
      <w:r w:rsidRPr="006D74C4">
        <w:tab/>
      </w:r>
      <w:r w:rsidRPr="006D74C4">
        <w:rPr>
          <w:bCs/>
        </w:rPr>
        <w:t>Введение</w:t>
      </w:r>
    </w:p>
    <w:p w14:paraId="38D07E69" w14:textId="77777777" w:rsidR="00E57073" w:rsidRPr="006D74C4" w:rsidRDefault="00E57073" w:rsidP="00E57073">
      <w:pPr>
        <w:pStyle w:val="SingleTxtG"/>
      </w:pPr>
      <w:r w:rsidRPr="006D74C4">
        <w:t>3.</w:t>
      </w:r>
      <w:r w:rsidRPr="006D74C4">
        <w:tab/>
        <w:t>Система управления рисками при перевозке опасных грузов внутренним транспортом была разработана в сотрудничестве с делегатами Совместного совещания и при административной и технической поддержке Европейского железнодорожного агентства.</w:t>
      </w:r>
    </w:p>
    <w:p w14:paraId="318E62A7" w14:textId="77777777" w:rsidR="00E57073" w:rsidRPr="006D74C4" w:rsidRDefault="00E57073" w:rsidP="00E57073">
      <w:pPr>
        <w:pStyle w:val="SingleTxtG"/>
      </w:pPr>
      <w:r w:rsidRPr="006D74C4">
        <w:t>4.</w:t>
      </w:r>
      <w:r w:rsidRPr="006D74C4">
        <w:tab/>
        <w:t>Эта система поддерживается и постоянно совершенствуется Группой экспертов по вопросам пользователей и разработки, в состав которой также входят делегаты и эксперты Совместного совещания, работающие на добровольных началах. Функционированию этой группы содействует Европейское железнодорожное агентство под эгидой Европейской комиссии.</w:t>
      </w:r>
    </w:p>
    <w:p w14:paraId="3E6B78B6" w14:textId="77777777" w:rsidR="00E57073" w:rsidRPr="006D74C4" w:rsidRDefault="00E57073" w:rsidP="00E57073">
      <w:pPr>
        <w:pStyle w:val="SingleTxtG"/>
      </w:pPr>
      <w:r w:rsidRPr="006D74C4">
        <w:t>5.</w:t>
      </w:r>
      <w:r w:rsidRPr="006D74C4">
        <w:tab/>
      </w:r>
      <w:r>
        <w:t>Данная</w:t>
      </w:r>
      <w:r w:rsidRPr="006D74C4">
        <w:t xml:space="preserve"> система представляет собой всеобъемлющий набор руководств в технической области управления рисками при перевозке опасных грузов внутренним транспортом и предназначена для использования в отношении трех видов транспорта в рамках МПОГ/ДОПОГ/ВОПОГ.</w:t>
      </w:r>
    </w:p>
    <w:p w14:paraId="3C02A201" w14:textId="77777777" w:rsidR="00E57073" w:rsidRPr="006D74C4" w:rsidRDefault="00E57073" w:rsidP="00E57073">
      <w:pPr>
        <w:pStyle w:val="SingleTxtG"/>
      </w:pPr>
      <w:r w:rsidRPr="006D74C4">
        <w:t>6.</w:t>
      </w:r>
      <w:r w:rsidRPr="006D74C4">
        <w:tab/>
        <w:t>Она предоставляет всем категориям потенциальных пользователей, включая органы власти, унифицированный метод оценки рисков, а также унифицированный процесс принятия решений и принципы, которые должны учитываться при подготовке надежных решений по управлению рисками.</w:t>
      </w:r>
    </w:p>
    <w:p w14:paraId="4C0DC991" w14:textId="77777777" w:rsidR="00E57073" w:rsidRPr="006D74C4" w:rsidRDefault="00E57073" w:rsidP="00E57073">
      <w:pPr>
        <w:pStyle w:val="SingleTxtG"/>
      </w:pPr>
      <w:r w:rsidRPr="006D74C4">
        <w:t>7.</w:t>
      </w:r>
      <w:r w:rsidRPr="006D74C4">
        <w:tab/>
        <w:t xml:space="preserve">С июля 2018 года по октябрь 2019 года Европейское железнодорожное агентство организовало при любезном содействии стран-добровольцев (Люксембург, Испания, Швейцария и Германия) рабочие совещания по публичному распространению информации, в ходе которых </w:t>
      </w:r>
      <w:r>
        <w:t xml:space="preserve">с </w:t>
      </w:r>
      <w:r w:rsidRPr="006D74C4">
        <w:t>методологи</w:t>
      </w:r>
      <w:r>
        <w:t>ей</w:t>
      </w:r>
      <w:r w:rsidRPr="006D74C4">
        <w:t xml:space="preserve"> этой системы был</w:t>
      </w:r>
      <w:r>
        <w:t>и</w:t>
      </w:r>
      <w:r w:rsidRPr="006D74C4">
        <w:t xml:space="preserve"> </w:t>
      </w:r>
      <w:r>
        <w:t xml:space="preserve">ознакомлены </w:t>
      </w:r>
      <w:r w:rsidRPr="006D74C4">
        <w:t>более чем 150 участник</w:t>
      </w:r>
      <w:r>
        <w:t xml:space="preserve">ов </w:t>
      </w:r>
      <w:r w:rsidRPr="006D74C4">
        <w:t>все</w:t>
      </w:r>
      <w:r>
        <w:t>х</w:t>
      </w:r>
      <w:r w:rsidRPr="006D74C4">
        <w:t xml:space="preserve"> категори</w:t>
      </w:r>
      <w:r>
        <w:t>й</w:t>
      </w:r>
      <w:r w:rsidRPr="006D74C4">
        <w:t xml:space="preserve"> целевых пользователей и внутренни</w:t>
      </w:r>
      <w:r>
        <w:t>х</w:t>
      </w:r>
      <w:r w:rsidRPr="006D74C4">
        <w:t xml:space="preserve"> вид</w:t>
      </w:r>
      <w:r>
        <w:t>ов</w:t>
      </w:r>
      <w:r w:rsidRPr="006D74C4">
        <w:t xml:space="preserve"> транспорта. </w:t>
      </w:r>
      <w:r>
        <w:t xml:space="preserve">Эти </w:t>
      </w:r>
      <w:r w:rsidRPr="006D74C4">
        <w:t xml:space="preserve">участники </w:t>
      </w:r>
      <w:r>
        <w:t>подтвердили высокое к</w:t>
      </w:r>
      <w:r w:rsidRPr="006D74C4">
        <w:t>ачество методологии, описанной в системе.</w:t>
      </w:r>
    </w:p>
    <w:p w14:paraId="47FAAB46" w14:textId="77777777" w:rsidR="00E57073" w:rsidRPr="006D74C4" w:rsidRDefault="00E57073" w:rsidP="00E57073">
      <w:pPr>
        <w:pStyle w:val="SingleTxtG"/>
      </w:pPr>
      <w:r w:rsidRPr="006D74C4">
        <w:t>8.</w:t>
      </w:r>
      <w:r w:rsidRPr="006D74C4">
        <w:tab/>
        <w:t>На сегодняшний день с содержанием веб-страниц системы ознакомились более 1</w:t>
      </w:r>
      <w:r>
        <w:t> </w:t>
      </w:r>
      <w:r w:rsidRPr="006D74C4">
        <w:t>500</w:t>
      </w:r>
      <w:r>
        <w:t> </w:t>
      </w:r>
      <w:r w:rsidRPr="006D74C4">
        <w:t>потенциальных пользователей.</w:t>
      </w:r>
    </w:p>
    <w:p w14:paraId="76896FF9" w14:textId="77777777" w:rsidR="00E57073" w:rsidRPr="006D74C4" w:rsidRDefault="00E57073" w:rsidP="00E57073">
      <w:pPr>
        <w:pStyle w:val="SingleTxtG"/>
      </w:pPr>
      <w:r w:rsidRPr="006D74C4">
        <w:t>9.</w:t>
      </w:r>
      <w:r w:rsidRPr="006D74C4">
        <w:tab/>
      </w:r>
      <w:r>
        <w:t xml:space="preserve">С целью </w:t>
      </w:r>
      <w:r w:rsidRPr="006D74C4">
        <w:t xml:space="preserve">обеспечить </w:t>
      </w:r>
      <w:r>
        <w:t xml:space="preserve">всестороннее отражение </w:t>
      </w:r>
      <w:r w:rsidRPr="006D74C4">
        <w:t>этой системы и предоставить пользователям самую последнюю информацию предлагается включить ссылку на нее в МПОГ/ДОПОГ/ВОПОГ.</w:t>
      </w:r>
    </w:p>
    <w:p w14:paraId="1199919B" w14:textId="77777777" w:rsidR="00E57073" w:rsidRPr="006D74C4" w:rsidRDefault="00E57073" w:rsidP="00E57073">
      <w:pPr>
        <w:pStyle w:val="SingleTxtG"/>
      </w:pPr>
      <w:r w:rsidRPr="006D74C4">
        <w:t>10.</w:t>
      </w:r>
      <w:r w:rsidRPr="006D74C4">
        <w:tab/>
        <w:t xml:space="preserve">Ниже </w:t>
      </w:r>
      <w:r>
        <w:t>изложены</w:t>
      </w:r>
      <w:r w:rsidRPr="006D74C4">
        <w:t xml:space="preserve"> два альтернативных предложения.</w:t>
      </w:r>
    </w:p>
    <w:p w14:paraId="4B739B62" w14:textId="77777777" w:rsidR="00E57073" w:rsidRPr="006D74C4" w:rsidRDefault="00E57073" w:rsidP="00E57073">
      <w:pPr>
        <w:pStyle w:val="HChG"/>
        <w:ind w:left="1132" w:firstLine="0"/>
      </w:pPr>
      <w:r w:rsidRPr="006D74C4">
        <w:rPr>
          <w:bCs/>
        </w:rPr>
        <w:t>Предложение 1</w:t>
      </w:r>
    </w:p>
    <w:p w14:paraId="2D1CE1A9" w14:textId="77777777" w:rsidR="00E57073" w:rsidRPr="006D74C4" w:rsidRDefault="00E57073" w:rsidP="00E57073">
      <w:pPr>
        <w:pStyle w:val="SingleTxtG"/>
        <w:spacing w:before="120"/>
      </w:pPr>
      <w:r w:rsidRPr="006D74C4">
        <w:t>[МПОГ]</w:t>
      </w:r>
    </w:p>
    <w:p w14:paraId="4809C8D1" w14:textId="77777777" w:rsidR="00E57073" w:rsidRPr="006D74C4" w:rsidRDefault="00E57073" w:rsidP="00E57073">
      <w:pPr>
        <w:pStyle w:val="SingleTxtG"/>
        <w:spacing w:before="120"/>
      </w:pPr>
      <w:r w:rsidRPr="006D74C4">
        <w:t xml:space="preserve">В разделе 1.9.3 главы 1.9 после сноски 20 </w:t>
      </w:r>
      <w:r w:rsidRPr="006D74C4">
        <w:rPr>
          <w:u w:val="single"/>
        </w:rPr>
        <w:t>включить</w:t>
      </w:r>
      <w:r w:rsidRPr="006D74C4">
        <w:t xml:space="preserve"> сноску 21 следующего содержания: </w:t>
      </w:r>
    </w:p>
    <w:p w14:paraId="3A69CB26" w14:textId="77777777" w:rsidR="00E57073" w:rsidRPr="006D74C4" w:rsidRDefault="00E57073" w:rsidP="00E57073">
      <w:pPr>
        <w:pStyle w:val="SingleTxtG"/>
        <w:spacing w:before="120"/>
      </w:pPr>
      <w:r>
        <w:t>«</w:t>
      </w:r>
      <w:r w:rsidRPr="002642E4">
        <w:rPr>
          <w:vertAlign w:val="superscript"/>
        </w:rPr>
        <w:t>21</w:t>
      </w:r>
      <w:r w:rsidRPr="006D74C4">
        <w:tab/>
        <w:t>С системой управления рисками при перевозке опасных грузов внутренним транспортом можно ознакомиться на веб-сайте Генерального директората по мобильности и транспорту Европейской комиссии (</w:t>
      </w:r>
      <w:hyperlink r:id="rId9" w:history="1">
        <w:r w:rsidR="00735016" w:rsidRPr="00077654">
          <w:rPr>
            <w:rStyle w:val="Hyperlink"/>
          </w:rPr>
          <w:t>https://ec.europa.eu/transport/</w:t>
        </w:r>
      </w:hyperlink>
      <w:r w:rsidR="00735016">
        <w:rPr>
          <w:color w:val="0000FF"/>
        </w:rPr>
        <w:t xml:space="preserve"> </w:t>
      </w:r>
      <w:proofErr w:type="spellStart"/>
      <w:r w:rsidR="00735016" w:rsidRPr="00735016">
        <w:rPr>
          <w:color w:val="0000FF"/>
        </w:rPr>
        <w:t>themes</w:t>
      </w:r>
      <w:proofErr w:type="spellEnd"/>
      <w:r w:rsidR="00735016" w:rsidRPr="00735016">
        <w:rPr>
          <w:color w:val="0000FF"/>
        </w:rPr>
        <w:t>/</w:t>
      </w:r>
      <w:proofErr w:type="spellStart"/>
      <w:r w:rsidR="00735016" w:rsidRPr="00735016">
        <w:rPr>
          <w:color w:val="0000FF"/>
        </w:rPr>
        <w:t>dangerous_good</w:t>
      </w:r>
      <w:proofErr w:type="spellEnd"/>
      <w:r w:rsidR="00735016" w:rsidRPr="00735016">
        <w:rPr>
          <w:color w:val="0000FF"/>
        </w:rPr>
        <w:t>/</w:t>
      </w:r>
      <w:proofErr w:type="spellStart"/>
      <w:r w:rsidR="00735016" w:rsidRPr="00735016">
        <w:rPr>
          <w:color w:val="0000FF"/>
        </w:rPr>
        <w:t>risk_management_framework_en</w:t>
      </w:r>
      <w:proofErr w:type="spellEnd"/>
      <w:r w:rsidRPr="006D74C4">
        <w:t>) или непосредственно</w:t>
      </w:r>
      <w:r w:rsidR="00735016">
        <w:br/>
      </w:r>
      <w:r w:rsidRPr="006D74C4">
        <w:t>на веб-сайте Европейского железнодорожного агентства (</w:t>
      </w:r>
      <w:hyperlink r:id="rId10" w:history="1">
        <w:r w:rsidR="00735016" w:rsidRPr="00077654">
          <w:rPr>
            <w:rStyle w:val="Hyperlink"/>
            <w:lang w:val="en-US"/>
          </w:rPr>
          <w:t>https</w:t>
        </w:r>
        <w:r w:rsidR="00735016" w:rsidRPr="00077654">
          <w:rPr>
            <w:rStyle w:val="Hyperlink"/>
          </w:rPr>
          <w:t>://</w:t>
        </w:r>
        <w:r w:rsidR="00735016" w:rsidRPr="00077654">
          <w:rPr>
            <w:rStyle w:val="Hyperlink"/>
            <w:lang w:val="en-US"/>
          </w:rPr>
          <w:t>www</w:t>
        </w:r>
        <w:r w:rsidR="00735016" w:rsidRPr="00077654">
          <w:rPr>
            <w:rStyle w:val="Hyperlink"/>
          </w:rPr>
          <w:t>.</w:t>
        </w:r>
        <w:r w:rsidR="00735016" w:rsidRPr="00077654">
          <w:rPr>
            <w:rStyle w:val="Hyperlink"/>
            <w:lang w:val="en-US"/>
          </w:rPr>
          <w:t>era</w:t>
        </w:r>
        <w:r w:rsidR="00735016" w:rsidRPr="00077654">
          <w:rPr>
            <w:rStyle w:val="Hyperlink"/>
          </w:rPr>
          <w:t>.</w:t>
        </w:r>
        <w:proofErr w:type="spellStart"/>
        <w:r w:rsidR="00735016" w:rsidRPr="00077654">
          <w:rPr>
            <w:rStyle w:val="Hyperlink"/>
            <w:lang w:val="en-US"/>
          </w:rPr>
          <w:t>europa</w:t>
        </w:r>
        <w:proofErr w:type="spellEnd"/>
        <w:r w:rsidR="00735016" w:rsidRPr="00077654">
          <w:rPr>
            <w:rStyle w:val="Hyperlink"/>
          </w:rPr>
          <w:t>.</w:t>
        </w:r>
        <w:proofErr w:type="spellStart"/>
        <w:r w:rsidR="00735016" w:rsidRPr="00077654">
          <w:rPr>
            <w:rStyle w:val="Hyperlink"/>
            <w:lang w:val="en-US"/>
          </w:rPr>
          <w:t>eu</w:t>
        </w:r>
        <w:proofErr w:type="spellEnd"/>
        <w:r w:rsidR="00735016" w:rsidRPr="00077654">
          <w:rPr>
            <w:rStyle w:val="Hyperlink"/>
          </w:rPr>
          <w:t xml:space="preserve">/ </w:t>
        </w:r>
        <w:r w:rsidR="00735016" w:rsidRPr="00077654">
          <w:rPr>
            <w:rStyle w:val="Hyperlink"/>
            <w:lang w:val="en-US"/>
          </w:rPr>
          <w:t>activities</w:t>
        </w:r>
        <w:r w:rsidR="00735016" w:rsidRPr="00077654">
          <w:rPr>
            <w:rStyle w:val="Hyperlink"/>
          </w:rPr>
          <w:t>/</w:t>
        </w:r>
        <w:r w:rsidR="00735016" w:rsidRPr="00077654">
          <w:rPr>
            <w:rStyle w:val="Hyperlink"/>
            <w:lang w:val="en-US"/>
          </w:rPr>
          <w:t>transport</w:t>
        </w:r>
        <w:r w:rsidR="00735016" w:rsidRPr="00077654">
          <w:rPr>
            <w:rStyle w:val="Hyperlink"/>
          </w:rPr>
          <w:t>-</w:t>
        </w:r>
        <w:r w:rsidR="00735016" w:rsidRPr="00077654">
          <w:rPr>
            <w:rStyle w:val="Hyperlink"/>
            <w:lang w:val="en-US"/>
          </w:rPr>
          <w:t>dangerous</w:t>
        </w:r>
        <w:r w:rsidR="00735016" w:rsidRPr="00077654">
          <w:rPr>
            <w:rStyle w:val="Hyperlink"/>
          </w:rPr>
          <w:t>-</w:t>
        </w:r>
        <w:r w:rsidR="00735016" w:rsidRPr="00077654">
          <w:rPr>
            <w:rStyle w:val="Hyperlink"/>
            <w:lang w:val="en-US"/>
          </w:rPr>
          <w:t>goods</w:t>
        </w:r>
        <w:r w:rsidR="00735016" w:rsidRPr="00077654">
          <w:rPr>
            <w:rStyle w:val="Hyperlink"/>
          </w:rPr>
          <w:t>/</w:t>
        </w:r>
        <w:r w:rsidR="00735016" w:rsidRPr="00077654">
          <w:rPr>
            <w:rStyle w:val="Hyperlink"/>
            <w:lang w:val="en-US"/>
          </w:rPr>
          <w:t>inland</w:t>
        </w:r>
        <w:r w:rsidR="00735016" w:rsidRPr="00077654">
          <w:rPr>
            <w:rStyle w:val="Hyperlink"/>
          </w:rPr>
          <w:t>-</w:t>
        </w:r>
        <w:proofErr w:type="spellStart"/>
        <w:r w:rsidR="00735016" w:rsidRPr="00077654">
          <w:rPr>
            <w:rStyle w:val="Hyperlink"/>
            <w:lang w:val="en-US"/>
          </w:rPr>
          <w:t>tdg</w:t>
        </w:r>
        <w:proofErr w:type="spellEnd"/>
        <w:r w:rsidR="00735016" w:rsidRPr="00077654">
          <w:rPr>
            <w:rStyle w:val="Hyperlink"/>
          </w:rPr>
          <w:t>_</w:t>
        </w:r>
        <w:proofErr w:type="spellStart"/>
        <w:r w:rsidR="00735016" w:rsidRPr="00077654">
          <w:rPr>
            <w:rStyle w:val="Hyperlink"/>
            <w:lang w:val="en-US"/>
          </w:rPr>
          <w:t>en</w:t>
        </w:r>
        <w:proofErr w:type="spellEnd"/>
      </w:hyperlink>
      <w:r w:rsidRPr="006D74C4">
        <w:t>)</w:t>
      </w:r>
      <w:r w:rsidR="00735016">
        <w:t>»</w:t>
      </w:r>
      <w:r w:rsidRPr="006D74C4">
        <w:t>.</w:t>
      </w:r>
    </w:p>
    <w:p w14:paraId="07A346C0" w14:textId="77777777" w:rsidR="00E57073" w:rsidRPr="006D74C4" w:rsidRDefault="00E57073" w:rsidP="00E57073">
      <w:pPr>
        <w:pStyle w:val="SingleTxtG"/>
        <w:spacing w:before="120"/>
      </w:pPr>
      <w:r w:rsidRPr="006D74C4">
        <w:t>[ДОПОГ]</w:t>
      </w:r>
    </w:p>
    <w:p w14:paraId="1DDDF457" w14:textId="77777777" w:rsidR="00E57073" w:rsidRPr="006D74C4" w:rsidRDefault="00E57073" w:rsidP="00E57073">
      <w:pPr>
        <w:pStyle w:val="SingleTxtG"/>
        <w:spacing w:before="120"/>
      </w:pPr>
      <w:r w:rsidRPr="006D74C4">
        <w:t xml:space="preserve">В разделе 1.9.4 главы 1.9 после сноски 1 </w:t>
      </w:r>
      <w:r w:rsidRPr="006D74C4">
        <w:rPr>
          <w:u w:val="single"/>
        </w:rPr>
        <w:t xml:space="preserve">включить </w:t>
      </w:r>
      <w:r w:rsidRPr="006D74C4">
        <w:t xml:space="preserve">сноску 2 следующего содержания: </w:t>
      </w:r>
    </w:p>
    <w:p w14:paraId="66F3771C" w14:textId="77777777" w:rsidR="00E57073" w:rsidRPr="006D74C4" w:rsidRDefault="00735016" w:rsidP="00E57073">
      <w:pPr>
        <w:pStyle w:val="SingleTxtG"/>
        <w:spacing w:before="120"/>
      </w:pPr>
      <w:r>
        <w:t>«</w:t>
      </w:r>
      <w:r w:rsidR="00E57073" w:rsidRPr="002642E4">
        <w:rPr>
          <w:vertAlign w:val="superscript"/>
        </w:rPr>
        <w:t>2</w:t>
      </w:r>
      <w:r w:rsidR="00E57073" w:rsidRPr="006D74C4">
        <w:tab/>
        <w:t xml:space="preserve">С системой управления рисками при перевозке опасных грузов внутренним транспортом можно ознакомиться на веб-сайте Генерального директората по </w:t>
      </w:r>
      <w:r w:rsidR="00E57073" w:rsidRPr="006D74C4">
        <w:lastRenderedPageBreak/>
        <w:t>мобильности и транспорту Европейской комиссии (</w:t>
      </w:r>
      <w:hyperlink r:id="rId11" w:history="1">
        <w:r w:rsidRPr="00077654">
          <w:rPr>
            <w:rStyle w:val="Hyperlink"/>
          </w:rPr>
          <w:t>https://ec.europa.eu/transport/</w:t>
        </w:r>
      </w:hyperlink>
      <w:r>
        <w:rPr>
          <w:color w:val="0000FF"/>
        </w:rPr>
        <w:t xml:space="preserve"> </w:t>
      </w:r>
      <w:proofErr w:type="spellStart"/>
      <w:r w:rsidRPr="00735016">
        <w:rPr>
          <w:color w:val="0000FF"/>
        </w:rPr>
        <w:t>themes</w:t>
      </w:r>
      <w:proofErr w:type="spellEnd"/>
      <w:r w:rsidRPr="00735016">
        <w:rPr>
          <w:color w:val="0000FF"/>
        </w:rPr>
        <w:t>/</w:t>
      </w:r>
      <w:proofErr w:type="spellStart"/>
      <w:r w:rsidRPr="00735016">
        <w:rPr>
          <w:color w:val="0000FF"/>
        </w:rPr>
        <w:t>dangerous_good</w:t>
      </w:r>
      <w:proofErr w:type="spellEnd"/>
      <w:r w:rsidRPr="00735016">
        <w:rPr>
          <w:color w:val="0000FF"/>
        </w:rPr>
        <w:t>/</w:t>
      </w:r>
      <w:proofErr w:type="spellStart"/>
      <w:r w:rsidRPr="00735016">
        <w:rPr>
          <w:color w:val="0000FF"/>
        </w:rPr>
        <w:t>risk_management_framework_en</w:t>
      </w:r>
      <w:proofErr w:type="spellEnd"/>
      <w:r w:rsidR="00E57073" w:rsidRPr="006D74C4">
        <w:t>)</w:t>
      </w:r>
      <w:r>
        <w:t>»</w:t>
      </w:r>
      <w:r w:rsidR="00E57073" w:rsidRPr="006D74C4">
        <w:t>.</w:t>
      </w:r>
    </w:p>
    <w:p w14:paraId="252D4E48" w14:textId="77777777" w:rsidR="00E57073" w:rsidRPr="006D74C4" w:rsidRDefault="00E57073" w:rsidP="00E57073">
      <w:pPr>
        <w:pStyle w:val="SingleTxtG"/>
        <w:spacing w:before="120"/>
      </w:pPr>
      <w:r w:rsidRPr="006D74C4">
        <w:t>[ВОПОГ]</w:t>
      </w:r>
    </w:p>
    <w:p w14:paraId="5620E337" w14:textId="77777777" w:rsidR="00E57073" w:rsidRPr="006D74C4" w:rsidRDefault="00E57073" w:rsidP="00E57073">
      <w:pPr>
        <w:pStyle w:val="SingleTxtG"/>
        <w:spacing w:before="120"/>
      </w:pPr>
      <w:r w:rsidRPr="006D74C4">
        <w:t xml:space="preserve">В конце раздела 1.9.4 главы 1.9 </w:t>
      </w:r>
      <w:r w:rsidRPr="006D74C4">
        <w:rPr>
          <w:u w:val="single"/>
        </w:rPr>
        <w:t>включить</w:t>
      </w:r>
      <w:r w:rsidRPr="006D74C4">
        <w:t xml:space="preserve"> сноску 1 следующего содержания: </w:t>
      </w:r>
    </w:p>
    <w:p w14:paraId="46B9A4A0" w14:textId="77777777" w:rsidR="00E57073" w:rsidRPr="006D74C4" w:rsidRDefault="00735016" w:rsidP="00E57073">
      <w:pPr>
        <w:pStyle w:val="SingleTxtG"/>
        <w:spacing w:before="120"/>
      </w:pPr>
      <w:r>
        <w:t>«</w:t>
      </w:r>
      <w:r w:rsidR="00E57073" w:rsidRPr="002642E4">
        <w:rPr>
          <w:vertAlign w:val="superscript"/>
        </w:rPr>
        <w:t>1</w:t>
      </w:r>
      <w:r w:rsidR="00E57073" w:rsidRPr="006D74C4">
        <w:tab/>
        <w:t>С системой управления рисками при перевозке опасных грузов внутренним транспортом можно ознакомиться на веб-сайте Генерального директората по мобильности и транспорту Европейской комиссии (</w:t>
      </w:r>
      <w:hyperlink r:id="rId12" w:history="1">
        <w:r w:rsidRPr="00077654">
          <w:rPr>
            <w:rStyle w:val="Hyperlink"/>
            <w:lang w:val="en-US"/>
          </w:rPr>
          <w:t>https</w:t>
        </w:r>
        <w:r w:rsidRPr="00077654">
          <w:rPr>
            <w:rStyle w:val="Hyperlink"/>
          </w:rPr>
          <w:t>://</w:t>
        </w:r>
        <w:proofErr w:type="spellStart"/>
        <w:r w:rsidRPr="00077654">
          <w:rPr>
            <w:rStyle w:val="Hyperlink"/>
            <w:lang w:val="en-US"/>
          </w:rPr>
          <w:t>ec</w:t>
        </w:r>
        <w:proofErr w:type="spellEnd"/>
        <w:r w:rsidRPr="00077654">
          <w:rPr>
            <w:rStyle w:val="Hyperlink"/>
          </w:rPr>
          <w:t>.</w:t>
        </w:r>
        <w:proofErr w:type="spellStart"/>
        <w:r w:rsidRPr="00077654">
          <w:rPr>
            <w:rStyle w:val="Hyperlink"/>
            <w:lang w:val="en-US"/>
          </w:rPr>
          <w:t>europa</w:t>
        </w:r>
        <w:proofErr w:type="spellEnd"/>
        <w:r w:rsidRPr="00077654">
          <w:rPr>
            <w:rStyle w:val="Hyperlink"/>
          </w:rPr>
          <w:t>.</w:t>
        </w:r>
        <w:proofErr w:type="spellStart"/>
        <w:r w:rsidRPr="00077654">
          <w:rPr>
            <w:rStyle w:val="Hyperlink"/>
            <w:lang w:val="en-US"/>
          </w:rPr>
          <w:t>eu</w:t>
        </w:r>
        <w:proofErr w:type="spellEnd"/>
        <w:r w:rsidRPr="00077654">
          <w:rPr>
            <w:rStyle w:val="Hyperlink"/>
          </w:rPr>
          <w:t>/</w:t>
        </w:r>
        <w:r w:rsidRPr="00077654">
          <w:rPr>
            <w:rStyle w:val="Hyperlink"/>
            <w:lang w:val="en-US"/>
          </w:rPr>
          <w:t>transport</w:t>
        </w:r>
        <w:r w:rsidRPr="00077654">
          <w:rPr>
            <w:rStyle w:val="Hyperlink"/>
          </w:rPr>
          <w:t xml:space="preserve">/ </w:t>
        </w:r>
        <w:r w:rsidRPr="00077654">
          <w:rPr>
            <w:rStyle w:val="Hyperlink"/>
            <w:lang w:val="en-US"/>
          </w:rPr>
          <w:t>themes</w:t>
        </w:r>
        <w:r w:rsidRPr="00077654">
          <w:rPr>
            <w:rStyle w:val="Hyperlink"/>
          </w:rPr>
          <w:t>/</w:t>
        </w:r>
        <w:r w:rsidRPr="00077654">
          <w:rPr>
            <w:rStyle w:val="Hyperlink"/>
            <w:lang w:val="en-US"/>
          </w:rPr>
          <w:t>dangerous</w:t>
        </w:r>
        <w:r w:rsidRPr="00077654">
          <w:rPr>
            <w:rStyle w:val="Hyperlink"/>
          </w:rPr>
          <w:t>_</w:t>
        </w:r>
        <w:r w:rsidRPr="00077654">
          <w:rPr>
            <w:rStyle w:val="Hyperlink"/>
            <w:lang w:val="en-US"/>
          </w:rPr>
          <w:t>good</w:t>
        </w:r>
        <w:r w:rsidRPr="00077654">
          <w:rPr>
            <w:rStyle w:val="Hyperlink"/>
          </w:rPr>
          <w:t>/</w:t>
        </w:r>
        <w:r w:rsidRPr="00077654">
          <w:rPr>
            <w:rStyle w:val="Hyperlink"/>
            <w:lang w:val="en-US"/>
          </w:rPr>
          <w:t>risk</w:t>
        </w:r>
        <w:r w:rsidRPr="00077654">
          <w:rPr>
            <w:rStyle w:val="Hyperlink"/>
          </w:rPr>
          <w:t>_</w:t>
        </w:r>
        <w:r w:rsidRPr="00077654">
          <w:rPr>
            <w:rStyle w:val="Hyperlink"/>
            <w:lang w:val="en-US"/>
          </w:rPr>
          <w:t>management</w:t>
        </w:r>
        <w:r w:rsidRPr="00077654">
          <w:rPr>
            <w:rStyle w:val="Hyperlink"/>
          </w:rPr>
          <w:t>_</w:t>
        </w:r>
        <w:r w:rsidRPr="00077654">
          <w:rPr>
            <w:rStyle w:val="Hyperlink"/>
            <w:lang w:val="en-US"/>
          </w:rPr>
          <w:t>framework</w:t>
        </w:r>
        <w:r w:rsidRPr="00077654">
          <w:rPr>
            <w:rStyle w:val="Hyperlink"/>
          </w:rPr>
          <w:t>_</w:t>
        </w:r>
        <w:proofErr w:type="spellStart"/>
        <w:r w:rsidRPr="00077654">
          <w:rPr>
            <w:rStyle w:val="Hyperlink"/>
            <w:lang w:val="en-US"/>
          </w:rPr>
          <w:t>en</w:t>
        </w:r>
        <w:proofErr w:type="spellEnd"/>
      </w:hyperlink>
      <w:r w:rsidR="00E57073" w:rsidRPr="006D74C4">
        <w:t>)</w:t>
      </w:r>
      <w:r>
        <w:t>»</w:t>
      </w:r>
      <w:r w:rsidR="00E57073" w:rsidRPr="006D74C4">
        <w:t>.</w:t>
      </w:r>
    </w:p>
    <w:p w14:paraId="5AED5A53" w14:textId="77777777" w:rsidR="00E57073" w:rsidRPr="006D74C4" w:rsidRDefault="00E57073" w:rsidP="00E57073">
      <w:pPr>
        <w:pStyle w:val="HChG"/>
      </w:pPr>
      <w:r w:rsidRPr="006D74C4">
        <w:tab/>
      </w:r>
      <w:r w:rsidRPr="006D74C4">
        <w:tab/>
      </w:r>
      <w:r w:rsidRPr="006D74C4">
        <w:rPr>
          <w:bCs/>
        </w:rPr>
        <w:t>Предложение 2</w:t>
      </w:r>
    </w:p>
    <w:p w14:paraId="5EAF17F0" w14:textId="77777777" w:rsidR="00E57073" w:rsidRPr="006D74C4" w:rsidRDefault="00E57073" w:rsidP="00E57073">
      <w:pPr>
        <w:pStyle w:val="SingleTxtG"/>
      </w:pPr>
      <w:r w:rsidRPr="006D74C4">
        <w:t>Заменить текст существующей сноски 20 в разделе 1.9.3 МПОГ и сноски 1</w:t>
      </w:r>
      <w:r w:rsidR="00735016">
        <w:br/>
      </w:r>
      <w:r w:rsidRPr="006D74C4">
        <w:t>в разделе 1.9.4 ДОПОГ текстами, предложенными выше.</w:t>
      </w:r>
    </w:p>
    <w:p w14:paraId="7E3640B4" w14:textId="77777777" w:rsidR="00E57073" w:rsidRPr="006D74C4" w:rsidRDefault="00E57073" w:rsidP="00E57073">
      <w:pPr>
        <w:pStyle w:val="SingleTxtG"/>
      </w:pPr>
      <w:r w:rsidRPr="006D74C4">
        <w:t>Что касается ВОПОГ, то предложенный выше текст следует принять без дополнительных поправок.</w:t>
      </w:r>
    </w:p>
    <w:p w14:paraId="025D3686" w14:textId="77777777" w:rsidR="00E57073" w:rsidRPr="006D74C4" w:rsidRDefault="00E57073" w:rsidP="00E57073">
      <w:pPr>
        <w:pStyle w:val="SingleTxtG"/>
      </w:pPr>
      <w:r w:rsidRPr="006D74C4">
        <w:t>Сопутствующие поправки: указать ссылки на новые руководящие принципы</w:t>
      </w:r>
      <w:r w:rsidR="00735016">
        <w:br/>
      </w:r>
      <w:r w:rsidRPr="006D74C4">
        <w:t>на веб-сайтах ОТИФ и ЕЭК ООН.</w:t>
      </w:r>
    </w:p>
    <w:p w14:paraId="4D017358" w14:textId="77777777" w:rsidR="00E57073" w:rsidRPr="006D74C4" w:rsidRDefault="00E57073" w:rsidP="00E57073">
      <w:pPr>
        <w:pStyle w:val="HChG"/>
      </w:pPr>
      <w:r w:rsidRPr="006D74C4">
        <w:tab/>
      </w:r>
      <w:r w:rsidRPr="006D74C4">
        <w:tab/>
      </w:r>
      <w:r w:rsidRPr="006D74C4">
        <w:rPr>
          <w:bCs/>
        </w:rPr>
        <w:t>Обоснования</w:t>
      </w:r>
    </w:p>
    <w:p w14:paraId="4BB2C772" w14:textId="77777777" w:rsidR="00E57073" w:rsidRPr="006D74C4" w:rsidRDefault="00E57073" w:rsidP="00E57073">
      <w:pPr>
        <w:pStyle w:val="SingleTxtG"/>
        <w:spacing w:before="120"/>
      </w:pPr>
      <w:r w:rsidRPr="006D74C4">
        <w:rPr>
          <w:u w:val="single"/>
        </w:rPr>
        <w:t>Предложение 1</w:t>
      </w:r>
      <w:r w:rsidRPr="006D74C4">
        <w:t>:</w:t>
      </w:r>
    </w:p>
    <w:p w14:paraId="249A2E0B" w14:textId="77777777" w:rsidR="00E57073" w:rsidRPr="006D74C4" w:rsidRDefault="00E57073" w:rsidP="00E57073">
      <w:pPr>
        <w:pStyle w:val="SingleTxtG"/>
        <w:spacing w:before="120"/>
      </w:pPr>
      <w:r w:rsidRPr="006D74C4">
        <w:t xml:space="preserve">Данное предложение не имеет отрицательных последствий, поскольку указанная система совместима с действующим законодательством и практикой, что было подтверждено в ходе рабочих совещаний по распространению информации и совещаний ГЭПР. Ее внедрение является добровольным для любой категории пользователей. </w:t>
      </w:r>
    </w:p>
    <w:p w14:paraId="49E5165D" w14:textId="77777777" w:rsidR="00E57073" w:rsidRPr="006D74C4" w:rsidRDefault="00E57073" w:rsidP="00E57073">
      <w:pPr>
        <w:pStyle w:val="SingleTxtG"/>
        <w:spacing w:before="120"/>
      </w:pPr>
      <w:r w:rsidRPr="006D74C4">
        <w:t xml:space="preserve">Она предоставляет согласованную и всеобъемлющую методологию новым потенциальным пользователям, которые хотели бы </w:t>
      </w:r>
      <w:r>
        <w:t xml:space="preserve">приступить к </w:t>
      </w:r>
      <w:r w:rsidRPr="006D74C4">
        <w:t>использова</w:t>
      </w:r>
      <w:r>
        <w:t>нию</w:t>
      </w:r>
      <w:r w:rsidRPr="006D74C4">
        <w:t xml:space="preserve"> метод</w:t>
      </w:r>
      <w:r>
        <w:t>ов</w:t>
      </w:r>
      <w:r w:rsidRPr="006D74C4">
        <w:t xml:space="preserve"> управления рисками.</w:t>
      </w:r>
    </w:p>
    <w:p w14:paraId="7497DABA" w14:textId="77777777" w:rsidR="00E57073" w:rsidRPr="006D74C4" w:rsidRDefault="00E57073" w:rsidP="00E57073">
      <w:pPr>
        <w:pStyle w:val="SingleTxtG"/>
        <w:spacing w:before="120"/>
      </w:pPr>
      <w:r w:rsidRPr="006D74C4">
        <w:rPr>
          <w:u w:val="single"/>
        </w:rPr>
        <w:t>Предложение 2</w:t>
      </w:r>
      <w:r w:rsidRPr="006D74C4">
        <w:t>:</w:t>
      </w:r>
    </w:p>
    <w:p w14:paraId="00AF15D3" w14:textId="77777777" w:rsidR="00E57073" w:rsidRPr="006D74C4" w:rsidRDefault="00E57073" w:rsidP="00E57073">
      <w:pPr>
        <w:pStyle w:val="SingleTxtG"/>
        <w:spacing w:before="120"/>
      </w:pPr>
      <w:r w:rsidRPr="006D74C4">
        <w:t>Предложение заменить существующие ссылки на общие руководящие принципы, которые в настоящее время упоминаются в сносках к главе 1.9 (МПОГ 2019 года/</w:t>
      </w:r>
      <w:r w:rsidR="00735016">
        <w:t xml:space="preserve"> </w:t>
      </w:r>
      <w:r w:rsidRPr="006D74C4">
        <w:t>ДОПОГ 2019 года), обусловлено тем, что содержащаяся в них информация заменяется вновь созданной системой, которая более подробно описывает методы управления рисками. Предыдущие руководящие принципы являются менее содержательными для пользователей, чем эта новая система, и не обновлялись с момента их первой публикации (т.</w:t>
      </w:r>
      <w:r w:rsidR="00735016">
        <w:t> </w:t>
      </w:r>
      <w:r w:rsidRPr="006D74C4">
        <w:t>е. с мая и октября 2008 года), в силу чего они могут содержать устаревшие элементы.</w:t>
      </w:r>
    </w:p>
    <w:p w14:paraId="57E4E3B1" w14:textId="77777777" w:rsidR="00E57073" w:rsidRPr="006D74C4" w:rsidRDefault="00E57073" w:rsidP="00E57073">
      <w:pPr>
        <w:pStyle w:val="SingleTxtG"/>
        <w:spacing w:before="120"/>
      </w:pPr>
      <w:r w:rsidRPr="006D74C4">
        <w:t>Такой подход упростит порядок осуществления главы 1.9 для трех видов транспорта, при котором потенциальные пользователи будут рассматривать только одну мультимодальную методологию.</w:t>
      </w:r>
    </w:p>
    <w:p w14:paraId="02FFE54E" w14:textId="77777777" w:rsidR="00E57073" w:rsidRPr="006D74C4" w:rsidRDefault="00E57073" w:rsidP="00E57073">
      <w:pPr>
        <w:pStyle w:val="HChG"/>
      </w:pPr>
      <w:r w:rsidRPr="006D74C4">
        <w:tab/>
      </w:r>
      <w:r w:rsidRPr="006D74C4">
        <w:tab/>
      </w:r>
      <w:r w:rsidRPr="006D74C4">
        <w:rPr>
          <w:bCs/>
        </w:rPr>
        <w:t>Прямые ссылки на руководства системы</w:t>
      </w:r>
    </w:p>
    <w:p w14:paraId="2E0CA4C6" w14:textId="77777777" w:rsidR="00E57073" w:rsidRPr="00735016" w:rsidRDefault="008127AA" w:rsidP="00E57073">
      <w:pPr>
        <w:pStyle w:val="SingleTxtG"/>
        <w:rPr>
          <w:rFonts w:asciiTheme="majorBidi" w:hAnsiTheme="majorBidi" w:cstheme="majorBidi"/>
          <w:color w:val="0000FF"/>
        </w:rPr>
      </w:pPr>
      <w:hyperlink r:id="rId13" w:history="1">
        <w:r w:rsidR="00E57073" w:rsidRPr="00735016">
          <w:rPr>
            <w:color w:val="0000FF"/>
          </w:rPr>
          <w:t>Руководство по системе (обзор)</w:t>
        </w:r>
      </w:hyperlink>
    </w:p>
    <w:p w14:paraId="361A05B1" w14:textId="77777777" w:rsidR="00E57073" w:rsidRPr="00735016" w:rsidRDefault="008127AA" w:rsidP="00E57073">
      <w:pPr>
        <w:pStyle w:val="SingleTxtG"/>
        <w:rPr>
          <w:rStyle w:val="Hyperlink"/>
          <w:rFonts w:asciiTheme="majorBidi" w:hAnsiTheme="majorBidi" w:cstheme="majorBidi"/>
          <w:color w:val="0000FF"/>
        </w:rPr>
      </w:pPr>
      <w:hyperlink r:id="rId14" w:history="1">
        <w:r w:rsidR="00E57073" w:rsidRPr="00735016">
          <w:rPr>
            <w:color w:val="0000FF"/>
          </w:rPr>
          <w:t>Руководство по оценке рисков</w:t>
        </w:r>
      </w:hyperlink>
    </w:p>
    <w:p w14:paraId="1F5925E7" w14:textId="77777777" w:rsidR="00735016" w:rsidRPr="00735016" w:rsidRDefault="008127AA" w:rsidP="00E57073">
      <w:pPr>
        <w:pStyle w:val="SingleTxtG"/>
        <w:rPr>
          <w:color w:val="0000FF"/>
        </w:rPr>
      </w:pPr>
      <w:hyperlink r:id="rId15" w:history="1">
        <w:r w:rsidR="00E57073" w:rsidRPr="00735016">
          <w:rPr>
            <w:color w:val="0000FF"/>
          </w:rPr>
          <w:t>Руководство по принятию решений</w:t>
        </w:r>
      </w:hyperlink>
    </w:p>
    <w:p w14:paraId="3A0FD726" w14:textId="77777777" w:rsidR="00E57073" w:rsidRPr="006D74C4" w:rsidRDefault="008127AA" w:rsidP="00E57073">
      <w:pPr>
        <w:pStyle w:val="SingleTxtG"/>
        <w:rPr>
          <w:rStyle w:val="Hyperlink"/>
          <w:rFonts w:asciiTheme="majorBidi" w:hAnsiTheme="majorBidi" w:cstheme="majorBidi"/>
        </w:rPr>
      </w:pPr>
      <w:hyperlink r:id="rId16" w:history="1">
        <w:r w:rsidR="00E57073" w:rsidRPr="00735016">
          <w:rPr>
            <w:color w:val="0000FF"/>
          </w:rPr>
          <w:t>Глоссарий по системе</w:t>
        </w:r>
      </w:hyperlink>
    </w:p>
    <w:p w14:paraId="0CBDAA8B" w14:textId="77777777" w:rsidR="00E57073" w:rsidRPr="006D74C4" w:rsidRDefault="00E57073" w:rsidP="00E57073">
      <w:pPr>
        <w:spacing w:before="240"/>
        <w:jc w:val="center"/>
        <w:rPr>
          <w:u w:val="single"/>
        </w:rPr>
      </w:pPr>
      <w:r w:rsidRPr="006D74C4">
        <w:rPr>
          <w:u w:val="single"/>
        </w:rPr>
        <w:tab/>
      </w:r>
      <w:r w:rsidRPr="006D74C4">
        <w:rPr>
          <w:u w:val="single"/>
        </w:rPr>
        <w:tab/>
      </w:r>
      <w:r w:rsidRPr="006D74C4">
        <w:rPr>
          <w:u w:val="single"/>
        </w:rPr>
        <w:tab/>
      </w:r>
    </w:p>
    <w:sectPr w:rsidR="00E57073" w:rsidRPr="006D74C4" w:rsidSect="00E57073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63AB" w14:textId="77777777" w:rsidR="004F3880" w:rsidRPr="00A312BC" w:rsidRDefault="004F3880" w:rsidP="00A312BC"/>
  </w:endnote>
  <w:endnote w:type="continuationSeparator" w:id="0">
    <w:p w14:paraId="75A2BD7C" w14:textId="77777777" w:rsidR="004F3880" w:rsidRPr="00A312BC" w:rsidRDefault="004F388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8BAB1" w14:textId="77777777" w:rsidR="00E57073" w:rsidRPr="00E57073" w:rsidRDefault="00E57073">
    <w:pPr>
      <w:pStyle w:val="Footer"/>
    </w:pPr>
    <w:r w:rsidRPr="00E57073">
      <w:rPr>
        <w:b/>
        <w:sz w:val="18"/>
      </w:rPr>
      <w:fldChar w:fldCharType="begin"/>
    </w:r>
    <w:r w:rsidRPr="00E57073">
      <w:rPr>
        <w:b/>
        <w:sz w:val="18"/>
      </w:rPr>
      <w:instrText xml:space="preserve"> PAGE  \* MERGEFORMAT </w:instrText>
    </w:r>
    <w:r w:rsidRPr="00E57073">
      <w:rPr>
        <w:b/>
        <w:sz w:val="18"/>
      </w:rPr>
      <w:fldChar w:fldCharType="separate"/>
    </w:r>
    <w:r w:rsidRPr="00E57073">
      <w:rPr>
        <w:b/>
        <w:noProof/>
        <w:sz w:val="18"/>
      </w:rPr>
      <w:t>2</w:t>
    </w:r>
    <w:r w:rsidRPr="00E57073">
      <w:rPr>
        <w:b/>
        <w:sz w:val="18"/>
      </w:rPr>
      <w:fldChar w:fldCharType="end"/>
    </w:r>
    <w:r>
      <w:rPr>
        <w:b/>
        <w:sz w:val="18"/>
      </w:rPr>
      <w:tab/>
    </w:r>
    <w:r>
      <w:t>GE.19-22566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E16B" w14:textId="77777777" w:rsidR="00E57073" w:rsidRPr="00E57073" w:rsidRDefault="00E57073" w:rsidP="00E57073">
    <w:pPr>
      <w:pStyle w:val="Footer"/>
      <w:tabs>
        <w:tab w:val="clear" w:pos="9639"/>
        <w:tab w:val="right" w:pos="9638"/>
      </w:tabs>
      <w:rPr>
        <w:b/>
        <w:sz w:val="18"/>
      </w:rPr>
    </w:pPr>
    <w:r>
      <w:t>GE.19-22566</w:t>
    </w:r>
    <w:r>
      <w:tab/>
    </w:r>
    <w:r w:rsidRPr="00E57073">
      <w:rPr>
        <w:b/>
        <w:sz w:val="18"/>
      </w:rPr>
      <w:fldChar w:fldCharType="begin"/>
    </w:r>
    <w:r w:rsidRPr="00E57073">
      <w:rPr>
        <w:b/>
        <w:sz w:val="18"/>
      </w:rPr>
      <w:instrText xml:space="preserve"> PAGE  \* MERGEFORMAT </w:instrText>
    </w:r>
    <w:r w:rsidRPr="00E57073">
      <w:rPr>
        <w:b/>
        <w:sz w:val="18"/>
      </w:rPr>
      <w:fldChar w:fldCharType="separate"/>
    </w:r>
    <w:r w:rsidRPr="00E57073">
      <w:rPr>
        <w:b/>
        <w:noProof/>
        <w:sz w:val="18"/>
      </w:rPr>
      <w:t>3</w:t>
    </w:r>
    <w:r w:rsidRPr="00E5707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70EB" w14:textId="77777777" w:rsidR="00042B72" w:rsidRPr="00E57073" w:rsidRDefault="00E57073" w:rsidP="00E5707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31E24B1" wp14:editId="46727BA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19-22566  (R)</w:t>
    </w:r>
    <w:r>
      <w:rPr>
        <w:lang w:val="en-US"/>
      </w:rPr>
      <w:t xml:space="preserve">  060120  070120</w:t>
    </w:r>
    <w:r>
      <w:br/>
    </w:r>
    <w:r w:rsidRPr="00E57073">
      <w:rPr>
        <w:rFonts w:ascii="C39T30Lfz" w:hAnsi="C39T30Lfz"/>
        <w:kern w:val="14"/>
        <w:sz w:val="56"/>
      </w:rPr>
      <w:t></w:t>
    </w:r>
    <w:r w:rsidRPr="00E57073">
      <w:rPr>
        <w:rFonts w:ascii="C39T30Lfz" w:hAnsi="C39T30Lfz"/>
        <w:kern w:val="14"/>
        <w:sz w:val="56"/>
      </w:rPr>
      <w:t></w:t>
    </w:r>
    <w:r w:rsidRPr="00E57073">
      <w:rPr>
        <w:rFonts w:ascii="C39T30Lfz" w:hAnsi="C39T30Lfz"/>
        <w:kern w:val="14"/>
        <w:sz w:val="56"/>
      </w:rPr>
      <w:t></w:t>
    </w:r>
    <w:r w:rsidRPr="00E57073">
      <w:rPr>
        <w:rFonts w:ascii="C39T30Lfz" w:hAnsi="C39T30Lfz"/>
        <w:kern w:val="14"/>
        <w:sz w:val="56"/>
      </w:rPr>
      <w:t></w:t>
    </w:r>
    <w:r w:rsidRPr="00E57073">
      <w:rPr>
        <w:rFonts w:ascii="C39T30Lfz" w:hAnsi="C39T30Lfz"/>
        <w:kern w:val="14"/>
        <w:sz w:val="56"/>
      </w:rPr>
      <w:t></w:t>
    </w:r>
    <w:r w:rsidRPr="00E57073">
      <w:rPr>
        <w:rFonts w:ascii="C39T30Lfz" w:hAnsi="C39T30Lfz"/>
        <w:kern w:val="14"/>
        <w:sz w:val="56"/>
      </w:rPr>
      <w:t></w:t>
    </w:r>
    <w:r w:rsidRPr="00E57073">
      <w:rPr>
        <w:rFonts w:ascii="C39T30Lfz" w:hAnsi="C39T30Lfz"/>
        <w:kern w:val="14"/>
        <w:sz w:val="56"/>
      </w:rPr>
      <w:t></w:t>
    </w:r>
    <w:r w:rsidRPr="00E57073">
      <w:rPr>
        <w:rFonts w:ascii="C39T30Lfz" w:hAnsi="C39T30Lfz"/>
        <w:kern w:val="14"/>
        <w:sz w:val="56"/>
      </w:rPr>
      <w:t></w:t>
    </w:r>
    <w:r w:rsidRPr="00E5707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D50792E" wp14:editId="0345A98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45BE0" w14:textId="77777777" w:rsidR="004F3880" w:rsidRPr="001075E9" w:rsidRDefault="004F388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B96F29" w14:textId="77777777" w:rsidR="004F3880" w:rsidRDefault="004F388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284CB3A" w14:textId="77777777" w:rsidR="00E57073" w:rsidRPr="006D74C4" w:rsidRDefault="00E57073" w:rsidP="00E57073">
      <w:pPr>
        <w:pStyle w:val="FootnoteText"/>
        <w:rPr>
          <w:sz w:val="20"/>
        </w:rPr>
      </w:pPr>
      <w:r>
        <w:tab/>
      </w:r>
      <w:r w:rsidRPr="00E57073">
        <w:t>*</w:t>
      </w:r>
      <w:r>
        <w:tab/>
      </w:r>
      <w:r>
        <w:tab/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14:paraId="5B75323C" w14:textId="77777777" w:rsidR="00E57073" w:rsidRPr="006D74C4" w:rsidRDefault="00E57073" w:rsidP="00E57073">
      <w:pPr>
        <w:pStyle w:val="FootnoteText"/>
        <w:spacing w:after="240"/>
        <w:rPr>
          <w:sz w:val="20"/>
        </w:rPr>
      </w:pPr>
      <w:r>
        <w:tab/>
      </w:r>
      <w:r w:rsidRPr="00E57073">
        <w:t>**</w:t>
      </w:r>
      <w:r w:rsidRPr="00E57073"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OTIF/RID/RC/2020/14.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E7F2B" w14:textId="45707D1C" w:rsidR="00E57073" w:rsidRPr="00E57073" w:rsidRDefault="00E57073">
    <w:pPr>
      <w:pStyle w:val="Header"/>
    </w:pPr>
    <w:fldSimple w:instr=" TITLE  \* MERGEFORMAT ">
      <w:r w:rsidR="000318DF">
        <w:t>ECE/TRANS/WP.15/AC.1/2020/14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6AF72" w14:textId="4B7C92F4" w:rsidR="00E57073" w:rsidRPr="00E57073" w:rsidRDefault="00E57073" w:rsidP="00E57073">
    <w:pPr>
      <w:pStyle w:val="Header"/>
      <w:jc w:val="right"/>
    </w:pPr>
    <w:fldSimple w:instr=" TITLE  \* MERGEFORMAT ">
      <w:r w:rsidR="000318DF">
        <w:t>ECE/TRANS/WP.15/AC.1/2020/14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80"/>
    <w:rsid w:val="000318DF"/>
    <w:rsid w:val="00033EE1"/>
    <w:rsid w:val="00042B72"/>
    <w:rsid w:val="000558BD"/>
    <w:rsid w:val="000B57E7"/>
    <w:rsid w:val="000B6373"/>
    <w:rsid w:val="000D140D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4F3880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5016"/>
    <w:rsid w:val="00757357"/>
    <w:rsid w:val="00792497"/>
    <w:rsid w:val="00806737"/>
    <w:rsid w:val="008127AA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7073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F924C3"/>
  <w15:docId w15:val="{7C87C8D0-3DCA-48A4-8589-26EA04B7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10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E57073"/>
    <w:rPr>
      <w:lang w:val="ru-RU" w:eastAsia="en-US"/>
    </w:rPr>
  </w:style>
  <w:style w:type="character" w:customStyle="1" w:styleId="HChGChar">
    <w:name w:val="_ H _Ch_G Char"/>
    <w:link w:val="HChG"/>
    <w:locked/>
    <w:rsid w:val="00E57073"/>
    <w:rPr>
      <w:b/>
      <w:sz w:val="28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735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era.europa.eu/sites/default/files/activities/docs/framework_guide_overview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c.europa.eu/transport/%20themes/dangerous_good/risk_management_framework_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ra.europa.eu/sites/default/files/activities/docs/framework_glossary_en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transpo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ra.europa.eu/sites/default/files/activities/docs/guide_for_decison-making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ra.europa.eu/%20activities/transport-dangerous-goods/inland-tdg_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.europa.eu/transport/" TargetMode="External"/><Relationship Id="rId14" Type="http://schemas.openxmlformats.org/officeDocument/2006/relationships/hyperlink" Target="https://www.era.europa.eu/sites/default/files/activities/docs/guide_for_risk_estimation.pdf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FB12-C886-400A-AC6B-42D1B442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ECE/TRANS/WP.15/AC.1/2020/14</vt:lpstr>
      <vt:lpstr>ECE/TRANS/WP.15/AC.1/2020/14</vt:lpstr>
      <vt:lpstr>A/</vt:lpstr>
    </vt:vector>
  </TitlesOfParts>
  <Company>DCM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ECE/TRANS/WP.15/AC.1/2020/14</dc:title>
  <dc:subject/>
  <dc:creator>Anna KISSELEVA</dc:creator>
  <cp:keywords/>
  <cp:lastModifiedBy>Christine Barrio-Champeau</cp:lastModifiedBy>
  <cp:revision>2</cp:revision>
  <cp:lastPrinted>2020-01-07T08:47:00Z</cp:lastPrinted>
  <dcterms:created xsi:type="dcterms:W3CDTF">2020-01-15T14:09:00Z</dcterms:created>
  <dcterms:modified xsi:type="dcterms:W3CDTF">2020-01-15T14:09:00Z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