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9DB6586" w14:textId="77777777" w:rsidTr="00C97039">
        <w:trPr>
          <w:trHeight w:hRule="exact" w:val="851"/>
        </w:trPr>
        <w:tc>
          <w:tcPr>
            <w:tcW w:w="1276" w:type="dxa"/>
            <w:tcBorders>
              <w:bottom w:val="single" w:sz="4" w:space="0" w:color="auto"/>
            </w:tcBorders>
          </w:tcPr>
          <w:p w14:paraId="06F9D5C5" w14:textId="77777777" w:rsidR="00F35BAF" w:rsidRPr="00DB58B5" w:rsidRDefault="00F35BAF" w:rsidP="00EA3D7C"/>
        </w:tc>
        <w:tc>
          <w:tcPr>
            <w:tcW w:w="2268" w:type="dxa"/>
            <w:tcBorders>
              <w:bottom w:val="single" w:sz="4" w:space="0" w:color="auto"/>
            </w:tcBorders>
            <w:vAlign w:val="bottom"/>
          </w:tcPr>
          <w:p w14:paraId="398A912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3EE5910" w14:textId="77777777" w:rsidR="00F35BAF" w:rsidRPr="00DB58B5" w:rsidRDefault="00EA3D7C" w:rsidP="00EA3D7C">
            <w:pPr>
              <w:jc w:val="right"/>
            </w:pPr>
            <w:r w:rsidRPr="00EA3D7C">
              <w:rPr>
                <w:sz w:val="40"/>
              </w:rPr>
              <w:t>ECE</w:t>
            </w:r>
            <w:r>
              <w:t>/TRANS/WP.15/AC.1/2020/14</w:t>
            </w:r>
          </w:p>
        </w:tc>
      </w:tr>
      <w:tr w:rsidR="00F35BAF" w:rsidRPr="00DB58B5" w14:paraId="00D1E759" w14:textId="77777777" w:rsidTr="00C97039">
        <w:trPr>
          <w:trHeight w:hRule="exact" w:val="2835"/>
        </w:trPr>
        <w:tc>
          <w:tcPr>
            <w:tcW w:w="1276" w:type="dxa"/>
            <w:tcBorders>
              <w:top w:val="single" w:sz="4" w:space="0" w:color="auto"/>
              <w:bottom w:val="single" w:sz="12" w:space="0" w:color="auto"/>
            </w:tcBorders>
          </w:tcPr>
          <w:p w14:paraId="30D28DB0" w14:textId="77777777" w:rsidR="00F35BAF" w:rsidRPr="00DB58B5" w:rsidRDefault="00F35BAF" w:rsidP="00C97039">
            <w:pPr>
              <w:spacing w:before="120"/>
              <w:jc w:val="center"/>
            </w:pPr>
            <w:r>
              <w:rPr>
                <w:noProof/>
                <w:lang w:eastAsia="fr-CH"/>
              </w:rPr>
              <w:drawing>
                <wp:inline distT="0" distB="0" distL="0" distR="0" wp14:anchorId="0FE232D6" wp14:editId="73C4E9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9261C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2BD8B52" w14:textId="77777777" w:rsidR="00F35BAF" w:rsidRDefault="00EA3D7C" w:rsidP="00C97039">
            <w:pPr>
              <w:spacing w:before="240"/>
            </w:pPr>
            <w:proofErr w:type="spellStart"/>
            <w:r>
              <w:t>Distr</w:t>
            </w:r>
            <w:proofErr w:type="spellEnd"/>
            <w:r>
              <w:t xml:space="preserve">. </w:t>
            </w:r>
            <w:proofErr w:type="gramStart"/>
            <w:r>
              <w:t>général</w:t>
            </w:r>
            <w:proofErr w:type="gramEnd"/>
          </w:p>
          <w:p w14:paraId="7C96B0F0" w14:textId="77777777" w:rsidR="00EA3D7C" w:rsidRDefault="00EA3D7C" w:rsidP="00EA3D7C">
            <w:pPr>
              <w:spacing w:line="240" w:lineRule="exact"/>
            </w:pPr>
            <w:r>
              <w:t>27 décembre 2019</w:t>
            </w:r>
          </w:p>
          <w:p w14:paraId="3C0ED376" w14:textId="77777777" w:rsidR="00EA3D7C" w:rsidRDefault="00EA3D7C" w:rsidP="00EA3D7C">
            <w:pPr>
              <w:spacing w:line="240" w:lineRule="exact"/>
            </w:pPr>
            <w:r>
              <w:t>Français</w:t>
            </w:r>
          </w:p>
          <w:p w14:paraId="1FD31B7A" w14:textId="77777777" w:rsidR="00EA3D7C" w:rsidRPr="00DB58B5" w:rsidRDefault="00EA3D7C" w:rsidP="00EA3D7C">
            <w:pPr>
              <w:spacing w:line="240" w:lineRule="exact"/>
            </w:pPr>
            <w:r>
              <w:t>Original</w:t>
            </w:r>
            <w:r w:rsidR="009264E7">
              <w:t> :</w:t>
            </w:r>
            <w:r>
              <w:t xml:space="preserve"> anglais</w:t>
            </w:r>
          </w:p>
        </w:tc>
      </w:tr>
    </w:tbl>
    <w:p w14:paraId="0FA4F483" w14:textId="77777777" w:rsidR="007F20FA" w:rsidRPr="000312C0" w:rsidRDefault="007F20FA" w:rsidP="007F20FA">
      <w:pPr>
        <w:spacing w:before="120"/>
        <w:rPr>
          <w:b/>
          <w:sz w:val="28"/>
          <w:szCs w:val="28"/>
        </w:rPr>
      </w:pPr>
      <w:r w:rsidRPr="000312C0">
        <w:rPr>
          <w:b/>
          <w:sz w:val="28"/>
          <w:szCs w:val="28"/>
        </w:rPr>
        <w:t>Commission économique pour l’Europe</w:t>
      </w:r>
    </w:p>
    <w:p w14:paraId="4644FB64" w14:textId="77777777" w:rsidR="007F20FA" w:rsidRDefault="007F20FA" w:rsidP="007F20FA">
      <w:pPr>
        <w:spacing w:before="120"/>
        <w:rPr>
          <w:sz w:val="28"/>
          <w:szCs w:val="28"/>
        </w:rPr>
      </w:pPr>
      <w:r w:rsidRPr="00685843">
        <w:rPr>
          <w:sz w:val="28"/>
          <w:szCs w:val="28"/>
        </w:rPr>
        <w:t>Comité des transports intérieurs</w:t>
      </w:r>
    </w:p>
    <w:p w14:paraId="5F6CFA57" w14:textId="77777777" w:rsidR="009264E7" w:rsidRPr="00227366" w:rsidRDefault="009264E7" w:rsidP="009264E7">
      <w:pPr>
        <w:kinsoku/>
        <w:overflowPunct/>
        <w:autoSpaceDE/>
        <w:autoSpaceDN/>
        <w:adjustRightInd/>
        <w:snapToGrid/>
        <w:spacing w:before="120" w:after="120"/>
        <w:rPr>
          <w:rFonts w:eastAsia="Times New Roman"/>
          <w:b/>
          <w:sz w:val="24"/>
          <w:szCs w:val="24"/>
          <w:lang w:eastAsia="fr-FR"/>
        </w:rPr>
      </w:pPr>
      <w:r w:rsidRPr="00227366">
        <w:rPr>
          <w:rFonts w:eastAsia="Times New Roman"/>
          <w:b/>
          <w:sz w:val="24"/>
          <w:szCs w:val="24"/>
          <w:lang w:eastAsia="fr-FR"/>
        </w:rPr>
        <w:t>Groupe de travail des transports de marchandises dangereuses</w:t>
      </w:r>
    </w:p>
    <w:p w14:paraId="72CCB704" w14:textId="77777777" w:rsidR="009264E7" w:rsidRPr="00E53EE2" w:rsidRDefault="009264E7" w:rsidP="009264E7">
      <w:pPr>
        <w:kinsoku/>
        <w:overflowPunct/>
        <w:autoSpaceDE/>
        <w:autoSpaceDN/>
        <w:adjustRightInd/>
        <w:snapToGrid/>
        <w:rPr>
          <w:rFonts w:eastAsia="Times New Roman"/>
          <w:b/>
          <w:lang w:eastAsia="fr-FR"/>
        </w:rPr>
      </w:pPr>
      <w:r w:rsidRPr="00E53EE2">
        <w:rPr>
          <w:rFonts w:eastAsia="Times New Roman"/>
          <w:b/>
          <w:lang w:eastAsia="fr-FR"/>
        </w:rPr>
        <w:t>Réunion commune de la Commission d</w:t>
      </w:r>
      <w:r>
        <w:rPr>
          <w:rFonts w:eastAsia="Times New Roman"/>
          <w:b/>
          <w:lang w:eastAsia="fr-FR"/>
        </w:rPr>
        <w:t>’</w:t>
      </w:r>
      <w:r w:rsidRPr="00E53EE2">
        <w:rPr>
          <w:rFonts w:eastAsia="Times New Roman"/>
          <w:b/>
          <w:lang w:eastAsia="fr-FR"/>
        </w:rPr>
        <w:t xml:space="preserve">experts du RID </w:t>
      </w:r>
      <w:r>
        <w:rPr>
          <w:rFonts w:eastAsia="Times New Roman"/>
          <w:b/>
          <w:lang w:eastAsia="fr-FR"/>
        </w:rPr>
        <w:br/>
      </w:r>
      <w:r w:rsidRPr="00E53EE2">
        <w:rPr>
          <w:rFonts w:eastAsia="Times New Roman"/>
          <w:b/>
          <w:lang w:eastAsia="fr-FR"/>
        </w:rPr>
        <w:t>et du Groupe de travail</w:t>
      </w:r>
      <w:r>
        <w:rPr>
          <w:rFonts w:eastAsia="Times New Roman"/>
          <w:b/>
          <w:lang w:eastAsia="fr-FR"/>
        </w:rPr>
        <w:t xml:space="preserve"> </w:t>
      </w:r>
      <w:r w:rsidRPr="00E53EE2">
        <w:rPr>
          <w:rFonts w:eastAsia="Times New Roman"/>
          <w:b/>
          <w:lang w:eastAsia="fr-FR"/>
        </w:rPr>
        <w:t xml:space="preserve">des transports </w:t>
      </w:r>
      <w:r>
        <w:rPr>
          <w:rFonts w:eastAsia="Times New Roman"/>
          <w:b/>
          <w:lang w:eastAsia="fr-FR"/>
        </w:rPr>
        <w:br/>
      </w:r>
      <w:r w:rsidRPr="00E53EE2">
        <w:rPr>
          <w:rFonts w:eastAsia="Times New Roman"/>
          <w:b/>
          <w:lang w:eastAsia="fr-FR"/>
        </w:rPr>
        <w:t xml:space="preserve">de marchandises dangereuses </w:t>
      </w:r>
    </w:p>
    <w:p w14:paraId="3296055F" w14:textId="77777777" w:rsidR="009264E7" w:rsidRPr="00E53EE2" w:rsidRDefault="009264E7" w:rsidP="009264E7">
      <w:pPr>
        <w:kinsoku/>
        <w:overflowPunct/>
        <w:autoSpaceDE/>
        <w:autoSpaceDN/>
        <w:adjustRightInd/>
        <w:snapToGrid/>
        <w:rPr>
          <w:rFonts w:eastAsia="Times New Roman"/>
          <w:lang w:eastAsia="fr-FR"/>
        </w:rPr>
      </w:pPr>
      <w:r w:rsidRPr="00E53EE2">
        <w:rPr>
          <w:rFonts w:eastAsia="Times New Roman"/>
          <w:lang w:eastAsia="fr-FR"/>
        </w:rPr>
        <w:t>Bern</w:t>
      </w:r>
      <w:r>
        <w:rPr>
          <w:rFonts w:eastAsia="Times New Roman"/>
          <w:lang w:eastAsia="fr-FR"/>
        </w:rPr>
        <w:t>e</w:t>
      </w:r>
      <w:r w:rsidRPr="00E53EE2">
        <w:rPr>
          <w:rFonts w:eastAsia="Times New Roman"/>
          <w:lang w:eastAsia="fr-FR"/>
        </w:rPr>
        <w:t>, 16</w:t>
      </w:r>
      <w:r>
        <w:rPr>
          <w:rFonts w:eastAsia="Times New Roman"/>
          <w:lang w:eastAsia="fr-FR"/>
        </w:rPr>
        <w:t>-</w:t>
      </w:r>
      <w:r w:rsidRPr="00E53EE2">
        <w:rPr>
          <w:rFonts w:eastAsia="Times New Roman"/>
          <w:lang w:eastAsia="fr-FR"/>
        </w:rPr>
        <w:t xml:space="preserve">20 </w:t>
      </w:r>
      <w:r>
        <w:rPr>
          <w:rFonts w:eastAsia="Times New Roman"/>
          <w:lang w:eastAsia="fr-FR"/>
        </w:rPr>
        <w:t xml:space="preserve">mars </w:t>
      </w:r>
      <w:r w:rsidRPr="00E53EE2">
        <w:rPr>
          <w:rFonts w:eastAsia="Times New Roman"/>
          <w:lang w:eastAsia="fr-FR"/>
        </w:rPr>
        <w:t>2020</w:t>
      </w:r>
    </w:p>
    <w:p w14:paraId="4058DD29" w14:textId="77777777" w:rsidR="00741910" w:rsidRPr="003679D2" w:rsidRDefault="00741910" w:rsidP="00741910">
      <w:pPr>
        <w:suppressAutoHyphens w:val="0"/>
        <w:spacing w:line="240" w:lineRule="exact"/>
        <w:rPr>
          <w:rFonts w:asciiTheme="majorBidi" w:hAnsiTheme="majorBidi" w:cstheme="majorBidi"/>
        </w:rPr>
      </w:pPr>
      <w:r w:rsidRPr="003679D2">
        <w:rPr>
          <w:rFonts w:asciiTheme="majorBidi" w:hAnsiTheme="majorBidi" w:cstheme="majorBidi"/>
        </w:rPr>
        <w:t xml:space="preserve">Point 5 b) de l’ordre du jour provisoire </w:t>
      </w:r>
    </w:p>
    <w:p w14:paraId="2C294AF5" w14:textId="77777777" w:rsidR="00741910" w:rsidRPr="003679D2" w:rsidRDefault="00741910" w:rsidP="00741910">
      <w:pPr>
        <w:spacing w:line="240" w:lineRule="exact"/>
        <w:rPr>
          <w:rFonts w:asciiTheme="majorBidi" w:hAnsiTheme="majorBidi" w:cstheme="majorBidi"/>
          <w:b/>
        </w:rPr>
      </w:pPr>
      <w:r w:rsidRPr="003679D2">
        <w:rPr>
          <w:rFonts w:asciiTheme="majorBidi" w:hAnsiTheme="majorBidi" w:cstheme="majorBidi"/>
          <w:b/>
        </w:rPr>
        <w:t>Propositions d’amendements au RID/ADR/ADN</w:t>
      </w:r>
      <w:r w:rsidR="009264E7">
        <w:rPr>
          <w:rFonts w:asciiTheme="majorBidi" w:hAnsiTheme="majorBidi" w:cstheme="majorBidi"/>
          <w:b/>
        </w:rPr>
        <w:t> :</w:t>
      </w:r>
    </w:p>
    <w:p w14:paraId="472D6368" w14:textId="77777777" w:rsidR="00741910" w:rsidRPr="003679D2" w:rsidRDefault="00741910" w:rsidP="00741910">
      <w:pPr>
        <w:spacing w:line="240" w:lineRule="exact"/>
        <w:rPr>
          <w:rFonts w:asciiTheme="majorBidi" w:hAnsiTheme="majorBidi" w:cstheme="majorBidi"/>
        </w:rPr>
      </w:pPr>
      <w:proofErr w:type="gramStart"/>
      <w:r w:rsidRPr="003679D2">
        <w:rPr>
          <w:rFonts w:asciiTheme="majorBidi" w:hAnsiTheme="majorBidi" w:cstheme="majorBidi"/>
          <w:b/>
        </w:rPr>
        <w:t>nouvelles</w:t>
      </w:r>
      <w:proofErr w:type="gramEnd"/>
      <w:r w:rsidRPr="003679D2">
        <w:rPr>
          <w:rFonts w:asciiTheme="majorBidi" w:hAnsiTheme="majorBidi" w:cstheme="majorBidi"/>
          <w:b/>
        </w:rPr>
        <w:t xml:space="preserve"> propositions</w:t>
      </w:r>
    </w:p>
    <w:p w14:paraId="334B74C8" w14:textId="77777777" w:rsidR="00741910" w:rsidRPr="003679D2" w:rsidRDefault="00741910" w:rsidP="009264E7">
      <w:pPr>
        <w:pStyle w:val="HChG"/>
      </w:pPr>
      <w:r w:rsidRPr="003679D2">
        <w:tab/>
      </w:r>
      <w:r w:rsidRPr="003679D2">
        <w:tab/>
        <w:t xml:space="preserve">Référence au cadre de gestion des risques </w:t>
      </w:r>
      <w:r w:rsidR="009264E7">
        <w:br/>
      </w:r>
      <w:r w:rsidRPr="003679D2">
        <w:t xml:space="preserve">dans le transport intérieur de marchandises </w:t>
      </w:r>
      <w:r w:rsidR="009264E7">
        <w:br/>
      </w:r>
      <w:r w:rsidRPr="003679D2">
        <w:t>dangereuses dans le RID/ADR/ADN</w:t>
      </w:r>
    </w:p>
    <w:p w14:paraId="70CBFAFD" w14:textId="77777777" w:rsidR="00741910" w:rsidRDefault="00741910" w:rsidP="00B2206E">
      <w:pPr>
        <w:pStyle w:val="H1G"/>
        <w:rPr>
          <w:rFonts w:asciiTheme="majorBidi" w:hAnsiTheme="majorBidi" w:cstheme="majorBidi"/>
          <w:b w:val="0"/>
          <w:sz w:val="20"/>
        </w:rPr>
      </w:pPr>
      <w:r w:rsidRPr="003679D2">
        <w:rPr>
          <w:lang w:val="fr-FR"/>
        </w:rPr>
        <w:tab/>
      </w:r>
      <w:r w:rsidRPr="003679D2">
        <w:rPr>
          <w:lang w:val="fr-FR"/>
        </w:rPr>
        <w:tab/>
        <w:t xml:space="preserve">Communication transmise par l’Agence de l’Union européenne </w:t>
      </w:r>
      <w:r w:rsidR="00B2206E">
        <w:rPr>
          <w:lang w:val="fr-FR"/>
        </w:rPr>
        <w:br/>
      </w:r>
      <w:r w:rsidRPr="003679D2">
        <w:rPr>
          <w:lang w:val="fr-FR"/>
        </w:rPr>
        <w:t>pour les chemins de fer (ERA)</w:t>
      </w:r>
      <w:r w:rsidRPr="00B2206E">
        <w:rPr>
          <w:rStyle w:val="FootnoteReference"/>
          <w:rFonts w:asciiTheme="majorBidi" w:hAnsiTheme="majorBidi" w:cstheme="majorBidi"/>
          <w:b w:val="0"/>
          <w:sz w:val="20"/>
          <w:vertAlign w:val="baseline"/>
        </w:rPr>
        <w:footnoteReference w:customMarkFollows="1" w:id="2"/>
        <w:t>*</w:t>
      </w:r>
      <w:r w:rsidRPr="003679D2">
        <w:rPr>
          <w:bCs/>
          <w:vertAlign w:val="superscript"/>
        </w:rPr>
        <w:t xml:space="preserve">, </w:t>
      </w:r>
      <w:r w:rsidRPr="00B2206E">
        <w:rPr>
          <w:rStyle w:val="FootnoteReference"/>
          <w:rFonts w:asciiTheme="majorBidi" w:hAnsiTheme="majorBidi" w:cstheme="majorBidi"/>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F9130F" w14:paraId="3736AB2E" w14:textId="77777777" w:rsidTr="00A875B0">
        <w:trPr>
          <w:trHeight w:hRule="exact" w:val="397"/>
          <w:jc w:val="center"/>
        </w:trPr>
        <w:tc>
          <w:tcPr>
            <w:tcW w:w="9637" w:type="dxa"/>
            <w:shd w:val="clear" w:color="auto" w:fill="auto"/>
          </w:tcPr>
          <w:p w14:paraId="5C68B00C" w14:textId="129115EA" w:rsidR="00F9130F" w:rsidRDefault="00F9130F">
            <w:pPr>
              <w:spacing w:before="240" w:after="120"/>
              <w:ind w:left="255"/>
              <w:rPr>
                <w:i/>
                <w:sz w:val="24"/>
              </w:rPr>
            </w:pPr>
          </w:p>
        </w:tc>
      </w:tr>
      <w:tr w:rsidR="00F9130F" w14:paraId="28A4F34E" w14:textId="77777777">
        <w:trPr>
          <w:jc w:val="center"/>
        </w:trPr>
        <w:tc>
          <w:tcPr>
            <w:tcW w:w="9637" w:type="dxa"/>
            <w:shd w:val="clear" w:color="auto" w:fill="auto"/>
          </w:tcPr>
          <w:p w14:paraId="4751CFFD" w14:textId="77777777" w:rsidR="00F9130F" w:rsidRDefault="00366269" w:rsidP="00366269">
            <w:pPr>
              <w:pStyle w:val="SingleTxtG"/>
              <w:ind w:left="3232" w:hanging="2098"/>
            </w:pPr>
            <w:r w:rsidRPr="003679D2">
              <w:rPr>
                <w:rFonts w:asciiTheme="majorBidi" w:hAnsiTheme="majorBidi" w:cstheme="majorBidi"/>
                <w:b/>
              </w:rPr>
              <w:t>Résumé</w:t>
            </w:r>
            <w:r>
              <w:rPr>
                <w:rFonts w:asciiTheme="majorBidi" w:hAnsiTheme="majorBidi" w:cstheme="majorBidi"/>
                <w:b/>
              </w:rPr>
              <w:t> :</w:t>
            </w:r>
            <w:r w:rsidRPr="003679D2">
              <w:rPr>
                <w:rFonts w:asciiTheme="majorBidi" w:hAnsiTheme="majorBidi" w:cstheme="majorBidi"/>
              </w:rPr>
              <w:tab/>
              <w:t>Les participants à la Réunion commune sont invités à prendre une décision au sujet de l’ajout, dans le RID/ADR/ADN, d’une note de bas de page faisant référence aux guides constituant le cadre de gestion des risques du transport intérieur de marchandises dangereuses.</w:t>
            </w:r>
          </w:p>
        </w:tc>
        <w:bookmarkStart w:id="0" w:name="_GoBack"/>
        <w:bookmarkEnd w:id="0"/>
      </w:tr>
      <w:tr w:rsidR="00F9130F" w14:paraId="121F02A8" w14:textId="77777777">
        <w:trPr>
          <w:jc w:val="center"/>
        </w:trPr>
        <w:tc>
          <w:tcPr>
            <w:tcW w:w="9637" w:type="dxa"/>
            <w:shd w:val="clear" w:color="auto" w:fill="auto"/>
          </w:tcPr>
          <w:p w14:paraId="5B16BB5F" w14:textId="77777777" w:rsidR="00F9130F" w:rsidRDefault="00F9130F"/>
        </w:tc>
      </w:tr>
    </w:tbl>
    <w:p w14:paraId="4AB5A406" w14:textId="77777777" w:rsidR="00741910" w:rsidRPr="003679D2" w:rsidRDefault="00741910" w:rsidP="00790899">
      <w:pPr>
        <w:pStyle w:val="HChG"/>
      </w:pPr>
      <w:r w:rsidRPr="003679D2">
        <w:tab/>
      </w:r>
      <w:r w:rsidRPr="003679D2">
        <w:tab/>
        <w:t>Contexte</w:t>
      </w:r>
    </w:p>
    <w:p w14:paraId="35624E7A" w14:textId="4258B9E3" w:rsidR="00741910" w:rsidRPr="003679D2" w:rsidRDefault="00741910" w:rsidP="00790899">
      <w:pPr>
        <w:pStyle w:val="SingleTxtG"/>
      </w:pPr>
      <w:r w:rsidRPr="003679D2">
        <w:t>1.</w:t>
      </w:r>
      <w:r w:rsidRPr="003679D2">
        <w:tab/>
        <w:t>Lors de la session d’automne 2019 de la Réunion commune, les représentants ont été informés de la publication du cadre de</w:t>
      </w:r>
      <w:r w:rsidR="00366269">
        <w:t xml:space="preserve"> </w:t>
      </w:r>
      <w:r w:rsidRPr="003679D2">
        <w:t>gestion des risques</w:t>
      </w:r>
      <w:r w:rsidR="00366269">
        <w:t xml:space="preserve"> </w:t>
      </w:r>
      <w:r w:rsidRPr="003679D2">
        <w:t xml:space="preserve">du transport intérieur de marchandises dangereuses, dont plusieurs délégations se sont félicitées. </w:t>
      </w:r>
    </w:p>
    <w:p w14:paraId="17695F10" w14:textId="77777777" w:rsidR="00741910" w:rsidRPr="003679D2" w:rsidRDefault="00741910" w:rsidP="00790899">
      <w:pPr>
        <w:pStyle w:val="SingleTxtG"/>
        <w:keepLines/>
      </w:pPr>
      <w:r w:rsidRPr="003679D2">
        <w:lastRenderedPageBreak/>
        <w:t>2.</w:t>
      </w:r>
      <w:r w:rsidRPr="003679D2">
        <w:tab/>
        <w:t>La Réunion commune s’est aussi félicitée de la mise en route de l’élaboration d’une plateforme informatique collaborative (établissement du prototype)</w:t>
      </w:r>
      <w:r w:rsidR="00366269">
        <w:t xml:space="preserve"> </w:t>
      </w:r>
      <w:r w:rsidRPr="003679D2">
        <w:t xml:space="preserve">destinée à mieux aider les utilisateurs des lignes directrices (voir les par. 1 et 2 de la section A du chapitre X du document ECE/TRANS/WP.15/AC.1/156). </w:t>
      </w:r>
    </w:p>
    <w:p w14:paraId="407099E4" w14:textId="77777777" w:rsidR="00741910" w:rsidRPr="003679D2" w:rsidRDefault="00741910" w:rsidP="00790899">
      <w:pPr>
        <w:pStyle w:val="HChG"/>
      </w:pPr>
      <w:r w:rsidRPr="003679D2">
        <w:tab/>
      </w:r>
      <w:r w:rsidRPr="003679D2">
        <w:tab/>
        <w:t>Introduction</w:t>
      </w:r>
    </w:p>
    <w:p w14:paraId="3ACC98B2" w14:textId="77777777" w:rsidR="00741910" w:rsidRPr="003679D2" w:rsidRDefault="00741910" w:rsidP="00A76F82">
      <w:pPr>
        <w:pStyle w:val="SingleTxtG"/>
        <w:spacing w:after="100"/>
      </w:pPr>
      <w:r w:rsidRPr="003679D2">
        <w:t>3.</w:t>
      </w:r>
      <w:r w:rsidRPr="003679D2">
        <w:tab/>
        <w:t>Le cadre de</w:t>
      </w:r>
      <w:r w:rsidR="00366269">
        <w:t xml:space="preserve"> </w:t>
      </w:r>
      <w:r w:rsidRPr="003679D2">
        <w:t>gestion des risques</w:t>
      </w:r>
      <w:r w:rsidR="00366269">
        <w:t xml:space="preserve"> </w:t>
      </w:r>
      <w:r w:rsidRPr="003679D2">
        <w:t>du transport intérieur de marchandises dangereuses a été élaboré avec la collaboration des participants à la Réunion commune, grâce à l’appui administratif et technique de</w:t>
      </w:r>
      <w:bookmarkStart w:id="1" w:name="_Hlk28939585"/>
      <w:r w:rsidRPr="003679D2">
        <w:t xml:space="preserve"> l’Agence de l’Union européenne pour les chemins de fer (ERA)</w:t>
      </w:r>
      <w:bookmarkEnd w:id="1"/>
      <w:r w:rsidRPr="003679D2">
        <w:t xml:space="preserve">. </w:t>
      </w:r>
    </w:p>
    <w:p w14:paraId="560AA879" w14:textId="77777777" w:rsidR="00741910" w:rsidRPr="00790899" w:rsidRDefault="00741910" w:rsidP="00A76F82">
      <w:pPr>
        <w:pStyle w:val="SingleTxtG"/>
        <w:spacing w:after="100"/>
      </w:pPr>
      <w:r w:rsidRPr="003679D2">
        <w:t>4.</w:t>
      </w:r>
      <w:r w:rsidRPr="003679D2">
        <w:tab/>
        <w:t>Ce cadre de</w:t>
      </w:r>
      <w:r w:rsidR="00366269">
        <w:t xml:space="preserve"> </w:t>
      </w:r>
      <w:r w:rsidRPr="003679D2">
        <w:t xml:space="preserve">gestion des risques est tenu à jour et régulièrement amélioré par le groupe d’experts chargé des usagers et du </w:t>
      </w:r>
      <w:proofErr w:type="gramStart"/>
      <w:r w:rsidRPr="003679D2">
        <w:t>développement ,</w:t>
      </w:r>
      <w:proofErr w:type="gramEnd"/>
      <w:r w:rsidRPr="003679D2">
        <w:t xml:space="preserve"> où siègent</w:t>
      </w:r>
      <w:r w:rsidR="00366269">
        <w:t xml:space="preserve"> </w:t>
      </w:r>
      <w:r w:rsidRPr="003679D2">
        <w:t xml:space="preserve">aussi à titre volontaire des participants à la Réunion commune et des experts. </w:t>
      </w:r>
      <w:proofErr w:type="gramStart"/>
      <w:r w:rsidRPr="003679D2">
        <w:t>L’ Union</w:t>
      </w:r>
      <w:proofErr w:type="gramEnd"/>
      <w:r w:rsidRPr="003679D2">
        <w:t xml:space="preserve"> européenne pour les chemins de fer facilite les activités de ce groupe sous les auspices de la Commission européenne. </w:t>
      </w:r>
    </w:p>
    <w:p w14:paraId="71EE128E" w14:textId="77777777" w:rsidR="00741910" w:rsidRPr="003679D2" w:rsidRDefault="00741910" w:rsidP="00A76F82">
      <w:pPr>
        <w:pStyle w:val="SingleTxtG"/>
        <w:spacing w:after="100"/>
      </w:pPr>
      <w:r w:rsidRPr="003679D2">
        <w:t>5.</w:t>
      </w:r>
      <w:r w:rsidRPr="003679D2">
        <w:tab/>
        <w:t>Le cadre</w:t>
      </w:r>
      <w:r w:rsidR="00366269">
        <w:t xml:space="preserve"> </w:t>
      </w:r>
      <w:r w:rsidRPr="003679D2">
        <w:t>est constitué d’un ensemble complet de guides portant sur les aspects techniques de la gestion des risques dans ce domaine et qui est destiné à être utilisé</w:t>
      </w:r>
      <w:r w:rsidR="00366269">
        <w:t xml:space="preserve"> </w:t>
      </w:r>
      <w:r w:rsidRPr="003679D2">
        <w:t>dans les trois modes de transport</w:t>
      </w:r>
      <w:r w:rsidR="00366269">
        <w:t xml:space="preserve"> </w:t>
      </w:r>
      <w:r w:rsidRPr="003679D2">
        <w:t>couvertes par le RID/ADR/ADN.</w:t>
      </w:r>
    </w:p>
    <w:p w14:paraId="554AC14E" w14:textId="77777777" w:rsidR="00741910" w:rsidRPr="003679D2" w:rsidRDefault="00741910" w:rsidP="00A76F82">
      <w:pPr>
        <w:pStyle w:val="SingleTxtG"/>
        <w:spacing w:after="100"/>
      </w:pPr>
      <w:r w:rsidRPr="003679D2">
        <w:t>6.</w:t>
      </w:r>
      <w:r w:rsidRPr="003679D2">
        <w:tab/>
      </w:r>
      <w:r w:rsidRPr="001E032C">
        <w:rPr>
          <w:spacing w:val="-2"/>
        </w:rPr>
        <w:t>Il fournit à toutes les catégories d’utilisateurs éventuels, y compris les pouvoirs publics, une méthode harmonisée d’évaluation des risques, ainsi que des principes à prendre en considération pour adopter des décisions viables en matière de gestion des risques.</w:t>
      </w:r>
      <w:r w:rsidRPr="003679D2">
        <w:t xml:space="preserve"> </w:t>
      </w:r>
    </w:p>
    <w:p w14:paraId="2FE6A095" w14:textId="77777777" w:rsidR="00741910" w:rsidRPr="003679D2" w:rsidRDefault="00741910" w:rsidP="00A76F82">
      <w:pPr>
        <w:pStyle w:val="SingleTxtG"/>
        <w:spacing w:after="100"/>
      </w:pPr>
      <w:r w:rsidRPr="003679D2">
        <w:t>7.</w:t>
      </w:r>
      <w:r w:rsidRPr="003679D2">
        <w:tab/>
        <w:t xml:space="preserve">De juillet 2018 à octobre 2019, grâce à la collaboration que certains pays (Luxembourg, Espagne, Suisse et Allemagne) lui ont généreusement offerte de leur propre initiative, l’ERA a organisé des ateliers de sensibilisation du public au cours desquels l’Agence a présenté la méthode utilisée dans le cadre de la gestion des risques à plus de 150 participants qui représentaient toutes les catégories d’utilisateurs visés et tous les modes de transport intérieur. Les participants ont confirmé la bonne qualité de cette méthode. </w:t>
      </w:r>
    </w:p>
    <w:p w14:paraId="3DAB4667" w14:textId="77777777" w:rsidR="00741910" w:rsidRPr="003679D2" w:rsidRDefault="00741910" w:rsidP="00A76F82">
      <w:pPr>
        <w:pStyle w:val="SingleTxtG"/>
        <w:spacing w:after="100"/>
      </w:pPr>
      <w:r w:rsidRPr="003679D2">
        <w:t>8.</w:t>
      </w:r>
      <w:r w:rsidRPr="003679D2">
        <w:tab/>
        <w:t>À ce jour, plus de 1500 utilisateurs potentiels ont consulté les pages Web du cadre de</w:t>
      </w:r>
      <w:r w:rsidR="00366269">
        <w:t xml:space="preserve"> </w:t>
      </w:r>
      <w:r w:rsidRPr="003679D2">
        <w:t>gestion des risques.</w:t>
      </w:r>
    </w:p>
    <w:p w14:paraId="6EB8A1D3" w14:textId="77777777" w:rsidR="00741910" w:rsidRPr="003679D2" w:rsidRDefault="00741910" w:rsidP="00A76F82">
      <w:pPr>
        <w:pStyle w:val="SingleTxtG"/>
        <w:spacing w:after="100"/>
      </w:pPr>
      <w:r w:rsidRPr="003679D2">
        <w:t>9.</w:t>
      </w:r>
      <w:r w:rsidRPr="003679D2">
        <w:tab/>
        <w:t xml:space="preserve">Afin que le cadre soit pleinement visible et que les références fournies aux utilisateurs soient à jour, il est proposé d’ajouter une référence à cet outil dans le RID/ADR/ADN. </w:t>
      </w:r>
    </w:p>
    <w:p w14:paraId="3C2515A3" w14:textId="77777777" w:rsidR="00741910" w:rsidRPr="003679D2" w:rsidRDefault="00741910" w:rsidP="00A76F82">
      <w:pPr>
        <w:pStyle w:val="SingleTxtG"/>
        <w:spacing w:after="100"/>
      </w:pPr>
      <w:r w:rsidRPr="003679D2">
        <w:t>10.</w:t>
      </w:r>
      <w:r w:rsidRPr="003679D2">
        <w:tab/>
        <w:t xml:space="preserve">Deux solutions possibles sont proposées ci-après. </w:t>
      </w:r>
    </w:p>
    <w:p w14:paraId="75BBDCF6" w14:textId="77777777" w:rsidR="00741910" w:rsidRPr="003679D2" w:rsidRDefault="00790899" w:rsidP="00A76F82">
      <w:pPr>
        <w:pStyle w:val="HChG"/>
        <w:spacing w:before="320" w:after="200"/>
      </w:pPr>
      <w:bookmarkStart w:id="2" w:name="_Hlk28872821"/>
      <w:r>
        <w:tab/>
      </w:r>
      <w:r>
        <w:tab/>
      </w:r>
      <w:r w:rsidR="00741910" w:rsidRPr="003679D2">
        <w:t xml:space="preserve">Proposition </w:t>
      </w:r>
      <w:r>
        <w:rPr>
          <w:rFonts w:eastAsia="MS Mincho"/>
        </w:rPr>
        <w:t>n</w:t>
      </w:r>
      <w:r>
        <w:rPr>
          <w:rFonts w:eastAsia="MS Mincho"/>
          <w:vertAlign w:val="superscript"/>
        </w:rPr>
        <w:t>o</w:t>
      </w:r>
      <w:r>
        <w:t> </w:t>
      </w:r>
      <w:bookmarkEnd w:id="2"/>
      <w:r w:rsidR="00741910" w:rsidRPr="003679D2">
        <w:t>1</w:t>
      </w:r>
    </w:p>
    <w:p w14:paraId="4318C5E6" w14:textId="77777777" w:rsidR="00741910" w:rsidRPr="003679D2" w:rsidRDefault="00741910" w:rsidP="006823E2">
      <w:pPr>
        <w:pStyle w:val="SingleTxtG"/>
        <w:keepNext/>
      </w:pPr>
      <w:r w:rsidRPr="003679D2">
        <w:t>[RID]</w:t>
      </w:r>
    </w:p>
    <w:p w14:paraId="286CDE33" w14:textId="77777777" w:rsidR="00741910" w:rsidRPr="003679D2" w:rsidRDefault="00741910" w:rsidP="0076429A">
      <w:pPr>
        <w:pStyle w:val="SingleTxtG"/>
      </w:pPr>
      <w:r w:rsidRPr="003679D2">
        <w:t xml:space="preserve">À la section 1.9.3 du chapitre 1.9, après la note de bas de page 24, </w:t>
      </w:r>
      <w:r w:rsidRPr="003679D2">
        <w:rPr>
          <w:u w:val="single"/>
        </w:rPr>
        <w:t>ajouter</w:t>
      </w:r>
      <w:r w:rsidR="00366269">
        <w:t xml:space="preserve"> </w:t>
      </w:r>
      <w:r w:rsidRPr="003679D2">
        <w:t>une note 25, libellée comme suit</w:t>
      </w:r>
      <w:r w:rsidR="009264E7">
        <w:t> :</w:t>
      </w:r>
      <w:r w:rsidRPr="003679D2">
        <w:t xml:space="preserve"> </w:t>
      </w:r>
    </w:p>
    <w:p w14:paraId="7395159A" w14:textId="77777777" w:rsidR="00741910" w:rsidRPr="002928EA" w:rsidRDefault="002928EA" w:rsidP="0076429A">
      <w:pPr>
        <w:pStyle w:val="SingleTxtG"/>
        <w:spacing w:line="240" w:lineRule="exact"/>
        <w:jc w:val="left"/>
        <w:rPr>
          <w:rFonts w:asciiTheme="majorBidi" w:hAnsiTheme="majorBidi" w:cstheme="majorBidi"/>
          <w:sz w:val="18"/>
          <w:szCs w:val="18"/>
        </w:rPr>
      </w:pPr>
      <w:r>
        <w:rPr>
          <w:rFonts w:asciiTheme="majorBidi" w:hAnsiTheme="majorBidi" w:cstheme="majorBidi"/>
        </w:rPr>
        <w:t>« </w:t>
      </w:r>
      <w:r w:rsidR="00741910" w:rsidRPr="00060A96">
        <w:rPr>
          <w:rFonts w:asciiTheme="majorBidi" w:hAnsiTheme="majorBidi" w:cstheme="majorBidi"/>
          <w:sz w:val="18"/>
          <w:szCs w:val="18"/>
          <w:vertAlign w:val="superscript"/>
        </w:rPr>
        <w:t>25</w:t>
      </w:r>
      <w:r w:rsidR="00741910" w:rsidRPr="003679D2">
        <w:rPr>
          <w:rFonts w:asciiTheme="majorBidi" w:hAnsiTheme="majorBidi" w:cstheme="majorBidi"/>
          <w:vertAlign w:val="superscript"/>
        </w:rPr>
        <w:tab/>
      </w:r>
      <w:r w:rsidR="00741910" w:rsidRPr="002928EA">
        <w:rPr>
          <w:rFonts w:asciiTheme="majorBidi" w:hAnsiTheme="majorBidi" w:cstheme="majorBidi"/>
          <w:sz w:val="18"/>
          <w:szCs w:val="18"/>
        </w:rPr>
        <w:t>Le cadre de</w:t>
      </w:r>
      <w:r w:rsidR="00366269" w:rsidRPr="002928EA">
        <w:rPr>
          <w:rFonts w:asciiTheme="majorBidi" w:hAnsiTheme="majorBidi" w:cstheme="majorBidi"/>
          <w:sz w:val="18"/>
          <w:szCs w:val="18"/>
        </w:rPr>
        <w:t xml:space="preserve"> </w:t>
      </w:r>
      <w:r w:rsidR="00741910" w:rsidRPr="002928EA">
        <w:rPr>
          <w:rFonts w:asciiTheme="majorBidi" w:hAnsiTheme="majorBidi" w:cstheme="majorBidi"/>
          <w:sz w:val="18"/>
          <w:szCs w:val="18"/>
        </w:rPr>
        <w:t>gestion des risques</w:t>
      </w:r>
      <w:r w:rsidR="00366269" w:rsidRPr="002928EA">
        <w:rPr>
          <w:rFonts w:asciiTheme="majorBidi" w:hAnsiTheme="majorBidi" w:cstheme="majorBidi"/>
          <w:sz w:val="18"/>
          <w:szCs w:val="18"/>
        </w:rPr>
        <w:t xml:space="preserve"> </w:t>
      </w:r>
      <w:r w:rsidR="00741910" w:rsidRPr="002928EA">
        <w:rPr>
          <w:rFonts w:asciiTheme="majorBidi" w:hAnsiTheme="majorBidi" w:cstheme="majorBidi"/>
          <w:sz w:val="18"/>
          <w:szCs w:val="18"/>
        </w:rPr>
        <w:t>du transport intérieur de marchandises dangereuses peut être consulté sur le site Internet de la Direction générale de la mobilité et des transports de la Commission européenne (</w:t>
      </w:r>
      <w:hyperlink r:id="rId8" w:history="1">
        <w:r w:rsidR="00741910" w:rsidRPr="002928EA">
          <w:rPr>
            <w:rStyle w:val="Hyperlink"/>
            <w:rFonts w:asciiTheme="majorBidi" w:hAnsiTheme="majorBidi" w:cstheme="majorBidi"/>
            <w:sz w:val="18"/>
            <w:szCs w:val="18"/>
          </w:rPr>
          <w:t>https</w:t>
        </w:r>
        <w:r w:rsidR="009264E7" w:rsidRPr="002928EA">
          <w:rPr>
            <w:rStyle w:val="Hyperlink"/>
            <w:rFonts w:asciiTheme="majorBidi" w:hAnsiTheme="majorBidi" w:cstheme="majorBidi"/>
            <w:sz w:val="18"/>
            <w:szCs w:val="18"/>
          </w:rPr>
          <w:t>:</w:t>
        </w:r>
        <w:r w:rsidR="00741910" w:rsidRPr="002928EA">
          <w:rPr>
            <w:rStyle w:val="Hyperlink"/>
            <w:rFonts w:asciiTheme="majorBidi" w:hAnsiTheme="majorBidi" w:cstheme="majorBidi"/>
            <w:sz w:val="18"/>
            <w:szCs w:val="18"/>
          </w:rPr>
          <w:t>//ec.europa.eu/transport/themes/dangerous_good/risk_management_framework_en</w:t>
        </w:r>
      </w:hyperlink>
      <w:r w:rsidR="00741910" w:rsidRPr="002928EA">
        <w:rPr>
          <w:rFonts w:asciiTheme="majorBidi" w:hAnsiTheme="majorBidi" w:cstheme="majorBidi"/>
          <w:sz w:val="18"/>
          <w:szCs w:val="18"/>
        </w:rPr>
        <w:t>) ou directement sur le site Web de l’Agence de l’Union européenne pour les chemins de fer (ERA) (</w:t>
      </w:r>
      <w:hyperlink r:id="rId9" w:history="1">
        <w:r w:rsidR="00741910" w:rsidRPr="002928EA">
          <w:rPr>
            <w:rStyle w:val="Hyperlink"/>
            <w:rFonts w:asciiTheme="majorBidi" w:hAnsiTheme="majorBidi" w:cstheme="majorBidi"/>
            <w:sz w:val="18"/>
            <w:szCs w:val="18"/>
          </w:rPr>
          <w:t>https</w:t>
        </w:r>
        <w:r w:rsidR="009264E7" w:rsidRPr="002928EA">
          <w:rPr>
            <w:rStyle w:val="Hyperlink"/>
            <w:rFonts w:asciiTheme="majorBidi" w:hAnsiTheme="majorBidi" w:cstheme="majorBidi"/>
            <w:sz w:val="18"/>
            <w:szCs w:val="18"/>
          </w:rPr>
          <w:t>:</w:t>
        </w:r>
        <w:r w:rsidR="00741910" w:rsidRPr="002928EA">
          <w:rPr>
            <w:rStyle w:val="Hyperlink"/>
            <w:rFonts w:asciiTheme="majorBidi" w:hAnsiTheme="majorBidi" w:cstheme="majorBidi"/>
            <w:sz w:val="18"/>
            <w:szCs w:val="18"/>
          </w:rPr>
          <w:t>//www.era.europa.eu/activities/transport-dangerous-goods/inland-tdg_en</w:t>
        </w:r>
      </w:hyperlink>
      <w:r w:rsidR="00741910" w:rsidRPr="002928EA">
        <w:rPr>
          <w:rFonts w:asciiTheme="majorBidi" w:hAnsiTheme="majorBidi" w:cstheme="majorBidi"/>
          <w:sz w:val="18"/>
          <w:szCs w:val="18"/>
        </w:rPr>
        <w:t>)</w:t>
      </w:r>
      <w:r>
        <w:rPr>
          <w:rFonts w:asciiTheme="majorBidi" w:hAnsiTheme="majorBidi" w:cstheme="majorBidi"/>
          <w:sz w:val="18"/>
          <w:szCs w:val="18"/>
        </w:rPr>
        <w:t>. ».</w:t>
      </w:r>
    </w:p>
    <w:p w14:paraId="396AB54C" w14:textId="77777777" w:rsidR="00741910" w:rsidRPr="003679D2" w:rsidRDefault="00741910" w:rsidP="006823E2">
      <w:pPr>
        <w:pStyle w:val="SingleTxtG"/>
        <w:keepNext/>
        <w:spacing w:before="120" w:line="240" w:lineRule="exact"/>
        <w:rPr>
          <w:rFonts w:asciiTheme="majorBidi" w:hAnsiTheme="majorBidi" w:cstheme="majorBidi"/>
        </w:rPr>
      </w:pPr>
      <w:r w:rsidRPr="003679D2">
        <w:rPr>
          <w:rFonts w:asciiTheme="majorBidi" w:hAnsiTheme="majorBidi" w:cstheme="majorBidi"/>
        </w:rPr>
        <w:t>[ADR]</w:t>
      </w:r>
    </w:p>
    <w:p w14:paraId="4DBA044B" w14:textId="77777777" w:rsidR="00741910" w:rsidRPr="003679D2" w:rsidRDefault="00741910" w:rsidP="0076429A">
      <w:pPr>
        <w:pStyle w:val="SingleTxtG"/>
        <w:keepNext/>
        <w:spacing w:line="240" w:lineRule="exact"/>
        <w:rPr>
          <w:rFonts w:asciiTheme="majorBidi" w:hAnsiTheme="majorBidi" w:cstheme="majorBidi"/>
        </w:rPr>
      </w:pPr>
      <w:r w:rsidRPr="003679D2">
        <w:rPr>
          <w:rFonts w:asciiTheme="majorBidi" w:hAnsiTheme="majorBidi" w:cstheme="majorBidi"/>
        </w:rPr>
        <w:t xml:space="preserve">À la section 1.9.4 du chapitre </w:t>
      </w:r>
      <w:proofErr w:type="gramStart"/>
      <w:r w:rsidRPr="003679D2">
        <w:rPr>
          <w:rFonts w:asciiTheme="majorBidi" w:hAnsiTheme="majorBidi" w:cstheme="majorBidi"/>
        </w:rPr>
        <w:t>1.9 ,</w:t>
      </w:r>
      <w:proofErr w:type="gramEnd"/>
      <w:r w:rsidRPr="003679D2">
        <w:rPr>
          <w:rFonts w:asciiTheme="majorBidi" w:hAnsiTheme="majorBidi" w:cstheme="majorBidi"/>
        </w:rPr>
        <w:t xml:space="preserve"> après la note de bas de page 1, </w:t>
      </w:r>
      <w:r w:rsidRPr="003679D2">
        <w:rPr>
          <w:rFonts w:asciiTheme="majorBidi" w:hAnsiTheme="majorBidi" w:cstheme="majorBidi"/>
          <w:u w:val="single"/>
        </w:rPr>
        <w:t>ajouter</w:t>
      </w:r>
      <w:r w:rsidRPr="003679D2">
        <w:rPr>
          <w:rFonts w:asciiTheme="majorBidi" w:hAnsiTheme="majorBidi" w:cstheme="majorBidi"/>
        </w:rPr>
        <w:t xml:space="preserve"> la note 2, libellée comme suit</w:t>
      </w:r>
      <w:r w:rsidR="009264E7">
        <w:rPr>
          <w:rFonts w:asciiTheme="majorBidi" w:hAnsiTheme="majorBidi" w:cstheme="majorBidi"/>
        </w:rPr>
        <w:t> :</w:t>
      </w:r>
      <w:r w:rsidRPr="003679D2">
        <w:rPr>
          <w:rFonts w:asciiTheme="majorBidi" w:hAnsiTheme="majorBidi" w:cstheme="majorBidi"/>
        </w:rPr>
        <w:t xml:space="preserve"> </w:t>
      </w:r>
    </w:p>
    <w:p w14:paraId="7443895C" w14:textId="77777777" w:rsidR="00741910" w:rsidRPr="00A76F82" w:rsidRDefault="00A76F82" w:rsidP="0076429A">
      <w:pPr>
        <w:pStyle w:val="SingleTxtG"/>
        <w:spacing w:after="100" w:line="240" w:lineRule="exact"/>
        <w:jc w:val="left"/>
        <w:rPr>
          <w:rFonts w:asciiTheme="majorBidi" w:hAnsiTheme="majorBidi" w:cstheme="majorBidi"/>
          <w:sz w:val="18"/>
          <w:szCs w:val="18"/>
        </w:rPr>
      </w:pPr>
      <w:r>
        <w:rPr>
          <w:rFonts w:asciiTheme="majorBidi" w:hAnsiTheme="majorBidi" w:cstheme="majorBidi"/>
        </w:rPr>
        <w:t>« </w:t>
      </w:r>
      <w:r w:rsidR="00741910" w:rsidRPr="00060A96">
        <w:rPr>
          <w:rFonts w:asciiTheme="majorBidi" w:hAnsiTheme="majorBidi" w:cstheme="majorBidi"/>
          <w:sz w:val="18"/>
          <w:szCs w:val="18"/>
          <w:vertAlign w:val="superscript"/>
        </w:rPr>
        <w:t>2</w:t>
      </w:r>
      <w:r w:rsidR="00741910" w:rsidRPr="003679D2">
        <w:rPr>
          <w:rFonts w:asciiTheme="majorBidi" w:hAnsiTheme="majorBidi" w:cstheme="majorBidi"/>
          <w:vertAlign w:val="superscript"/>
        </w:rPr>
        <w:tab/>
      </w:r>
      <w:r w:rsidR="00741910" w:rsidRPr="00A76F82">
        <w:rPr>
          <w:rFonts w:asciiTheme="majorBidi" w:hAnsiTheme="majorBidi" w:cstheme="majorBidi"/>
          <w:sz w:val="18"/>
          <w:szCs w:val="18"/>
        </w:rPr>
        <w:t>Le cadre de</w:t>
      </w:r>
      <w:r w:rsidR="00366269" w:rsidRPr="00A76F82">
        <w:rPr>
          <w:rFonts w:asciiTheme="majorBidi" w:hAnsiTheme="majorBidi" w:cstheme="majorBidi"/>
          <w:sz w:val="18"/>
          <w:szCs w:val="18"/>
        </w:rPr>
        <w:t xml:space="preserve"> </w:t>
      </w:r>
      <w:r w:rsidR="00741910" w:rsidRPr="00A76F82">
        <w:rPr>
          <w:rFonts w:asciiTheme="majorBidi" w:hAnsiTheme="majorBidi" w:cstheme="majorBidi"/>
          <w:sz w:val="18"/>
          <w:szCs w:val="18"/>
        </w:rPr>
        <w:t>gestion des risques</w:t>
      </w:r>
      <w:r w:rsidR="00366269" w:rsidRPr="00A76F82">
        <w:rPr>
          <w:rFonts w:asciiTheme="majorBidi" w:hAnsiTheme="majorBidi" w:cstheme="majorBidi"/>
          <w:sz w:val="18"/>
          <w:szCs w:val="18"/>
        </w:rPr>
        <w:t xml:space="preserve"> </w:t>
      </w:r>
      <w:r w:rsidR="00741910" w:rsidRPr="00A76F82">
        <w:rPr>
          <w:rFonts w:asciiTheme="majorBidi" w:hAnsiTheme="majorBidi" w:cstheme="majorBidi"/>
          <w:sz w:val="18"/>
          <w:szCs w:val="18"/>
        </w:rPr>
        <w:t>du transport intérieur de marchandises dangereuses peut être consulté sur le site Internet de la Direction générale de la mobilité et des transports de la Commission européenne</w:t>
      </w:r>
      <w:r w:rsidR="00060A96">
        <w:rPr>
          <w:rFonts w:asciiTheme="majorBidi" w:hAnsiTheme="majorBidi" w:cstheme="majorBidi"/>
          <w:sz w:val="18"/>
          <w:szCs w:val="18"/>
        </w:rPr>
        <w:t xml:space="preserve"> </w:t>
      </w:r>
      <w:r w:rsidR="00741910" w:rsidRPr="00A76F82">
        <w:rPr>
          <w:rFonts w:asciiTheme="majorBidi" w:hAnsiTheme="majorBidi" w:cstheme="majorBidi"/>
          <w:sz w:val="18"/>
          <w:szCs w:val="18"/>
        </w:rPr>
        <w:t>(</w:t>
      </w:r>
      <w:hyperlink r:id="rId10" w:history="1">
        <w:r w:rsidR="00741910" w:rsidRPr="00A76F82">
          <w:rPr>
            <w:rStyle w:val="Hyperlink"/>
            <w:rFonts w:asciiTheme="majorBidi" w:hAnsiTheme="majorBidi" w:cstheme="majorBidi"/>
            <w:sz w:val="18"/>
            <w:szCs w:val="18"/>
          </w:rPr>
          <w:t>https</w:t>
        </w:r>
        <w:r w:rsidR="009264E7" w:rsidRPr="00A76F82">
          <w:rPr>
            <w:rStyle w:val="Hyperlink"/>
            <w:rFonts w:asciiTheme="majorBidi" w:hAnsiTheme="majorBidi" w:cstheme="majorBidi"/>
            <w:sz w:val="18"/>
            <w:szCs w:val="18"/>
          </w:rPr>
          <w:t>:</w:t>
        </w:r>
        <w:r w:rsidR="00741910" w:rsidRPr="00A76F82">
          <w:rPr>
            <w:rStyle w:val="Hyperlink"/>
            <w:rFonts w:asciiTheme="majorBidi" w:hAnsiTheme="majorBidi" w:cstheme="majorBidi"/>
            <w:sz w:val="18"/>
            <w:szCs w:val="18"/>
          </w:rPr>
          <w:t>//ec.europa.eu/transport/themes/dangerous_good/risk_management_</w:t>
        </w:r>
        <w:r w:rsidR="001E032C">
          <w:rPr>
            <w:rStyle w:val="Hyperlink"/>
            <w:rFonts w:asciiTheme="majorBidi" w:hAnsiTheme="majorBidi" w:cstheme="majorBidi"/>
            <w:sz w:val="18"/>
            <w:szCs w:val="18"/>
          </w:rPr>
          <w:t xml:space="preserve"> </w:t>
        </w:r>
        <w:proofErr w:type="spellStart"/>
        <w:r w:rsidR="00741910" w:rsidRPr="00A76F82">
          <w:rPr>
            <w:rStyle w:val="Hyperlink"/>
            <w:rFonts w:asciiTheme="majorBidi" w:hAnsiTheme="majorBidi" w:cstheme="majorBidi"/>
            <w:sz w:val="18"/>
            <w:szCs w:val="18"/>
          </w:rPr>
          <w:t>framework_en</w:t>
        </w:r>
        <w:proofErr w:type="spellEnd"/>
      </w:hyperlink>
      <w:r w:rsidR="00741910" w:rsidRPr="00A76F82">
        <w:rPr>
          <w:rFonts w:asciiTheme="majorBidi" w:hAnsiTheme="majorBidi" w:cstheme="majorBidi"/>
          <w:sz w:val="18"/>
          <w:szCs w:val="18"/>
        </w:rPr>
        <w:t>).</w:t>
      </w:r>
      <w:r>
        <w:rPr>
          <w:rFonts w:asciiTheme="majorBidi" w:hAnsiTheme="majorBidi" w:cstheme="majorBidi"/>
          <w:sz w:val="18"/>
          <w:szCs w:val="18"/>
        </w:rPr>
        <w:t> ».</w:t>
      </w:r>
    </w:p>
    <w:p w14:paraId="5DF97FA3" w14:textId="77777777" w:rsidR="00741910" w:rsidRPr="003679D2" w:rsidRDefault="00741910" w:rsidP="001E032C">
      <w:pPr>
        <w:pStyle w:val="SingleTxtG"/>
        <w:keepNext/>
      </w:pPr>
      <w:r w:rsidRPr="003679D2">
        <w:lastRenderedPageBreak/>
        <w:t>[ADN]</w:t>
      </w:r>
    </w:p>
    <w:p w14:paraId="47A27BBD" w14:textId="77777777" w:rsidR="00741910" w:rsidRPr="003679D2" w:rsidRDefault="00741910" w:rsidP="001E032C">
      <w:pPr>
        <w:pStyle w:val="SingleTxtG"/>
        <w:keepNext/>
        <w:spacing w:before="120" w:line="240" w:lineRule="exact"/>
        <w:rPr>
          <w:rFonts w:asciiTheme="majorBidi" w:hAnsiTheme="majorBidi" w:cstheme="majorBidi"/>
        </w:rPr>
      </w:pPr>
      <w:r w:rsidRPr="003679D2">
        <w:rPr>
          <w:rFonts w:asciiTheme="majorBidi" w:hAnsiTheme="majorBidi" w:cstheme="majorBidi"/>
        </w:rPr>
        <w:t xml:space="preserve">À la section 1.9.4 du chapitre </w:t>
      </w:r>
      <w:proofErr w:type="gramStart"/>
      <w:r w:rsidRPr="003679D2">
        <w:rPr>
          <w:rFonts w:asciiTheme="majorBidi" w:hAnsiTheme="majorBidi" w:cstheme="majorBidi"/>
        </w:rPr>
        <w:t>1.9 ,</w:t>
      </w:r>
      <w:proofErr w:type="gramEnd"/>
      <w:r w:rsidRPr="003679D2">
        <w:rPr>
          <w:rFonts w:asciiTheme="majorBidi" w:hAnsiTheme="majorBidi" w:cstheme="majorBidi"/>
        </w:rPr>
        <w:t xml:space="preserve"> </w:t>
      </w:r>
      <w:r w:rsidRPr="003679D2">
        <w:rPr>
          <w:rFonts w:asciiTheme="majorBidi" w:hAnsiTheme="majorBidi" w:cstheme="majorBidi"/>
          <w:u w:val="single"/>
        </w:rPr>
        <w:t>ajouter</w:t>
      </w:r>
      <w:r w:rsidRPr="003679D2">
        <w:rPr>
          <w:rFonts w:asciiTheme="majorBidi" w:hAnsiTheme="majorBidi" w:cstheme="majorBidi"/>
        </w:rPr>
        <w:t xml:space="preserve"> la note 1, libellée comme suit</w:t>
      </w:r>
      <w:r w:rsidR="009264E7">
        <w:rPr>
          <w:rFonts w:asciiTheme="majorBidi" w:hAnsiTheme="majorBidi" w:cstheme="majorBidi"/>
        </w:rPr>
        <w:t> :</w:t>
      </w:r>
      <w:r w:rsidRPr="003679D2">
        <w:rPr>
          <w:rFonts w:asciiTheme="majorBidi" w:hAnsiTheme="majorBidi" w:cstheme="majorBidi"/>
        </w:rPr>
        <w:t xml:space="preserve"> </w:t>
      </w:r>
    </w:p>
    <w:p w14:paraId="3F71CE3D" w14:textId="77777777" w:rsidR="00741910" w:rsidRPr="003679D2" w:rsidRDefault="001E032C" w:rsidP="00741910">
      <w:pPr>
        <w:pStyle w:val="SingleTxtG"/>
        <w:spacing w:before="120" w:line="240" w:lineRule="exact"/>
        <w:rPr>
          <w:rFonts w:asciiTheme="majorBidi" w:hAnsiTheme="majorBidi" w:cstheme="majorBidi"/>
        </w:rPr>
      </w:pPr>
      <w:r>
        <w:rPr>
          <w:rFonts w:asciiTheme="majorBidi" w:hAnsiTheme="majorBidi" w:cstheme="majorBidi"/>
        </w:rPr>
        <w:t>« </w:t>
      </w:r>
      <w:r w:rsidR="00741910" w:rsidRPr="003679D2">
        <w:rPr>
          <w:rFonts w:asciiTheme="majorBidi" w:hAnsiTheme="majorBidi" w:cstheme="majorBidi"/>
          <w:vertAlign w:val="superscript"/>
        </w:rPr>
        <w:t>1</w:t>
      </w:r>
      <w:r w:rsidR="00741910" w:rsidRPr="003679D2">
        <w:rPr>
          <w:rFonts w:asciiTheme="majorBidi" w:hAnsiTheme="majorBidi" w:cstheme="majorBidi"/>
          <w:vertAlign w:val="superscript"/>
        </w:rPr>
        <w:tab/>
      </w:r>
      <w:r w:rsidR="00741910" w:rsidRPr="003679D2">
        <w:rPr>
          <w:rFonts w:asciiTheme="majorBidi" w:hAnsiTheme="majorBidi" w:cstheme="majorBidi"/>
        </w:rPr>
        <w:t>Le cadre de</w:t>
      </w:r>
      <w:r w:rsidR="00366269">
        <w:rPr>
          <w:rFonts w:asciiTheme="majorBidi" w:hAnsiTheme="majorBidi" w:cstheme="majorBidi"/>
        </w:rPr>
        <w:t xml:space="preserve"> </w:t>
      </w:r>
      <w:r w:rsidR="00741910" w:rsidRPr="003679D2">
        <w:rPr>
          <w:rFonts w:asciiTheme="majorBidi" w:hAnsiTheme="majorBidi" w:cstheme="majorBidi"/>
        </w:rPr>
        <w:t>gestion des risques</w:t>
      </w:r>
      <w:r w:rsidR="00366269">
        <w:rPr>
          <w:rFonts w:asciiTheme="majorBidi" w:hAnsiTheme="majorBidi" w:cstheme="majorBidi"/>
        </w:rPr>
        <w:t xml:space="preserve"> </w:t>
      </w:r>
      <w:r w:rsidR="00741910" w:rsidRPr="003679D2">
        <w:rPr>
          <w:rFonts w:asciiTheme="majorBidi" w:hAnsiTheme="majorBidi" w:cstheme="majorBidi"/>
        </w:rPr>
        <w:t>du transport intérieur de marchandises dangereuses peut être consulté sur le site Internet de la Direction générale de la mobilité et des transports de la Commission européenne (</w:t>
      </w:r>
      <w:hyperlink r:id="rId11" w:history="1">
        <w:r w:rsidR="00741910" w:rsidRPr="003679D2">
          <w:rPr>
            <w:rStyle w:val="Hyperlink"/>
            <w:rFonts w:asciiTheme="majorBidi" w:hAnsiTheme="majorBidi" w:cstheme="majorBidi"/>
          </w:rPr>
          <w:t>https</w:t>
        </w:r>
        <w:r w:rsidR="009264E7">
          <w:rPr>
            <w:rStyle w:val="Hyperlink"/>
            <w:rFonts w:asciiTheme="majorBidi" w:hAnsiTheme="majorBidi" w:cstheme="majorBidi"/>
          </w:rPr>
          <w:t>:</w:t>
        </w:r>
        <w:r w:rsidR="00741910" w:rsidRPr="003679D2">
          <w:rPr>
            <w:rStyle w:val="Hyperlink"/>
            <w:rFonts w:asciiTheme="majorBidi" w:hAnsiTheme="majorBidi" w:cstheme="majorBidi"/>
          </w:rPr>
          <w:t>//ec.europa.eu/transport/themes/dangerous_good/</w:t>
        </w:r>
        <w:r w:rsidR="0095683E">
          <w:rPr>
            <w:rStyle w:val="Hyperlink"/>
            <w:rFonts w:asciiTheme="majorBidi" w:hAnsiTheme="majorBidi" w:cstheme="majorBidi"/>
          </w:rPr>
          <w:t xml:space="preserve"> </w:t>
        </w:r>
        <w:proofErr w:type="spellStart"/>
        <w:r w:rsidR="00741910" w:rsidRPr="003679D2">
          <w:rPr>
            <w:rStyle w:val="Hyperlink"/>
            <w:rFonts w:asciiTheme="majorBidi" w:hAnsiTheme="majorBidi" w:cstheme="majorBidi"/>
          </w:rPr>
          <w:t>risk_management_framework_en</w:t>
        </w:r>
        <w:proofErr w:type="spellEnd"/>
      </w:hyperlink>
      <w:r w:rsidR="00741910" w:rsidRPr="003679D2">
        <w:rPr>
          <w:rFonts w:asciiTheme="majorBidi" w:hAnsiTheme="majorBidi" w:cstheme="majorBidi"/>
        </w:rPr>
        <w:t>).</w:t>
      </w:r>
      <w:r>
        <w:rPr>
          <w:rFonts w:asciiTheme="majorBidi" w:hAnsiTheme="majorBidi" w:cstheme="majorBidi"/>
        </w:rPr>
        <w:t> ».</w:t>
      </w:r>
    </w:p>
    <w:p w14:paraId="0C01C611" w14:textId="77777777" w:rsidR="00741910" w:rsidRPr="003679D2" w:rsidRDefault="00741910" w:rsidP="0095683E">
      <w:pPr>
        <w:pStyle w:val="HChG"/>
      </w:pPr>
      <w:r w:rsidRPr="003679D2">
        <w:tab/>
      </w:r>
      <w:r w:rsidRPr="003679D2">
        <w:tab/>
        <w:t xml:space="preserve">Proposition </w:t>
      </w:r>
      <w:r w:rsidR="0095683E">
        <w:rPr>
          <w:rFonts w:eastAsia="MS Mincho"/>
        </w:rPr>
        <w:t>n</w:t>
      </w:r>
      <w:r w:rsidR="0095683E">
        <w:rPr>
          <w:rFonts w:eastAsia="MS Mincho"/>
          <w:vertAlign w:val="superscript"/>
        </w:rPr>
        <w:t>o</w:t>
      </w:r>
      <w:r w:rsidR="0095683E">
        <w:t> </w:t>
      </w:r>
      <w:r w:rsidRPr="003679D2">
        <w:t>2</w:t>
      </w:r>
    </w:p>
    <w:p w14:paraId="3B182DBA" w14:textId="77777777" w:rsidR="00741910" w:rsidRPr="003679D2" w:rsidRDefault="00741910" w:rsidP="00741910">
      <w:pPr>
        <w:pStyle w:val="SingleTxtG"/>
        <w:spacing w:line="240" w:lineRule="exact"/>
        <w:rPr>
          <w:rFonts w:asciiTheme="majorBidi" w:hAnsiTheme="majorBidi" w:cstheme="majorBidi"/>
          <w:highlight w:val="yellow"/>
        </w:rPr>
      </w:pPr>
      <w:r w:rsidRPr="003679D2">
        <w:rPr>
          <w:rFonts w:asciiTheme="majorBidi" w:hAnsiTheme="majorBidi" w:cstheme="majorBidi"/>
        </w:rPr>
        <w:t>Remplacer le texte actuel de la note de bas de page 24 qui figure</w:t>
      </w:r>
      <w:r w:rsidR="00366269">
        <w:rPr>
          <w:rFonts w:asciiTheme="majorBidi" w:hAnsiTheme="majorBidi" w:cstheme="majorBidi"/>
        </w:rPr>
        <w:t xml:space="preserve"> </w:t>
      </w:r>
      <w:r w:rsidRPr="003679D2">
        <w:rPr>
          <w:rFonts w:asciiTheme="majorBidi" w:hAnsiTheme="majorBidi" w:cstheme="majorBidi"/>
        </w:rPr>
        <w:t>à la section 1.9.3 du RID et de la note 1 qui figure</w:t>
      </w:r>
      <w:r w:rsidR="00366269">
        <w:rPr>
          <w:rFonts w:asciiTheme="majorBidi" w:hAnsiTheme="majorBidi" w:cstheme="majorBidi"/>
        </w:rPr>
        <w:t xml:space="preserve"> </w:t>
      </w:r>
      <w:r w:rsidRPr="003679D2">
        <w:rPr>
          <w:rFonts w:asciiTheme="majorBidi" w:hAnsiTheme="majorBidi" w:cstheme="majorBidi"/>
        </w:rPr>
        <w:t>à la section 1.9.4 de l’ADR</w:t>
      </w:r>
      <w:r w:rsidRPr="003679D2" w:rsidDel="006A1E52">
        <w:rPr>
          <w:rFonts w:asciiTheme="majorBidi" w:hAnsiTheme="majorBidi" w:cstheme="majorBidi"/>
        </w:rPr>
        <w:t xml:space="preserve"> </w:t>
      </w:r>
      <w:r w:rsidRPr="003679D2">
        <w:rPr>
          <w:rFonts w:asciiTheme="majorBidi" w:hAnsiTheme="majorBidi" w:cstheme="majorBidi"/>
        </w:rPr>
        <w:t>par les textes proposés ci-dessus.</w:t>
      </w:r>
    </w:p>
    <w:p w14:paraId="299F1136" w14:textId="77777777" w:rsidR="00741910" w:rsidRPr="003679D2" w:rsidRDefault="00741910" w:rsidP="00741910">
      <w:pPr>
        <w:pStyle w:val="SingleTxtG"/>
        <w:spacing w:line="240" w:lineRule="exact"/>
        <w:jc w:val="left"/>
        <w:rPr>
          <w:rFonts w:asciiTheme="majorBidi" w:hAnsiTheme="majorBidi" w:cstheme="majorBidi"/>
        </w:rPr>
      </w:pPr>
      <w:r w:rsidRPr="003679D2">
        <w:rPr>
          <w:rFonts w:asciiTheme="majorBidi" w:hAnsiTheme="majorBidi" w:cstheme="majorBidi"/>
        </w:rPr>
        <w:t>Dans le cas de l’ADN, le texte proposé</w:t>
      </w:r>
      <w:r w:rsidR="00366269">
        <w:rPr>
          <w:rFonts w:asciiTheme="majorBidi" w:hAnsiTheme="majorBidi" w:cstheme="majorBidi"/>
        </w:rPr>
        <w:t xml:space="preserve"> </w:t>
      </w:r>
      <w:r w:rsidRPr="003679D2">
        <w:rPr>
          <w:rFonts w:asciiTheme="majorBidi" w:hAnsiTheme="majorBidi" w:cstheme="majorBidi"/>
        </w:rPr>
        <w:t xml:space="preserve">devrait être adopté sans autre modification. </w:t>
      </w:r>
    </w:p>
    <w:p w14:paraId="566419E2" w14:textId="77777777" w:rsidR="00741910" w:rsidRPr="003679D2" w:rsidRDefault="00741910" w:rsidP="00741910">
      <w:pPr>
        <w:pStyle w:val="SingleTxtG"/>
        <w:spacing w:line="240" w:lineRule="exact"/>
        <w:rPr>
          <w:rFonts w:asciiTheme="majorBidi" w:hAnsiTheme="majorBidi" w:cstheme="majorBidi"/>
        </w:rPr>
      </w:pPr>
      <w:r w:rsidRPr="003679D2">
        <w:rPr>
          <w:rFonts w:asciiTheme="majorBidi" w:hAnsiTheme="majorBidi" w:cstheme="majorBidi"/>
        </w:rPr>
        <w:t>Modifications découlant de la présente proposition</w:t>
      </w:r>
      <w:r w:rsidR="009264E7">
        <w:rPr>
          <w:rFonts w:asciiTheme="majorBidi" w:hAnsiTheme="majorBidi" w:cstheme="majorBidi"/>
        </w:rPr>
        <w:t> :</w:t>
      </w:r>
      <w:r w:rsidRPr="003679D2">
        <w:rPr>
          <w:rFonts w:asciiTheme="majorBidi" w:hAnsiTheme="majorBidi" w:cstheme="majorBidi"/>
        </w:rPr>
        <w:t xml:space="preserve"> ajouter un lien vers les nouvelles lignes directrices sur les sites Web de l’OTIF et de la Commission économique pour l’Europe (CEE). </w:t>
      </w:r>
    </w:p>
    <w:p w14:paraId="5941E810" w14:textId="77777777" w:rsidR="00741910" w:rsidRPr="003679D2" w:rsidRDefault="00741910" w:rsidP="0095683E">
      <w:pPr>
        <w:pStyle w:val="HChG"/>
      </w:pPr>
      <w:r w:rsidRPr="003679D2">
        <w:tab/>
      </w:r>
      <w:r w:rsidRPr="003679D2">
        <w:tab/>
        <w:t>Justifications</w:t>
      </w:r>
    </w:p>
    <w:p w14:paraId="50709C68" w14:textId="77777777" w:rsidR="00741910" w:rsidRPr="003679D2" w:rsidRDefault="00741910" w:rsidP="00741910">
      <w:pPr>
        <w:pStyle w:val="SingleTxtG"/>
        <w:spacing w:before="120" w:line="240" w:lineRule="exact"/>
        <w:rPr>
          <w:rFonts w:asciiTheme="majorBidi" w:hAnsiTheme="majorBidi" w:cstheme="majorBidi"/>
        </w:rPr>
      </w:pPr>
      <w:r w:rsidRPr="003679D2">
        <w:rPr>
          <w:rFonts w:asciiTheme="majorBidi" w:hAnsiTheme="majorBidi" w:cstheme="majorBidi"/>
          <w:u w:val="single"/>
        </w:rPr>
        <w:t xml:space="preserve">Proposition </w:t>
      </w:r>
      <w:r w:rsidR="008D5879" w:rsidRPr="008D5879">
        <w:rPr>
          <w:rFonts w:asciiTheme="majorBidi" w:eastAsia="MS Mincho" w:hAnsiTheme="majorBidi" w:cstheme="majorBidi"/>
          <w:u w:val="single"/>
        </w:rPr>
        <w:t>n</w:t>
      </w:r>
      <w:r w:rsidR="008D5879" w:rsidRPr="008D5879">
        <w:rPr>
          <w:rFonts w:asciiTheme="majorBidi" w:eastAsia="MS Mincho" w:hAnsiTheme="majorBidi" w:cstheme="majorBidi"/>
          <w:u w:val="single"/>
          <w:vertAlign w:val="superscript"/>
        </w:rPr>
        <w:t>o</w:t>
      </w:r>
      <w:r w:rsidRPr="003679D2">
        <w:rPr>
          <w:rFonts w:asciiTheme="majorBidi" w:hAnsiTheme="majorBidi" w:cstheme="majorBidi"/>
          <w:u w:val="single"/>
        </w:rPr>
        <w:t> 1</w:t>
      </w:r>
      <w:r w:rsidR="009264E7">
        <w:rPr>
          <w:rFonts w:asciiTheme="majorBidi" w:hAnsiTheme="majorBidi" w:cstheme="majorBidi"/>
          <w:u w:val="single"/>
        </w:rPr>
        <w:t> :</w:t>
      </w:r>
      <w:r w:rsidRPr="003679D2">
        <w:rPr>
          <w:rFonts w:asciiTheme="majorBidi" w:hAnsiTheme="majorBidi" w:cstheme="majorBidi"/>
        </w:rPr>
        <w:t xml:space="preserve"> </w:t>
      </w:r>
    </w:p>
    <w:p w14:paraId="0B2D1F85" w14:textId="77777777" w:rsidR="00741910" w:rsidRPr="003679D2" w:rsidRDefault="00741910" w:rsidP="00741910">
      <w:pPr>
        <w:pStyle w:val="SingleTxtG"/>
        <w:spacing w:before="120" w:line="240" w:lineRule="exact"/>
        <w:rPr>
          <w:rFonts w:asciiTheme="majorBidi" w:hAnsiTheme="majorBidi" w:cstheme="majorBidi"/>
        </w:rPr>
      </w:pPr>
      <w:r w:rsidRPr="003679D2">
        <w:rPr>
          <w:rFonts w:asciiTheme="majorBidi" w:hAnsiTheme="majorBidi" w:cstheme="majorBidi"/>
        </w:rPr>
        <w:t xml:space="preserve">La proposition </w:t>
      </w:r>
      <w:r w:rsidR="008D5879" w:rsidRPr="008D5879">
        <w:rPr>
          <w:rFonts w:asciiTheme="majorBidi" w:eastAsia="MS Mincho" w:hAnsiTheme="majorBidi" w:cstheme="majorBidi"/>
        </w:rPr>
        <w:t>n</w:t>
      </w:r>
      <w:r w:rsidR="008D5879" w:rsidRPr="008D5879">
        <w:rPr>
          <w:rFonts w:asciiTheme="majorBidi" w:eastAsia="MS Mincho" w:hAnsiTheme="majorBidi" w:cstheme="majorBidi"/>
          <w:vertAlign w:val="superscript"/>
        </w:rPr>
        <w:t>o</w:t>
      </w:r>
      <w:r w:rsidR="008D5879" w:rsidRPr="008D5879">
        <w:rPr>
          <w:rFonts w:asciiTheme="majorBidi" w:hAnsiTheme="majorBidi" w:cstheme="majorBidi"/>
        </w:rPr>
        <w:t> </w:t>
      </w:r>
      <w:r w:rsidRPr="003679D2">
        <w:rPr>
          <w:rFonts w:asciiTheme="majorBidi" w:hAnsiTheme="majorBidi" w:cstheme="majorBidi"/>
        </w:rPr>
        <w:t>1 n’a</w:t>
      </w:r>
      <w:r w:rsidR="00366269">
        <w:rPr>
          <w:rFonts w:asciiTheme="majorBidi" w:hAnsiTheme="majorBidi" w:cstheme="majorBidi"/>
        </w:rPr>
        <w:t xml:space="preserve"> </w:t>
      </w:r>
      <w:r w:rsidRPr="003679D2">
        <w:rPr>
          <w:rFonts w:asciiTheme="majorBidi" w:hAnsiTheme="majorBidi" w:cstheme="majorBidi"/>
        </w:rPr>
        <w:t>aucune incidence négative car le cadre de</w:t>
      </w:r>
      <w:r w:rsidR="00366269">
        <w:rPr>
          <w:rFonts w:asciiTheme="majorBidi" w:hAnsiTheme="majorBidi" w:cstheme="majorBidi"/>
        </w:rPr>
        <w:t xml:space="preserve"> </w:t>
      </w:r>
      <w:r w:rsidRPr="003679D2">
        <w:rPr>
          <w:rFonts w:asciiTheme="majorBidi" w:hAnsiTheme="majorBidi" w:cstheme="majorBidi"/>
        </w:rPr>
        <w:t>gestion des risques est compatible avec la législation et les pratiques en vigueur,</w:t>
      </w:r>
      <w:r w:rsidR="00366269">
        <w:rPr>
          <w:rFonts w:asciiTheme="majorBidi" w:hAnsiTheme="majorBidi" w:cstheme="majorBidi"/>
        </w:rPr>
        <w:t xml:space="preserve"> </w:t>
      </w:r>
      <w:r w:rsidRPr="003679D2">
        <w:rPr>
          <w:rFonts w:asciiTheme="majorBidi" w:hAnsiTheme="majorBidi" w:cstheme="majorBidi"/>
        </w:rPr>
        <w:t>comme l’ont confirmé les ateliers de sensibilisation et</w:t>
      </w:r>
      <w:r w:rsidR="00366269">
        <w:rPr>
          <w:rFonts w:asciiTheme="majorBidi" w:hAnsiTheme="majorBidi" w:cstheme="majorBidi"/>
        </w:rPr>
        <w:t xml:space="preserve"> </w:t>
      </w:r>
      <w:r w:rsidRPr="003679D2">
        <w:rPr>
          <w:rFonts w:asciiTheme="majorBidi" w:hAnsiTheme="majorBidi" w:cstheme="majorBidi"/>
        </w:rPr>
        <w:t>les réunions du groupe d’experts chargé des usagers et du développement.</w:t>
      </w:r>
      <w:r w:rsidR="00366269">
        <w:rPr>
          <w:rFonts w:asciiTheme="majorBidi" w:hAnsiTheme="majorBidi" w:cstheme="majorBidi"/>
        </w:rPr>
        <w:t xml:space="preserve"> </w:t>
      </w:r>
      <w:r w:rsidRPr="003679D2">
        <w:rPr>
          <w:rFonts w:asciiTheme="majorBidi" w:hAnsiTheme="majorBidi" w:cstheme="majorBidi"/>
        </w:rPr>
        <w:t>La mise en œuvre du cadre est volontaire</w:t>
      </w:r>
      <w:r w:rsidR="00366269">
        <w:rPr>
          <w:rFonts w:asciiTheme="majorBidi" w:hAnsiTheme="majorBidi" w:cstheme="majorBidi"/>
        </w:rPr>
        <w:t xml:space="preserve"> </w:t>
      </w:r>
      <w:r w:rsidRPr="003679D2">
        <w:rPr>
          <w:rFonts w:asciiTheme="majorBidi" w:hAnsiTheme="majorBidi" w:cstheme="majorBidi"/>
        </w:rPr>
        <w:t xml:space="preserve">pour toutes les catégories d’utilisateurs. </w:t>
      </w:r>
    </w:p>
    <w:p w14:paraId="5D1EEDB5" w14:textId="77777777" w:rsidR="00741910" w:rsidRPr="003679D2" w:rsidRDefault="00741910" w:rsidP="00741910">
      <w:pPr>
        <w:pStyle w:val="SingleTxtG"/>
        <w:spacing w:before="120" w:line="240" w:lineRule="exact"/>
        <w:rPr>
          <w:rFonts w:asciiTheme="majorBidi" w:hAnsiTheme="majorBidi" w:cstheme="majorBidi"/>
        </w:rPr>
      </w:pPr>
      <w:r w:rsidRPr="003679D2">
        <w:rPr>
          <w:rFonts w:asciiTheme="majorBidi" w:hAnsiTheme="majorBidi" w:cstheme="majorBidi"/>
        </w:rPr>
        <w:t xml:space="preserve">Il fournit une méthode harmonisée et complète à tous les nouveaux utilisateurs qui pourraient décider de commencer à recourir aux techniques de gestion des risques. </w:t>
      </w:r>
    </w:p>
    <w:p w14:paraId="06922208" w14:textId="77777777" w:rsidR="00741910" w:rsidRPr="003679D2" w:rsidRDefault="00741910" w:rsidP="00741910">
      <w:pPr>
        <w:pStyle w:val="SingleTxtG"/>
        <w:spacing w:before="120" w:line="240" w:lineRule="exact"/>
        <w:rPr>
          <w:rFonts w:asciiTheme="majorBidi" w:hAnsiTheme="majorBidi" w:cstheme="majorBidi"/>
        </w:rPr>
      </w:pPr>
      <w:r w:rsidRPr="003679D2">
        <w:rPr>
          <w:rFonts w:asciiTheme="majorBidi" w:hAnsiTheme="majorBidi" w:cstheme="majorBidi"/>
          <w:u w:val="single"/>
        </w:rPr>
        <w:t xml:space="preserve">Proposition </w:t>
      </w:r>
      <w:r w:rsidR="008D5879" w:rsidRPr="008D5879">
        <w:rPr>
          <w:rFonts w:asciiTheme="majorBidi" w:eastAsia="MS Mincho" w:hAnsiTheme="majorBidi" w:cstheme="majorBidi"/>
          <w:u w:val="single"/>
        </w:rPr>
        <w:t>n</w:t>
      </w:r>
      <w:r w:rsidR="008D5879" w:rsidRPr="008D5879">
        <w:rPr>
          <w:rFonts w:asciiTheme="majorBidi" w:eastAsia="MS Mincho" w:hAnsiTheme="majorBidi" w:cstheme="majorBidi"/>
          <w:u w:val="single"/>
          <w:vertAlign w:val="superscript"/>
        </w:rPr>
        <w:t>o</w:t>
      </w:r>
      <w:r w:rsidR="008D5879" w:rsidRPr="008D5879">
        <w:rPr>
          <w:rFonts w:asciiTheme="majorBidi" w:hAnsiTheme="majorBidi" w:cstheme="majorBidi"/>
          <w:u w:val="single"/>
        </w:rPr>
        <w:t> </w:t>
      </w:r>
      <w:r w:rsidRPr="003679D2">
        <w:rPr>
          <w:rFonts w:asciiTheme="majorBidi" w:hAnsiTheme="majorBidi" w:cstheme="majorBidi"/>
          <w:u w:val="single"/>
        </w:rPr>
        <w:t>2</w:t>
      </w:r>
      <w:r w:rsidR="009264E7">
        <w:rPr>
          <w:rFonts w:asciiTheme="majorBidi" w:hAnsiTheme="majorBidi" w:cstheme="majorBidi"/>
          <w:u w:val="single"/>
        </w:rPr>
        <w:t> :</w:t>
      </w:r>
      <w:r w:rsidRPr="003679D2">
        <w:rPr>
          <w:rFonts w:asciiTheme="majorBidi" w:hAnsiTheme="majorBidi" w:cstheme="majorBidi"/>
        </w:rPr>
        <w:t xml:space="preserve"> </w:t>
      </w:r>
    </w:p>
    <w:p w14:paraId="2F304840" w14:textId="77777777" w:rsidR="00741910" w:rsidRPr="003679D2" w:rsidRDefault="00741910" w:rsidP="00741910">
      <w:pPr>
        <w:pStyle w:val="SingleTxtG"/>
        <w:spacing w:before="120" w:line="240" w:lineRule="exact"/>
        <w:rPr>
          <w:rFonts w:asciiTheme="majorBidi" w:hAnsiTheme="majorBidi" w:cstheme="majorBidi"/>
        </w:rPr>
      </w:pPr>
      <w:r w:rsidRPr="003679D2">
        <w:rPr>
          <w:rFonts w:asciiTheme="majorBidi" w:hAnsiTheme="majorBidi" w:cstheme="majorBidi"/>
        </w:rPr>
        <w:t>Il est proposé de remplacer le texte qui renvoie actuellement au lignes directrices générales dans les notes de bas de page figurant au chapitre 1.9 (RID 2019 /ADR 2019) parce que ces lignes directrices sont moins détaillées par rapport au cadre qui vient d’être mis en place, dans lequel la description des techniques de gestion des risques est plus approfondie. Les</w:t>
      </w:r>
      <w:r w:rsidR="008D5879">
        <w:rPr>
          <w:rFonts w:asciiTheme="majorBidi" w:hAnsiTheme="majorBidi" w:cstheme="majorBidi"/>
        </w:rPr>
        <w:t> </w:t>
      </w:r>
      <w:r w:rsidRPr="003679D2">
        <w:rPr>
          <w:rFonts w:asciiTheme="majorBidi" w:hAnsiTheme="majorBidi" w:cstheme="majorBidi"/>
        </w:rPr>
        <w:t>précédentes lignes directrices</w:t>
      </w:r>
      <w:r w:rsidR="00366269">
        <w:rPr>
          <w:rFonts w:asciiTheme="majorBidi" w:hAnsiTheme="majorBidi" w:cstheme="majorBidi"/>
        </w:rPr>
        <w:t xml:space="preserve"> </w:t>
      </w:r>
      <w:r w:rsidRPr="003679D2">
        <w:rPr>
          <w:rFonts w:asciiTheme="majorBidi" w:hAnsiTheme="majorBidi" w:cstheme="majorBidi"/>
        </w:rPr>
        <w:t>sont moins instructives que le cadre nouvellement établi et n’ont</w:t>
      </w:r>
      <w:r w:rsidR="00366269">
        <w:rPr>
          <w:rFonts w:asciiTheme="majorBidi" w:hAnsiTheme="majorBidi" w:cstheme="majorBidi"/>
        </w:rPr>
        <w:t xml:space="preserve"> </w:t>
      </w:r>
      <w:r w:rsidRPr="003679D2">
        <w:rPr>
          <w:rFonts w:asciiTheme="majorBidi" w:hAnsiTheme="majorBidi" w:cstheme="majorBidi"/>
        </w:rPr>
        <w:t>pas été mises à jour depuis</w:t>
      </w:r>
      <w:r w:rsidR="00366269">
        <w:rPr>
          <w:rFonts w:asciiTheme="majorBidi" w:hAnsiTheme="majorBidi" w:cstheme="majorBidi"/>
        </w:rPr>
        <w:t xml:space="preserve"> </w:t>
      </w:r>
      <w:r w:rsidRPr="003679D2">
        <w:rPr>
          <w:rFonts w:asciiTheme="majorBidi" w:hAnsiTheme="majorBidi" w:cstheme="majorBidi"/>
        </w:rPr>
        <w:t xml:space="preserve">leur publication </w:t>
      </w:r>
      <w:proofErr w:type="gramStart"/>
      <w:r w:rsidRPr="003679D2">
        <w:rPr>
          <w:rFonts w:asciiTheme="majorBidi" w:hAnsiTheme="majorBidi" w:cstheme="majorBidi"/>
        </w:rPr>
        <w:t>( en</w:t>
      </w:r>
      <w:proofErr w:type="gramEnd"/>
      <w:r w:rsidRPr="003679D2">
        <w:rPr>
          <w:rFonts w:asciiTheme="majorBidi" w:hAnsiTheme="majorBidi" w:cstheme="majorBidi"/>
        </w:rPr>
        <w:t xml:space="preserve"> mai et en octobre 2008), ce qui fait qu’elles pourraient contenir des informations obsolètes. </w:t>
      </w:r>
    </w:p>
    <w:p w14:paraId="6A5093B1" w14:textId="77777777" w:rsidR="00741910" w:rsidRPr="003679D2" w:rsidRDefault="00741910" w:rsidP="00741910">
      <w:pPr>
        <w:pStyle w:val="SingleTxtG"/>
        <w:spacing w:before="120" w:line="240" w:lineRule="exact"/>
        <w:rPr>
          <w:rFonts w:asciiTheme="majorBidi" w:hAnsiTheme="majorBidi" w:cstheme="majorBidi"/>
        </w:rPr>
      </w:pPr>
      <w:r w:rsidRPr="003679D2">
        <w:rPr>
          <w:rFonts w:asciiTheme="majorBidi" w:hAnsiTheme="majorBidi" w:cstheme="majorBidi"/>
        </w:rPr>
        <w:t>Cette approche</w:t>
      </w:r>
      <w:r w:rsidR="00366269">
        <w:rPr>
          <w:rFonts w:asciiTheme="majorBidi" w:hAnsiTheme="majorBidi" w:cstheme="majorBidi"/>
        </w:rPr>
        <w:t xml:space="preserve"> </w:t>
      </w:r>
      <w:r w:rsidRPr="003679D2">
        <w:rPr>
          <w:rFonts w:asciiTheme="majorBidi" w:hAnsiTheme="majorBidi" w:cstheme="majorBidi"/>
        </w:rPr>
        <w:t>simplifierait l’application des dispositions du chapitre 1.9 dans les trois modes de transport en soumettant une seule méthodologie multimodale aux éventuels utilisateurs.</w:t>
      </w:r>
    </w:p>
    <w:p w14:paraId="303EE257" w14:textId="77777777" w:rsidR="00741910" w:rsidRPr="003679D2" w:rsidRDefault="00741910" w:rsidP="008D5879">
      <w:pPr>
        <w:pStyle w:val="HChG"/>
      </w:pPr>
      <w:r w:rsidRPr="003679D2">
        <w:tab/>
      </w:r>
      <w:r w:rsidRPr="003679D2">
        <w:tab/>
        <w:t xml:space="preserve">Liens directs vers les guides constituant le cadre </w:t>
      </w:r>
      <w:r w:rsidR="008D5879">
        <w:br/>
      </w:r>
      <w:r w:rsidRPr="003679D2">
        <w:t>de</w:t>
      </w:r>
      <w:r w:rsidR="00366269">
        <w:t xml:space="preserve"> </w:t>
      </w:r>
      <w:r w:rsidRPr="003679D2">
        <w:t>gestion des risques</w:t>
      </w:r>
    </w:p>
    <w:p w14:paraId="777DF2CD" w14:textId="77777777" w:rsidR="00741910" w:rsidRPr="004A0806" w:rsidRDefault="0022327F" w:rsidP="00741910">
      <w:pPr>
        <w:pStyle w:val="SingleTxtG"/>
        <w:spacing w:line="240" w:lineRule="exact"/>
        <w:rPr>
          <w:rStyle w:val="Hyperlink"/>
        </w:rPr>
      </w:pPr>
      <w:hyperlink r:id="rId12" w:history="1">
        <w:r w:rsidR="00741910" w:rsidRPr="004A0806">
          <w:rPr>
            <w:rStyle w:val="Hyperlink"/>
          </w:rPr>
          <w:t>Guide</w:t>
        </w:r>
        <w:r w:rsidR="00366269" w:rsidRPr="004A0806">
          <w:rPr>
            <w:rStyle w:val="Hyperlink"/>
          </w:rPr>
          <w:t xml:space="preserve"> </w:t>
        </w:r>
        <w:r w:rsidR="00741910" w:rsidRPr="004A0806">
          <w:rPr>
            <w:rStyle w:val="Hyperlink"/>
          </w:rPr>
          <w:t>cadre</w:t>
        </w:r>
        <w:r w:rsidR="00366269" w:rsidRPr="004A0806">
          <w:rPr>
            <w:rStyle w:val="Hyperlink"/>
          </w:rPr>
          <w:t xml:space="preserve"> </w:t>
        </w:r>
        <w:r w:rsidR="00741910" w:rsidRPr="004A0806">
          <w:rPr>
            <w:rStyle w:val="Hyperlink"/>
          </w:rPr>
          <w:t xml:space="preserve">(vue </w:t>
        </w:r>
        <w:proofErr w:type="gramStart"/>
        <w:r w:rsidR="00741910" w:rsidRPr="004A0806">
          <w:rPr>
            <w:rStyle w:val="Hyperlink"/>
          </w:rPr>
          <w:t>d’ensemble )</w:t>
        </w:r>
        <w:proofErr w:type="gramEnd"/>
      </w:hyperlink>
      <w:r w:rsidR="00741910" w:rsidRPr="004A0806">
        <w:rPr>
          <w:rStyle w:val="Hyperlink"/>
        </w:rPr>
        <w:t xml:space="preserve"> </w:t>
      </w:r>
    </w:p>
    <w:p w14:paraId="35D8A273" w14:textId="77777777" w:rsidR="00741910" w:rsidRPr="004A0806" w:rsidRDefault="0022327F" w:rsidP="00741910">
      <w:pPr>
        <w:pStyle w:val="SingleTxtG"/>
        <w:spacing w:line="240" w:lineRule="exact"/>
        <w:rPr>
          <w:rStyle w:val="Hyperlink"/>
        </w:rPr>
      </w:pPr>
      <w:hyperlink r:id="rId13" w:history="1">
        <w:r w:rsidR="00741910" w:rsidRPr="004A0806">
          <w:rPr>
            <w:rStyle w:val="Hyperlink"/>
          </w:rPr>
          <w:t xml:space="preserve">Guide </w:t>
        </w:r>
      </w:hyperlink>
      <w:r w:rsidR="00741910" w:rsidRPr="004A0806">
        <w:rPr>
          <w:rStyle w:val="Hyperlink"/>
        </w:rPr>
        <w:t xml:space="preserve">de l’évaluation des risques </w:t>
      </w:r>
    </w:p>
    <w:p w14:paraId="52DCF8E8" w14:textId="77777777" w:rsidR="00741910" w:rsidRPr="004A0806" w:rsidRDefault="0022327F" w:rsidP="00741910">
      <w:pPr>
        <w:pStyle w:val="SingleTxtG"/>
        <w:spacing w:line="240" w:lineRule="exact"/>
        <w:rPr>
          <w:rStyle w:val="Hyperlink"/>
        </w:rPr>
      </w:pPr>
      <w:hyperlink r:id="rId14" w:history="1">
        <w:r w:rsidR="00741910" w:rsidRPr="004A0806">
          <w:rPr>
            <w:rStyle w:val="Hyperlink"/>
          </w:rPr>
          <w:t>Guide</w:t>
        </w:r>
        <w:r w:rsidR="00366269" w:rsidRPr="004A0806">
          <w:rPr>
            <w:rStyle w:val="Hyperlink"/>
          </w:rPr>
          <w:t xml:space="preserve"> </w:t>
        </w:r>
        <w:r w:rsidR="00741910" w:rsidRPr="004A0806">
          <w:rPr>
            <w:rStyle w:val="Hyperlink"/>
          </w:rPr>
          <w:t>pour la prise de décision</w:t>
        </w:r>
      </w:hyperlink>
      <w:r w:rsidR="00741910" w:rsidRPr="004A0806">
        <w:rPr>
          <w:rStyle w:val="Hyperlink"/>
        </w:rPr>
        <w:t xml:space="preserve">s </w:t>
      </w:r>
    </w:p>
    <w:p w14:paraId="0245C20A" w14:textId="77777777" w:rsidR="00741910" w:rsidRPr="003679D2" w:rsidRDefault="0022327F" w:rsidP="00741910">
      <w:pPr>
        <w:pStyle w:val="SingleTxtG"/>
        <w:spacing w:line="240" w:lineRule="exact"/>
        <w:rPr>
          <w:rStyle w:val="Hyperlink"/>
          <w:rFonts w:asciiTheme="majorBidi" w:hAnsiTheme="majorBidi" w:cstheme="majorBidi"/>
        </w:rPr>
      </w:pPr>
      <w:hyperlink r:id="rId15" w:history="1">
        <w:r w:rsidR="00741910" w:rsidRPr="004A0806">
          <w:rPr>
            <w:rStyle w:val="Hyperlink"/>
          </w:rPr>
          <w:t>Glossaire</w:t>
        </w:r>
      </w:hyperlink>
      <w:r w:rsidR="003A1097">
        <w:rPr>
          <w:rStyle w:val="Hyperlink"/>
          <w:rFonts w:asciiTheme="majorBidi" w:hAnsiTheme="majorBidi" w:cstheme="majorBidi"/>
          <w:color w:val="31849B" w:themeColor="accent5" w:themeShade="BF"/>
        </w:rPr>
        <w:t>.</w:t>
      </w:r>
    </w:p>
    <w:p w14:paraId="4931A05F" w14:textId="77777777" w:rsidR="00F9573C" w:rsidRPr="00741910" w:rsidRDefault="00741910" w:rsidP="00741910">
      <w:pPr>
        <w:pStyle w:val="SingleTxtG"/>
        <w:spacing w:before="240" w:after="0"/>
        <w:jc w:val="center"/>
        <w:rPr>
          <w:u w:val="single"/>
        </w:rPr>
      </w:pPr>
      <w:r>
        <w:rPr>
          <w:u w:val="single"/>
        </w:rPr>
        <w:tab/>
      </w:r>
      <w:r>
        <w:rPr>
          <w:u w:val="single"/>
        </w:rPr>
        <w:tab/>
      </w:r>
      <w:r>
        <w:rPr>
          <w:u w:val="single"/>
        </w:rPr>
        <w:tab/>
      </w:r>
    </w:p>
    <w:sectPr w:rsidR="00F9573C" w:rsidRPr="00741910" w:rsidSect="00EA3D7C">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2583D" w14:textId="77777777" w:rsidR="001524A8" w:rsidRDefault="001524A8" w:rsidP="00F95C08">
      <w:pPr>
        <w:spacing w:line="240" w:lineRule="auto"/>
      </w:pPr>
    </w:p>
  </w:endnote>
  <w:endnote w:type="continuationSeparator" w:id="0">
    <w:p w14:paraId="3E834AC3" w14:textId="77777777" w:rsidR="001524A8" w:rsidRPr="00AC3823" w:rsidRDefault="001524A8" w:rsidP="00AC3823">
      <w:pPr>
        <w:pStyle w:val="Footer"/>
      </w:pPr>
    </w:p>
  </w:endnote>
  <w:endnote w:type="continuationNotice" w:id="1">
    <w:p w14:paraId="6DA50D7B" w14:textId="77777777" w:rsidR="001524A8" w:rsidRDefault="001524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8720" w14:textId="77777777" w:rsidR="00EA3D7C" w:rsidRPr="00EA3D7C" w:rsidRDefault="00EA3D7C" w:rsidP="00EA3D7C">
    <w:pPr>
      <w:pStyle w:val="Footer"/>
      <w:tabs>
        <w:tab w:val="right" w:pos="9638"/>
      </w:tabs>
    </w:pPr>
    <w:r w:rsidRPr="00EA3D7C">
      <w:rPr>
        <w:b/>
        <w:sz w:val="18"/>
      </w:rPr>
      <w:fldChar w:fldCharType="begin"/>
    </w:r>
    <w:r w:rsidRPr="00EA3D7C">
      <w:rPr>
        <w:b/>
        <w:sz w:val="18"/>
      </w:rPr>
      <w:instrText xml:space="preserve"> PAGE  \* MERGEFORMAT </w:instrText>
    </w:r>
    <w:r w:rsidRPr="00EA3D7C">
      <w:rPr>
        <w:b/>
        <w:sz w:val="18"/>
      </w:rPr>
      <w:fldChar w:fldCharType="separate"/>
    </w:r>
    <w:r w:rsidRPr="00EA3D7C">
      <w:rPr>
        <w:b/>
        <w:noProof/>
        <w:sz w:val="18"/>
      </w:rPr>
      <w:t>2</w:t>
    </w:r>
    <w:r w:rsidRPr="00EA3D7C">
      <w:rPr>
        <w:b/>
        <w:sz w:val="18"/>
      </w:rPr>
      <w:fldChar w:fldCharType="end"/>
    </w:r>
    <w:r>
      <w:rPr>
        <w:b/>
        <w:sz w:val="18"/>
      </w:rPr>
      <w:tab/>
    </w:r>
    <w:r>
      <w:t>GE.19-22566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76B7" w14:textId="77777777" w:rsidR="00EA3D7C" w:rsidRPr="00EA3D7C" w:rsidRDefault="00EA3D7C" w:rsidP="00EA3D7C">
    <w:pPr>
      <w:pStyle w:val="Footer"/>
      <w:tabs>
        <w:tab w:val="right" w:pos="9638"/>
      </w:tabs>
      <w:rPr>
        <w:b/>
        <w:sz w:val="18"/>
      </w:rPr>
    </w:pPr>
    <w:r>
      <w:t>GE.19-22566</w:t>
    </w:r>
    <w:r>
      <w:tab/>
    </w:r>
    <w:r w:rsidRPr="00EA3D7C">
      <w:rPr>
        <w:b/>
        <w:sz w:val="18"/>
      </w:rPr>
      <w:fldChar w:fldCharType="begin"/>
    </w:r>
    <w:r w:rsidRPr="00EA3D7C">
      <w:rPr>
        <w:b/>
        <w:sz w:val="18"/>
      </w:rPr>
      <w:instrText xml:space="preserve"> PAGE  \* MERGEFORMAT </w:instrText>
    </w:r>
    <w:r w:rsidRPr="00EA3D7C">
      <w:rPr>
        <w:b/>
        <w:sz w:val="18"/>
      </w:rPr>
      <w:fldChar w:fldCharType="separate"/>
    </w:r>
    <w:r w:rsidRPr="00EA3D7C">
      <w:rPr>
        <w:b/>
        <w:noProof/>
        <w:sz w:val="18"/>
      </w:rPr>
      <w:t>3</w:t>
    </w:r>
    <w:r w:rsidRPr="00EA3D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940C" w14:textId="77777777" w:rsidR="007F20FA" w:rsidRPr="00EA3D7C" w:rsidRDefault="00EA3D7C" w:rsidP="00EA3D7C">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B26435F" wp14:editId="25F3606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22566</w:t>
    </w:r>
    <w:r w:rsidR="00366269">
      <w:rPr>
        <w:sz w:val="20"/>
      </w:rPr>
      <w:t xml:space="preserve">  </w:t>
    </w:r>
    <w:r>
      <w:rPr>
        <w:sz w:val="20"/>
      </w:rPr>
      <w:t>(</w:t>
    </w:r>
    <w:proofErr w:type="gramEnd"/>
    <w:r>
      <w:rPr>
        <w:sz w:val="20"/>
      </w:rPr>
      <w:t>F)</w:t>
    </w:r>
    <w:r w:rsidR="00366269">
      <w:rPr>
        <w:sz w:val="20"/>
      </w:rPr>
      <w:t xml:space="preserve">    </w:t>
    </w:r>
    <w:r>
      <w:rPr>
        <w:sz w:val="20"/>
      </w:rPr>
      <w:t>150120</w:t>
    </w:r>
    <w:r w:rsidR="00366269">
      <w:rPr>
        <w:sz w:val="20"/>
      </w:rPr>
      <w:t xml:space="preserve">    </w:t>
    </w:r>
    <w:r>
      <w:rPr>
        <w:sz w:val="20"/>
      </w:rPr>
      <w:t>150120</w:t>
    </w:r>
    <w:r>
      <w:rPr>
        <w:sz w:val="20"/>
      </w:rPr>
      <w:br/>
    </w:r>
    <w:r w:rsidRPr="00EA3D7C">
      <w:rPr>
        <w:rFonts w:ascii="C39T30Lfz" w:hAnsi="C39T30Lfz"/>
        <w:sz w:val="56"/>
      </w:rPr>
      <w:t></w:t>
    </w:r>
    <w:r w:rsidRPr="00EA3D7C">
      <w:rPr>
        <w:rFonts w:ascii="C39T30Lfz" w:hAnsi="C39T30Lfz"/>
        <w:sz w:val="56"/>
      </w:rPr>
      <w:t></w:t>
    </w:r>
    <w:r w:rsidRPr="00EA3D7C">
      <w:rPr>
        <w:rFonts w:ascii="C39T30Lfz" w:hAnsi="C39T30Lfz"/>
        <w:sz w:val="56"/>
      </w:rPr>
      <w:t></w:t>
    </w:r>
    <w:r w:rsidRPr="00EA3D7C">
      <w:rPr>
        <w:rFonts w:ascii="C39T30Lfz" w:hAnsi="C39T30Lfz"/>
        <w:sz w:val="56"/>
      </w:rPr>
      <w:t></w:t>
    </w:r>
    <w:r w:rsidRPr="00EA3D7C">
      <w:rPr>
        <w:rFonts w:ascii="C39T30Lfz" w:hAnsi="C39T30Lfz"/>
        <w:sz w:val="56"/>
      </w:rPr>
      <w:t></w:t>
    </w:r>
    <w:r w:rsidRPr="00EA3D7C">
      <w:rPr>
        <w:rFonts w:ascii="C39T30Lfz" w:hAnsi="C39T30Lfz"/>
        <w:sz w:val="56"/>
      </w:rPr>
      <w:t></w:t>
    </w:r>
    <w:r w:rsidRPr="00EA3D7C">
      <w:rPr>
        <w:rFonts w:ascii="C39T30Lfz" w:hAnsi="C39T30Lfz"/>
        <w:sz w:val="56"/>
      </w:rPr>
      <w:t></w:t>
    </w:r>
    <w:r w:rsidRPr="00EA3D7C">
      <w:rPr>
        <w:rFonts w:ascii="C39T30Lfz" w:hAnsi="C39T30Lfz"/>
        <w:sz w:val="56"/>
      </w:rPr>
      <w:t></w:t>
    </w:r>
    <w:r w:rsidRPr="00EA3D7C">
      <w:rPr>
        <w:rFonts w:ascii="C39T30Lfz" w:hAnsi="C39T30Lfz"/>
        <w:sz w:val="56"/>
      </w:rPr>
      <w:t></w:t>
    </w:r>
    <w:r>
      <w:rPr>
        <w:noProof/>
        <w:sz w:val="20"/>
      </w:rPr>
      <w:drawing>
        <wp:anchor distT="0" distB="0" distL="114300" distR="114300" simplePos="0" relativeHeight="251658240" behindDoc="0" locked="0" layoutInCell="1" allowOverlap="1" wp14:anchorId="2A0C5500" wp14:editId="3625A9D5">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5369" w14:textId="77777777" w:rsidR="001524A8" w:rsidRPr="00AC3823" w:rsidRDefault="001524A8" w:rsidP="00AC3823">
      <w:pPr>
        <w:pStyle w:val="Footer"/>
        <w:tabs>
          <w:tab w:val="right" w:pos="2155"/>
        </w:tabs>
        <w:spacing w:after="80" w:line="240" w:lineRule="atLeast"/>
        <w:ind w:left="680"/>
        <w:rPr>
          <w:u w:val="single"/>
        </w:rPr>
      </w:pPr>
      <w:r>
        <w:rPr>
          <w:u w:val="single"/>
        </w:rPr>
        <w:tab/>
      </w:r>
    </w:p>
  </w:footnote>
  <w:footnote w:type="continuationSeparator" w:id="0">
    <w:p w14:paraId="67210A9A" w14:textId="77777777" w:rsidR="001524A8" w:rsidRPr="00AC3823" w:rsidRDefault="001524A8" w:rsidP="00AC3823">
      <w:pPr>
        <w:pStyle w:val="Footer"/>
        <w:tabs>
          <w:tab w:val="right" w:pos="2155"/>
        </w:tabs>
        <w:spacing w:after="80" w:line="240" w:lineRule="atLeast"/>
        <w:ind w:left="680"/>
        <w:rPr>
          <w:u w:val="single"/>
        </w:rPr>
      </w:pPr>
      <w:r>
        <w:rPr>
          <w:u w:val="single"/>
        </w:rPr>
        <w:tab/>
      </w:r>
    </w:p>
  </w:footnote>
  <w:footnote w:type="continuationNotice" w:id="1">
    <w:p w14:paraId="21CF8BA4" w14:textId="77777777" w:rsidR="001524A8" w:rsidRPr="00AC3823" w:rsidRDefault="001524A8">
      <w:pPr>
        <w:spacing w:line="240" w:lineRule="auto"/>
        <w:rPr>
          <w:sz w:val="2"/>
          <w:szCs w:val="2"/>
        </w:rPr>
      </w:pPr>
    </w:p>
  </w:footnote>
  <w:footnote w:id="2">
    <w:p w14:paraId="5DF11922" w14:textId="77777777" w:rsidR="00741910" w:rsidRPr="004841DD" w:rsidRDefault="00741910" w:rsidP="00741910">
      <w:pPr>
        <w:pStyle w:val="FootnoteText"/>
        <w:rPr>
          <w:sz w:val="20"/>
        </w:rPr>
      </w:pPr>
      <w:r w:rsidRPr="004841DD">
        <w:rPr>
          <w:sz w:val="20"/>
        </w:rPr>
        <w:tab/>
      </w:r>
      <w:r w:rsidRPr="002F3CD2">
        <w:rPr>
          <w:rStyle w:val="FootnoteReference"/>
          <w:sz w:val="20"/>
          <w:vertAlign w:val="baseline"/>
        </w:rPr>
        <w:t>*</w:t>
      </w:r>
      <w:r w:rsidRPr="004841DD">
        <w:rPr>
          <w:sz w:val="20"/>
        </w:rPr>
        <w:tab/>
      </w:r>
      <w:r w:rsidRPr="004841DD">
        <w:t>Conformément au programme de travail du Comité des transports intérieurs pour la période 2018</w:t>
      </w:r>
      <w:r w:rsidR="002F3CD2">
        <w:noBreakHyphen/>
      </w:r>
      <w:r w:rsidRPr="004841DD">
        <w:t>2019</w:t>
      </w:r>
      <w:r w:rsidRPr="003679D2">
        <w:rPr>
          <w:lang w:eastAsia="en-GB"/>
        </w:rPr>
        <w:t xml:space="preserve"> (ECE/TRANS/WP.15/237, annexe V, (9.2)).</w:t>
      </w:r>
    </w:p>
  </w:footnote>
  <w:footnote w:id="3">
    <w:p w14:paraId="055E1581" w14:textId="77777777" w:rsidR="00741910" w:rsidRPr="004841DD" w:rsidRDefault="00741910" w:rsidP="00741910">
      <w:pPr>
        <w:pStyle w:val="FootnoteText"/>
        <w:rPr>
          <w:sz w:val="20"/>
        </w:rPr>
      </w:pPr>
      <w:r w:rsidRPr="002F3CD2">
        <w:rPr>
          <w:rStyle w:val="FootnoteReference"/>
          <w:sz w:val="20"/>
          <w:vertAlign w:val="baseline"/>
        </w:rPr>
        <w:tab/>
        <w:t>**</w:t>
      </w:r>
      <w:r w:rsidRPr="004841DD">
        <w:rPr>
          <w:sz w:val="20"/>
        </w:rPr>
        <w:tab/>
      </w:r>
      <w:r w:rsidRPr="004841DD">
        <w:t>Diffusée par l’Organisation intergouvernementale pour les transports internationaux ferroviaires (OTIF) sous la cote OTIF/RID/RC/2020/14.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49C4" w14:textId="367E93F9" w:rsidR="00EA3D7C" w:rsidRPr="00EA3D7C" w:rsidRDefault="0022327F">
    <w:pPr>
      <w:pStyle w:val="Header"/>
    </w:pPr>
    <w:r>
      <w:fldChar w:fldCharType="begin"/>
    </w:r>
    <w:r>
      <w:instrText xml:space="preserve"> TITLE  \* MERGEFORMAT </w:instrText>
    </w:r>
    <w:r>
      <w:fldChar w:fldCharType="separate"/>
    </w:r>
    <w:r w:rsidR="00F63463">
      <w:t>ECE/TRANS/WP.15/AC.1/2020/14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FF38" w14:textId="54F7BEFE" w:rsidR="00EA3D7C" w:rsidRPr="00EA3D7C" w:rsidRDefault="0022327F" w:rsidP="00EA3D7C">
    <w:pPr>
      <w:pStyle w:val="Header"/>
      <w:jc w:val="right"/>
    </w:pPr>
    <w:r>
      <w:fldChar w:fldCharType="begin"/>
    </w:r>
    <w:r>
      <w:instrText xml:space="preserve"> TITLE  \* MERGEFORMAT </w:instrText>
    </w:r>
    <w:r>
      <w:fldChar w:fldCharType="separate"/>
    </w:r>
    <w:r w:rsidR="00F63463">
      <w:t>ECE/TRANS/WP.15/AC.1/2020/14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A8"/>
    <w:rsid w:val="00017F94"/>
    <w:rsid w:val="00023842"/>
    <w:rsid w:val="000334F9"/>
    <w:rsid w:val="00045FEB"/>
    <w:rsid w:val="00060A96"/>
    <w:rsid w:val="0007796D"/>
    <w:rsid w:val="000B7790"/>
    <w:rsid w:val="00111F2F"/>
    <w:rsid w:val="0014365E"/>
    <w:rsid w:val="00143C66"/>
    <w:rsid w:val="001524A8"/>
    <w:rsid w:val="00176178"/>
    <w:rsid w:val="001E032C"/>
    <w:rsid w:val="001F525A"/>
    <w:rsid w:val="00223272"/>
    <w:rsid w:val="0022327F"/>
    <w:rsid w:val="0024779E"/>
    <w:rsid w:val="00257168"/>
    <w:rsid w:val="002744B8"/>
    <w:rsid w:val="002832AC"/>
    <w:rsid w:val="002928EA"/>
    <w:rsid w:val="002D7C93"/>
    <w:rsid w:val="002F3CD2"/>
    <w:rsid w:val="00305801"/>
    <w:rsid w:val="00366269"/>
    <w:rsid w:val="003916DE"/>
    <w:rsid w:val="003A1097"/>
    <w:rsid w:val="003D13BA"/>
    <w:rsid w:val="00421996"/>
    <w:rsid w:val="00441C3B"/>
    <w:rsid w:val="00446FE5"/>
    <w:rsid w:val="00452396"/>
    <w:rsid w:val="004837D8"/>
    <w:rsid w:val="004A0806"/>
    <w:rsid w:val="004E2EED"/>
    <w:rsid w:val="004E468C"/>
    <w:rsid w:val="005505B7"/>
    <w:rsid w:val="00573BE5"/>
    <w:rsid w:val="00586ED3"/>
    <w:rsid w:val="00596AA9"/>
    <w:rsid w:val="006823E2"/>
    <w:rsid w:val="0071601D"/>
    <w:rsid w:val="00741910"/>
    <w:rsid w:val="0076429A"/>
    <w:rsid w:val="00790899"/>
    <w:rsid w:val="007A62E6"/>
    <w:rsid w:val="007F20FA"/>
    <w:rsid w:val="0080684C"/>
    <w:rsid w:val="00871C75"/>
    <w:rsid w:val="008776DC"/>
    <w:rsid w:val="008D5879"/>
    <w:rsid w:val="009264E7"/>
    <w:rsid w:val="009446C0"/>
    <w:rsid w:val="0095683E"/>
    <w:rsid w:val="009705C8"/>
    <w:rsid w:val="009C1CF4"/>
    <w:rsid w:val="009F6B74"/>
    <w:rsid w:val="00A01F5E"/>
    <w:rsid w:val="00A3029F"/>
    <w:rsid w:val="00A30353"/>
    <w:rsid w:val="00A76F82"/>
    <w:rsid w:val="00A875B0"/>
    <w:rsid w:val="00AC3823"/>
    <w:rsid w:val="00AE323C"/>
    <w:rsid w:val="00AF0CB5"/>
    <w:rsid w:val="00B00181"/>
    <w:rsid w:val="00B00B0D"/>
    <w:rsid w:val="00B2206E"/>
    <w:rsid w:val="00B45F2E"/>
    <w:rsid w:val="00B765F7"/>
    <w:rsid w:val="00BA0CA9"/>
    <w:rsid w:val="00BC5479"/>
    <w:rsid w:val="00BF67B7"/>
    <w:rsid w:val="00C02897"/>
    <w:rsid w:val="00C46341"/>
    <w:rsid w:val="00C97039"/>
    <w:rsid w:val="00D3439C"/>
    <w:rsid w:val="00DB1831"/>
    <w:rsid w:val="00DD3BFD"/>
    <w:rsid w:val="00DF6678"/>
    <w:rsid w:val="00E0299A"/>
    <w:rsid w:val="00E85C74"/>
    <w:rsid w:val="00EA3D7C"/>
    <w:rsid w:val="00EA6547"/>
    <w:rsid w:val="00EF2E22"/>
    <w:rsid w:val="00F35BAF"/>
    <w:rsid w:val="00F63463"/>
    <w:rsid w:val="00F660DF"/>
    <w:rsid w:val="00F9130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E55B6"/>
  <w15:docId w15:val="{0E58533A-7D43-4DA5-8CAF-2B600166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642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76429A"/>
    <w:rPr>
      <w:rFonts w:ascii="Times New Roman" w:eastAsiaTheme="minorHAnsi" w:hAnsi="Times New Roman" w:cs="Times New Roman"/>
      <w:sz w:val="20"/>
      <w:szCs w:val="20"/>
      <w:lang w:eastAsia="en-US"/>
    </w:rPr>
  </w:style>
  <w:style w:type="character" w:customStyle="1" w:styleId="HChGChar">
    <w:name w:val="_ H _Ch_G Char"/>
    <w:link w:val="HChG"/>
    <w:locked/>
    <w:rsid w:val="00741910"/>
    <w:rPr>
      <w:rFonts w:ascii="Times New Roman" w:eastAsiaTheme="minorHAnsi" w:hAnsi="Times New Roman" w:cs="Times New Roman"/>
      <w:b/>
      <w:sz w:val="28"/>
      <w:szCs w:val="20"/>
      <w:lang w:eastAsia="en-US"/>
    </w:rPr>
  </w:style>
  <w:style w:type="character" w:styleId="PlaceholderText">
    <w:name w:val="Placeholder Text"/>
    <w:basedOn w:val="DefaultParagraphFont"/>
    <w:uiPriority w:val="99"/>
    <w:semiHidden/>
    <w:rsid w:val="00741910"/>
    <w:rPr>
      <w:color w:val="808080"/>
    </w:rPr>
  </w:style>
  <w:style w:type="character" w:styleId="UnresolvedMention">
    <w:name w:val="Unresolved Mention"/>
    <w:basedOn w:val="DefaultParagraphFont"/>
    <w:uiPriority w:val="99"/>
    <w:semiHidden/>
    <w:unhideWhenUsed/>
    <w:rsid w:val="00292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ransport/themes/dangerous_good/risk_management_framework_en" TargetMode="External"/><Relationship Id="rId13" Type="http://schemas.openxmlformats.org/officeDocument/2006/relationships/hyperlink" Target="https://www.era.europa.eu/sites/default/files/activities/docs/guide_for_risk_estimation.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era.europa.eu/sites/default/files/activities/docs/framework_guide_overview.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transport/themes/dangerous_good/risk_management_framework_en" TargetMode="External"/><Relationship Id="rId5" Type="http://schemas.openxmlformats.org/officeDocument/2006/relationships/footnotes" Target="footnotes.xml"/><Relationship Id="rId15" Type="http://schemas.openxmlformats.org/officeDocument/2006/relationships/hyperlink" Target="https://www.era.europa.eu/sites/default/files/activities/docs/framework_glossary_en.pdf" TargetMode="External"/><Relationship Id="rId10" Type="http://schemas.openxmlformats.org/officeDocument/2006/relationships/hyperlink" Target="https://ec.europa.eu/transport/themes/dangerous_good/risk_management_framework_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ra.europa.eu/activities/transport-dangerous-goods/inland-tdg_en" TargetMode="External"/><Relationship Id="rId14" Type="http://schemas.openxmlformats.org/officeDocument/2006/relationships/hyperlink" Target="https://www.era.europa.eu/sites/default/files/activities/docs/guide_for_decison-making.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6714</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ECE/TRANS/WP.15/AC.1/2020/14</vt:lpstr>
      <vt:lpstr>ECE/TRANS/WP.15/AC.1/2020/14</vt:lpstr>
    </vt:vector>
  </TitlesOfParts>
  <Company>DCM</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ECE/TRANS/WP.15/AC.1/2020/14</dc:title>
  <dc:subject/>
  <dc:creator>Nathalie VITTOZ</dc:creator>
  <cp:keywords/>
  <cp:lastModifiedBy>Christine Barrio-Champeau</cp:lastModifiedBy>
  <cp:revision>2</cp:revision>
  <cp:lastPrinted>2020-01-15T11:59:00Z</cp:lastPrinted>
  <dcterms:created xsi:type="dcterms:W3CDTF">2020-01-15T14:07:00Z</dcterms:created>
  <dcterms:modified xsi:type="dcterms:W3CDTF">2020-01-15T14:07:00Z</dcterms:modified>
</cp:coreProperties>
</file>