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8303C" w:rsidP="00F8303C">
            <w:pPr>
              <w:jc w:val="right"/>
            </w:pPr>
            <w:r w:rsidRPr="00F8303C">
              <w:rPr>
                <w:sz w:val="40"/>
              </w:rPr>
              <w:t>ECE</w:t>
            </w:r>
            <w:r>
              <w:t>/TRANS/WP.15/AC.1/2020/13</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8303C" w:rsidP="00F8303C">
            <w:pPr>
              <w:spacing w:before="240" w:line="240" w:lineRule="exact"/>
            </w:pPr>
            <w:r>
              <w:t>Distr.: General</w:t>
            </w:r>
          </w:p>
          <w:p w:rsidR="00F8303C" w:rsidRDefault="00F8303C" w:rsidP="00F8303C">
            <w:pPr>
              <w:spacing w:line="240" w:lineRule="exact"/>
            </w:pPr>
            <w:r>
              <w:t>30 December 2019</w:t>
            </w:r>
          </w:p>
          <w:p w:rsidR="00F8303C" w:rsidRDefault="00F8303C" w:rsidP="00F8303C">
            <w:pPr>
              <w:spacing w:line="240" w:lineRule="exact"/>
            </w:pPr>
          </w:p>
          <w:p w:rsidR="00F8303C" w:rsidRDefault="00F8303C" w:rsidP="00F8303C">
            <w:pPr>
              <w:spacing w:line="240" w:lineRule="exact"/>
            </w:pPr>
            <w:r>
              <w:t>Original: English</w:t>
            </w:r>
          </w:p>
        </w:tc>
      </w:tr>
    </w:tbl>
    <w:p w:rsidR="003A499B" w:rsidRPr="00A66889" w:rsidRDefault="003A499B" w:rsidP="003A499B">
      <w:pPr>
        <w:spacing w:before="120"/>
        <w:ind w:hanging="284"/>
        <w:rPr>
          <w:b/>
          <w:sz w:val="28"/>
          <w:szCs w:val="28"/>
        </w:rPr>
      </w:pPr>
      <w:r w:rsidRPr="00A66889">
        <w:rPr>
          <w:b/>
          <w:sz w:val="28"/>
          <w:szCs w:val="28"/>
        </w:rPr>
        <w:t>Economic Commission for Europe</w:t>
      </w:r>
    </w:p>
    <w:p w:rsidR="003A499B" w:rsidRPr="00A66889" w:rsidRDefault="003A499B" w:rsidP="003A499B">
      <w:pPr>
        <w:spacing w:before="120"/>
        <w:ind w:hanging="284"/>
        <w:rPr>
          <w:sz w:val="28"/>
          <w:szCs w:val="28"/>
        </w:rPr>
      </w:pPr>
      <w:r w:rsidRPr="00A66889">
        <w:rPr>
          <w:sz w:val="28"/>
          <w:szCs w:val="28"/>
        </w:rPr>
        <w:t>Inland Transport Committee</w:t>
      </w:r>
    </w:p>
    <w:p w:rsidR="003A499B" w:rsidRPr="00A66889" w:rsidRDefault="003A499B" w:rsidP="003A499B">
      <w:pPr>
        <w:spacing w:before="120" w:after="120"/>
        <w:ind w:hanging="284"/>
        <w:rPr>
          <w:b/>
          <w:sz w:val="24"/>
          <w:szCs w:val="24"/>
        </w:rPr>
      </w:pPr>
      <w:r w:rsidRPr="00A66889">
        <w:rPr>
          <w:b/>
          <w:sz w:val="24"/>
          <w:szCs w:val="24"/>
        </w:rPr>
        <w:t>Working Party on the Transport of Dangerous Goods</w:t>
      </w:r>
    </w:p>
    <w:p w:rsidR="003A499B" w:rsidRPr="00A66889" w:rsidRDefault="003A499B" w:rsidP="003A499B">
      <w:pPr>
        <w:ind w:hanging="284"/>
        <w:rPr>
          <w:b/>
        </w:rPr>
      </w:pPr>
      <w:r w:rsidRPr="00A66889">
        <w:rPr>
          <w:b/>
        </w:rPr>
        <w:t>Joint Meeting of the RID Committee of Experts and the</w:t>
      </w:r>
    </w:p>
    <w:p w:rsidR="003A499B" w:rsidRPr="00A66889" w:rsidRDefault="003A499B" w:rsidP="003A499B">
      <w:pPr>
        <w:ind w:hanging="284"/>
        <w:rPr>
          <w:b/>
        </w:rPr>
      </w:pPr>
      <w:r w:rsidRPr="00A66889">
        <w:rPr>
          <w:b/>
        </w:rPr>
        <w:t>Working Party on the Transport of Dangerous Goods</w:t>
      </w:r>
    </w:p>
    <w:p w:rsidR="003A499B" w:rsidRPr="00A66889" w:rsidRDefault="003A499B" w:rsidP="003A499B">
      <w:pPr>
        <w:ind w:hanging="284"/>
      </w:pPr>
      <w:r w:rsidRPr="00A66889">
        <w:t xml:space="preserve">Bern, </w:t>
      </w:r>
      <w:r>
        <w:t>16</w:t>
      </w:r>
      <w:r w:rsidRPr="00A66889">
        <w:t>-</w:t>
      </w:r>
      <w:r>
        <w:t>20</w:t>
      </w:r>
      <w:r w:rsidRPr="00A66889">
        <w:t xml:space="preserve"> March 20</w:t>
      </w:r>
      <w:r>
        <w:t>20</w:t>
      </w:r>
    </w:p>
    <w:p w:rsidR="003A499B" w:rsidRPr="00A66889" w:rsidRDefault="003A499B" w:rsidP="003A499B">
      <w:pPr>
        <w:ind w:hanging="284"/>
      </w:pPr>
      <w:r w:rsidRPr="00A66889">
        <w:t>Item 5 (b) of the provisional agenda</w:t>
      </w:r>
    </w:p>
    <w:p w:rsidR="003A499B" w:rsidRPr="00A66889" w:rsidRDefault="003A499B" w:rsidP="003A499B">
      <w:pPr>
        <w:spacing w:line="235" w:lineRule="exact"/>
        <w:ind w:hanging="284"/>
        <w:rPr>
          <w:b/>
          <w:sz w:val="21"/>
        </w:rPr>
      </w:pPr>
      <w:r w:rsidRPr="00A66889">
        <w:rPr>
          <w:b/>
          <w:sz w:val="21"/>
        </w:rPr>
        <w:t xml:space="preserve">Proposals for </w:t>
      </w:r>
      <w:r w:rsidRPr="00A66889">
        <w:rPr>
          <w:b/>
        </w:rPr>
        <w:t xml:space="preserve">amendments </w:t>
      </w:r>
      <w:r w:rsidRPr="00A66889">
        <w:rPr>
          <w:b/>
          <w:sz w:val="21"/>
        </w:rPr>
        <w:t>to RID/ADR/ADN:</w:t>
      </w:r>
    </w:p>
    <w:p w:rsidR="003A499B" w:rsidRPr="00A66889" w:rsidRDefault="003A499B" w:rsidP="003A499B">
      <w:pPr>
        <w:ind w:hanging="284"/>
        <w:rPr>
          <w:b/>
          <w:sz w:val="21"/>
        </w:rPr>
      </w:pPr>
      <w:r w:rsidRPr="00A66889">
        <w:rPr>
          <w:b/>
        </w:rPr>
        <w:t xml:space="preserve">new </w:t>
      </w:r>
      <w:r w:rsidRPr="00A66889">
        <w:rPr>
          <w:b/>
          <w:sz w:val="21"/>
        </w:rPr>
        <w:t>proposal</w:t>
      </w:r>
      <w:r>
        <w:rPr>
          <w:b/>
          <w:sz w:val="21"/>
        </w:rPr>
        <w:t>s</w:t>
      </w:r>
    </w:p>
    <w:p w:rsidR="003A499B" w:rsidRPr="00075F82" w:rsidRDefault="003A499B" w:rsidP="003A499B">
      <w:pPr>
        <w:pStyle w:val="HChG"/>
        <w:jc w:val="both"/>
        <w:rPr>
          <w:spacing w:val="-6"/>
        </w:rPr>
      </w:pPr>
      <w:r w:rsidRPr="00A66889">
        <w:tab/>
      </w:r>
      <w:r w:rsidRPr="00A66889">
        <w:tab/>
      </w:r>
      <w:r w:rsidRPr="00075F82">
        <w:rPr>
          <w:spacing w:val="-6"/>
          <w:w w:val="105"/>
        </w:rPr>
        <w:t>Proposal of amendment to Chapter 1.2 of RID/ADR</w:t>
      </w:r>
    </w:p>
    <w:p w:rsidR="003A499B" w:rsidRDefault="003A499B" w:rsidP="003A499B">
      <w:pPr>
        <w:pStyle w:val="H1G"/>
        <w:spacing w:before="240" w:after="120"/>
        <w:rPr>
          <w:w w:val="105"/>
        </w:rPr>
      </w:pPr>
      <w:r w:rsidRPr="00A66889">
        <w:rPr>
          <w:w w:val="105"/>
        </w:rPr>
        <w:tab/>
      </w:r>
      <w:r w:rsidRPr="00A66889">
        <w:rPr>
          <w:w w:val="105"/>
        </w:rPr>
        <w:tab/>
      </w:r>
      <w:r w:rsidRPr="003A499B">
        <w:rPr>
          <w:w w:val="105"/>
        </w:rPr>
        <w:t>Transmitted by the Government of Portugal</w:t>
      </w:r>
      <w:r w:rsidR="00820D42" w:rsidRPr="003339B7">
        <w:rPr>
          <w:rStyle w:val="FootnoteReference"/>
          <w:bCs/>
          <w:sz w:val="20"/>
        </w:rPr>
        <w:footnoteReference w:customMarkFollows="1" w:id="2"/>
        <w:t>*</w:t>
      </w:r>
      <w:r w:rsidR="00820D42" w:rsidRPr="003339B7">
        <w:rPr>
          <w:bCs/>
          <w:sz w:val="20"/>
          <w:vertAlign w:val="superscript"/>
        </w:rPr>
        <w:t xml:space="preserve">, </w:t>
      </w:r>
      <w:r w:rsidR="00820D42" w:rsidRPr="003339B7">
        <w:rPr>
          <w:rStyle w:val="FootnoteReference"/>
          <w:bCs/>
          <w:sz w:val="20"/>
        </w:rPr>
        <w:footnoteReference w:customMarkFollows="1" w:id="3"/>
        <w:t>**</w:t>
      </w:r>
    </w:p>
    <w:tbl>
      <w:tblPr>
        <w:tblStyle w:val="TableGrid"/>
        <w:tblW w:w="0" w:type="auto"/>
        <w:tblInd w:w="392" w:type="dxa"/>
        <w:tblLook w:val="04A0" w:firstRow="1" w:lastRow="0" w:firstColumn="1" w:lastColumn="0" w:noHBand="0" w:noVBand="1"/>
      </w:tblPr>
      <w:tblGrid>
        <w:gridCol w:w="8328"/>
      </w:tblGrid>
      <w:tr w:rsidR="003A499B" w:rsidTr="00C17042">
        <w:tc>
          <w:tcPr>
            <w:tcW w:w="8328" w:type="dxa"/>
          </w:tcPr>
          <w:p w:rsidR="003A499B" w:rsidRPr="00DF4582" w:rsidRDefault="003A499B" w:rsidP="00C17042">
            <w:pPr>
              <w:pStyle w:val="HChG"/>
              <w:spacing w:before="240" w:after="120"/>
              <w:rPr>
                <w:b w:val="0"/>
                <w:i/>
              </w:rPr>
            </w:pPr>
            <w:r>
              <w:rPr>
                <w:b w:val="0"/>
                <w:i/>
                <w:w w:val="105"/>
                <w:sz w:val="20"/>
              </w:rPr>
              <w:tab/>
            </w:r>
            <w:r w:rsidRPr="00DF4582">
              <w:rPr>
                <w:b w:val="0"/>
                <w:i/>
                <w:w w:val="105"/>
                <w:sz w:val="20"/>
              </w:rPr>
              <w:t>Summary</w:t>
            </w:r>
          </w:p>
          <w:p w:rsidR="003A499B" w:rsidRDefault="003A499B" w:rsidP="00C17042">
            <w:pPr>
              <w:pStyle w:val="HTMLPreformatted"/>
              <w:shd w:val="clear" w:color="auto" w:fill="FFFFFF"/>
              <w:spacing w:after="240" w:line="243" w:lineRule="atLeast"/>
              <w:ind w:left="3011" w:right="1123" w:hanging="1877"/>
              <w:jc w:val="both"/>
              <w:rPr>
                <w:rFonts w:ascii="Times New Roman" w:hAnsi="Times New Roman" w:cs="Times New Roman"/>
                <w:lang w:val="en-US"/>
              </w:rPr>
            </w:pPr>
            <w:r>
              <w:rPr>
                <w:rFonts w:ascii="inherit" w:hAnsi="inherit"/>
                <w:b/>
                <w:color w:val="000000"/>
                <w:lang w:val="en-GB"/>
              </w:rPr>
              <w:t>Executive summary:</w:t>
            </w:r>
            <w:r>
              <w:rPr>
                <w:rFonts w:ascii="inherit" w:hAnsi="inherit"/>
                <w:b/>
                <w:color w:val="000000"/>
                <w:lang w:val="en-GB"/>
              </w:rPr>
              <w:tab/>
            </w:r>
            <w:r w:rsidRPr="00047BAF">
              <w:rPr>
                <w:rFonts w:ascii="Times New Roman" w:hAnsi="Times New Roman" w:cs="Times New Roman"/>
                <w:lang w:val="en-US"/>
              </w:rPr>
              <w:t>It is proposed that section 1.2.1 be purged from the decoding of all abbreviations and acronyms, which will be contained in a new section 1.2.3</w:t>
            </w:r>
            <w:r>
              <w:rPr>
                <w:rFonts w:ascii="Times New Roman" w:hAnsi="Times New Roman" w:cs="Times New Roman"/>
                <w:lang w:val="en-US"/>
              </w:rPr>
              <w:t>.</w:t>
            </w:r>
          </w:p>
          <w:p w:rsidR="003A499B" w:rsidRDefault="003A499B" w:rsidP="00C17042">
            <w:pPr>
              <w:pStyle w:val="HTMLPreformatted"/>
              <w:shd w:val="clear" w:color="auto" w:fill="FFFFFF"/>
              <w:tabs>
                <w:tab w:val="clear" w:pos="2748"/>
                <w:tab w:val="left" w:pos="3012"/>
              </w:tabs>
              <w:spacing w:after="240" w:line="243" w:lineRule="atLeast"/>
              <w:ind w:left="1134" w:right="1124"/>
              <w:jc w:val="both"/>
              <w:rPr>
                <w:w w:val="105"/>
                <w:lang w:val="en-GB"/>
              </w:rPr>
            </w:pPr>
            <w:r>
              <w:rPr>
                <w:rFonts w:ascii="inherit" w:hAnsi="inherit"/>
                <w:b/>
                <w:color w:val="000000"/>
                <w:lang w:val="en-GB"/>
              </w:rPr>
              <w:t>Action to be taken:</w:t>
            </w:r>
            <w:r>
              <w:rPr>
                <w:rFonts w:ascii="inherit" w:hAnsi="inherit"/>
                <w:b/>
                <w:color w:val="000000"/>
                <w:lang w:val="en-GB"/>
              </w:rPr>
              <w:tab/>
            </w:r>
            <w:r w:rsidRPr="00047BAF">
              <w:rPr>
                <w:rFonts w:ascii="Times New Roman" w:hAnsi="Times New Roman" w:cs="Times New Roman"/>
                <w:snapToGrid w:val="0"/>
                <w:lang w:val="en-US"/>
              </w:rPr>
              <w:t xml:space="preserve">To create a </w:t>
            </w:r>
            <w:r w:rsidRPr="00047BAF">
              <w:rPr>
                <w:rFonts w:ascii="Times New Roman" w:hAnsi="Times New Roman" w:cs="Times New Roman"/>
                <w:lang w:val="en-US"/>
              </w:rPr>
              <w:t xml:space="preserve">new section 1.2.3 </w:t>
            </w:r>
            <w:r w:rsidRPr="00047BAF">
              <w:rPr>
                <w:rFonts w:ascii="Times New Roman" w:hAnsi="Times New Roman" w:cs="Times New Roman"/>
                <w:snapToGrid w:val="0"/>
                <w:lang w:val="en-US"/>
              </w:rPr>
              <w:t>in Chapter 1.2</w:t>
            </w:r>
            <w:r>
              <w:rPr>
                <w:rFonts w:ascii="Times New Roman" w:hAnsi="Times New Roman" w:cs="Times New Roman"/>
                <w:snapToGrid w:val="0"/>
                <w:lang w:val="en-US"/>
              </w:rPr>
              <w:t>.</w:t>
            </w:r>
          </w:p>
        </w:tc>
      </w:tr>
    </w:tbl>
    <w:p w:rsidR="003A499B" w:rsidRPr="000B4143" w:rsidRDefault="003A499B" w:rsidP="003A499B">
      <w:pPr>
        <w:pStyle w:val="HChG"/>
        <w:spacing w:before="240" w:after="120"/>
        <w:rPr>
          <w:rFonts w:ascii="inherit" w:hAnsi="inherit"/>
          <w:color w:val="000000"/>
        </w:rPr>
      </w:pPr>
      <w:r w:rsidRPr="00A66889">
        <w:rPr>
          <w:w w:val="105"/>
        </w:rPr>
        <w:tab/>
      </w:r>
      <w:r w:rsidRPr="00A66889">
        <w:rPr>
          <w:w w:val="105"/>
        </w:rPr>
        <w:tab/>
      </w:r>
      <w:r>
        <w:rPr>
          <w:w w:val="105"/>
        </w:rPr>
        <w:t>Introduction</w:t>
      </w:r>
    </w:p>
    <w:p w:rsidR="003A499B" w:rsidRDefault="003A499B" w:rsidP="003A499B">
      <w:pPr>
        <w:pStyle w:val="SingleTxtG"/>
      </w:pPr>
      <w:r>
        <w:t>1.</w:t>
      </w:r>
      <w:r>
        <w:tab/>
      </w:r>
      <w:r w:rsidRPr="00DA34DB">
        <w:t>Section 1.2.1 of RID and ADR contains the definition of all technical terms used throughout the regulations, and does so in a clear and concise manner, which is of great advantage to users.</w:t>
      </w:r>
    </w:p>
    <w:p w:rsidR="003A499B" w:rsidRPr="000B4143" w:rsidRDefault="003A499B" w:rsidP="003A499B">
      <w:pPr>
        <w:pStyle w:val="SingleTxtG"/>
      </w:pPr>
      <w:r>
        <w:t>2.</w:t>
      </w:r>
      <w:r>
        <w:tab/>
      </w:r>
      <w:r w:rsidRPr="00DA34DB">
        <w:t>On the other hand, section 1.2.1 also includes the meaning of numerous acronyms, which is also very useful but does not provide real definitions and unnecessarily complicates consultation of the true definitions.</w:t>
      </w:r>
    </w:p>
    <w:p w:rsidR="003A499B" w:rsidRPr="00A66889" w:rsidRDefault="003A499B" w:rsidP="003A499B">
      <w:pPr>
        <w:pStyle w:val="HChG"/>
        <w:spacing w:before="0" w:after="120"/>
      </w:pPr>
      <w:r>
        <w:rPr>
          <w:w w:val="105"/>
        </w:rPr>
        <w:tab/>
      </w:r>
      <w:r>
        <w:rPr>
          <w:w w:val="105"/>
        </w:rPr>
        <w:tab/>
      </w:r>
      <w:r w:rsidRPr="00A66889">
        <w:rPr>
          <w:w w:val="105"/>
        </w:rPr>
        <w:t>Proposal</w:t>
      </w:r>
    </w:p>
    <w:p w:rsidR="003A499B" w:rsidRPr="00DA34DB" w:rsidRDefault="003A499B" w:rsidP="003A499B">
      <w:pPr>
        <w:pStyle w:val="SingleTxtG"/>
      </w:pPr>
      <w:r>
        <w:t>3.</w:t>
      </w:r>
      <w:r>
        <w:tab/>
      </w:r>
      <w:r w:rsidRPr="00DA34DB">
        <w:t>It is proposed that section 1.2.1 be purged from the decoding of all abbreviations and acronyms, which will be contained in a new section 1.2.3 to be created.</w:t>
      </w:r>
      <w:r w:rsidRPr="00B5336B">
        <w:rPr>
          <w:iCs/>
        </w:rPr>
        <w:t xml:space="preserve"> </w:t>
      </w:r>
      <w:r w:rsidRPr="00E533F9">
        <w:t>The electronic addresses of the international organizations are also added.</w:t>
      </w:r>
    </w:p>
    <w:p w:rsidR="003A499B" w:rsidRPr="00DA34DB" w:rsidRDefault="003A499B" w:rsidP="003A499B">
      <w:pPr>
        <w:pStyle w:val="SingleTxtG"/>
      </w:pPr>
      <w:r>
        <w:lastRenderedPageBreak/>
        <w:t>4.</w:t>
      </w:r>
      <w:r>
        <w:tab/>
      </w:r>
      <w:r w:rsidRPr="00DA34DB">
        <w:t>The same solution has been adopted in the equivalent texts of the IMDG Code, with widespread acceptance, bearing in mind that the IMDG is the most widely used modal regulations for carriage of dangerous goods.</w:t>
      </w:r>
    </w:p>
    <w:p w:rsidR="003A499B" w:rsidRDefault="003A499B" w:rsidP="003A499B">
      <w:pPr>
        <w:pStyle w:val="SingleTxtG"/>
        <w:rPr>
          <w:iCs/>
        </w:rPr>
      </w:pPr>
      <w:r w:rsidRPr="003A499B">
        <w:t>5.</w:t>
      </w:r>
      <w:r w:rsidRPr="003A499B">
        <w:tab/>
        <w:t xml:space="preserve">The list of amendments to Chapter 1.2 is shown in the annex. The full text of Chapter 1.2 where new text is </w:t>
      </w:r>
      <w:r w:rsidRPr="003A499B">
        <w:rPr>
          <w:u w:val="single"/>
        </w:rPr>
        <w:t>underlined,</w:t>
      </w:r>
      <w:r w:rsidRPr="003A499B">
        <w:t xml:space="preserve"> and deleted text is </w:t>
      </w:r>
      <w:r w:rsidRPr="003A499B">
        <w:rPr>
          <w:strike/>
        </w:rPr>
        <w:t>crossed out</w:t>
      </w:r>
      <w:r w:rsidRPr="003A499B">
        <w:rPr>
          <w:iCs/>
        </w:rPr>
        <w:t xml:space="preserve"> is contained in INF.</w:t>
      </w:r>
      <w:r>
        <w:rPr>
          <w:iCs/>
        </w:rPr>
        <w:t>5</w:t>
      </w:r>
      <w:r w:rsidR="00820D42">
        <w:rPr>
          <w:iCs/>
        </w:rPr>
        <w:t>.</w:t>
      </w:r>
      <w:bookmarkStart w:id="0" w:name="_GoBack"/>
      <w:bookmarkEnd w:id="0"/>
    </w:p>
    <w:p w:rsidR="003A499B" w:rsidRDefault="003A499B" w:rsidP="003A499B">
      <w:pPr>
        <w:pStyle w:val="SingleTxtG"/>
      </w:pPr>
      <w:r>
        <w:t>6.</w:t>
      </w:r>
      <w:r>
        <w:tab/>
      </w:r>
      <w:r w:rsidRPr="00DA34DB">
        <w:t>A similar amendment may be seen in the ADN Agreement.</w:t>
      </w:r>
    </w:p>
    <w:p w:rsidR="003A499B" w:rsidRPr="00AF4BD9" w:rsidRDefault="003A499B" w:rsidP="003A499B">
      <w:pPr>
        <w:pStyle w:val="SingleTxtG"/>
        <w:rPr>
          <w:color w:val="000000"/>
        </w:rPr>
      </w:pPr>
      <w:r>
        <w:rPr>
          <w:lang w:val="en" w:eastAsia="pt-PT"/>
        </w:rPr>
        <w:t>7.</w:t>
      </w:r>
      <w:r>
        <w:rPr>
          <w:lang w:val="en" w:eastAsia="pt-PT"/>
        </w:rPr>
        <w:tab/>
      </w:r>
      <w:r w:rsidRPr="00AF4BD9">
        <w:rPr>
          <w:lang w:val="en" w:eastAsia="pt-PT"/>
        </w:rPr>
        <w:t xml:space="preserve">The present proposal took into consideration the comments and suggestions made at the RID/ADR/ADN Joint Meeting </w:t>
      </w:r>
      <w:r>
        <w:rPr>
          <w:lang w:val="en" w:eastAsia="pt-PT"/>
        </w:rPr>
        <w:t>during its</w:t>
      </w:r>
      <w:r w:rsidRPr="00AF4BD9">
        <w:rPr>
          <w:lang w:val="en" w:eastAsia="pt-PT"/>
        </w:rPr>
        <w:t xml:space="preserve"> Autumn 2019 </w:t>
      </w:r>
      <w:r>
        <w:rPr>
          <w:lang w:val="en" w:eastAsia="pt-PT"/>
        </w:rPr>
        <w:t xml:space="preserve">session concerning </w:t>
      </w:r>
      <w:r w:rsidRPr="00AF4BD9">
        <w:rPr>
          <w:lang w:val="en" w:eastAsia="pt-PT"/>
        </w:rPr>
        <w:t xml:space="preserve">the previous Portuguese proposal on this subject (ECE/TRANS/ </w:t>
      </w:r>
      <w:r>
        <w:rPr>
          <w:lang w:val="en" w:eastAsia="pt-PT"/>
        </w:rPr>
        <w:t>/</w:t>
      </w:r>
      <w:r w:rsidRPr="00AF4BD9">
        <w:rPr>
          <w:lang w:val="en" w:eastAsia="pt-PT"/>
        </w:rPr>
        <w:t>WP.15/AC.1/2019/27).</w:t>
      </w:r>
    </w:p>
    <w:p w:rsidR="003A499B" w:rsidRPr="00A66889" w:rsidRDefault="003A499B" w:rsidP="003A499B">
      <w:pPr>
        <w:pStyle w:val="HChG"/>
        <w:spacing w:before="0" w:after="120"/>
      </w:pPr>
      <w:r w:rsidRPr="00DA34DB">
        <w:rPr>
          <w:w w:val="110"/>
        </w:rPr>
        <w:tab/>
      </w:r>
      <w:r w:rsidRPr="00DA34DB">
        <w:rPr>
          <w:w w:val="110"/>
        </w:rPr>
        <w:tab/>
      </w:r>
      <w:r w:rsidRPr="00A66889">
        <w:rPr>
          <w:w w:val="110"/>
        </w:rPr>
        <w:t>Justification</w:t>
      </w:r>
    </w:p>
    <w:p w:rsidR="003A499B" w:rsidRDefault="003A499B" w:rsidP="003A499B">
      <w:pPr>
        <w:pStyle w:val="SingleTxtG"/>
        <w:rPr>
          <w:b/>
          <w:w w:val="105"/>
        </w:rPr>
      </w:pPr>
      <w:r>
        <w:rPr>
          <w:w w:val="105"/>
        </w:rPr>
        <w:t>8.</w:t>
      </w:r>
      <w:r>
        <w:rPr>
          <w:w w:val="105"/>
        </w:rPr>
        <w:tab/>
      </w:r>
      <w:r w:rsidRPr="00DA34DB">
        <w:rPr>
          <w:w w:val="105"/>
        </w:rPr>
        <w:t xml:space="preserve">These amendments are intended to introduce greater clarity and user-friendliness to the current section 1.2.1 of the Regulations, so that this text contains only definitions of the concepts and technical terms used throughout the ADR and RID, making it a true glossary, as it is understood to be </w:t>
      </w:r>
      <w:r>
        <w:rPr>
          <w:w w:val="105"/>
        </w:rPr>
        <w:t>it</w:t>
      </w:r>
      <w:r w:rsidRPr="00DA34DB">
        <w:rPr>
          <w:w w:val="105"/>
        </w:rPr>
        <w:t>s vocation.</w:t>
      </w:r>
    </w:p>
    <w:p w:rsidR="003A499B" w:rsidRPr="00A66889" w:rsidRDefault="003A499B" w:rsidP="003A499B">
      <w:pPr>
        <w:pStyle w:val="HChG"/>
        <w:ind w:left="1361" w:hanging="227"/>
      </w:pPr>
      <w:r w:rsidRPr="00A66889">
        <w:rPr>
          <w:w w:val="110"/>
        </w:rPr>
        <w:t>Difficulties</w:t>
      </w:r>
    </w:p>
    <w:p w:rsidR="003A499B" w:rsidRDefault="003A499B" w:rsidP="003A499B">
      <w:pPr>
        <w:pStyle w:val="SingleTxtG"/>
        <w:rPr>
          <w:w w:val="105"/>
        </w:rPr>
      </w:pPr>
      <w:r>
        <w:rPr>
          <w:w w:val="105"/>
        </w:rPr>
        <w:t>9.</w:t>
      </w:r>
      <w:r>
        <w:rPr>
          <w:w w:val="105"/>
        </w:rPr>
        <w:tab/>
      </w:r>
      <w:r w:rsidRPr="00597AD6">
        <w:rPr>
          <w:w w:val="105"/>
        </w:rPr>
        <w:t>No difficulties with the application of the amendment are expected.</w:t>
      </w:r>
    </w:p>
    <w:p w:rsidR="003A499B" w:rsidRDefault="003A499B" w:rsidP="003A499B">
      <w:pPr>
        <w:suppressAutoHyphens w:val="0"/>
        <w:spacing w:line="240" w:lineRule="auto"/>
        <w:rPr>
          <w:w w:val="105"/>
        </w:rPr>
      </w:pPr>
      <w:r>
        <w:rPr>
          <w:w w:val="105"/>
        </w:rPr>
        <w:br w:type="page"/>
      </w:r>
    </w:p>
    <w:p w:rsidR="003A499B" w:rsidRDefault="003A499B" w:rsidP="003A499B">
      <w:pPr>
        <w:pStyle w:val="HMG"/>
        <w:rPr>
          <w:w w:val="105"/>
        </w:rPr>
      </w:pPr>
      <w:r>
        <w:rPr>
          <w:w w:val="105"/>
        </w:rPr>
        <w:lastRenderedPageBreak/>
        <w:tab/>
      </w:r>
      <w:r>
        <w:rPr>
          <w:w w:val="105"/>
        </w:rPr>
        <w:tab/>
        <w:t>Annex</w:t>
      </w:r>
    </w:p>
    <w:p w:rsidR="003A499B" w:rsidRDefault="003A499B" w:rsidP="003A499B">
      <w:pPr>
        <w:pStyle w:val="SingleTxtG"/>
        <w:rPr>
          <w:w w:val="105"/>
        </w:rPr>
      </w:pPr>
      <w:r>
        <w:rPr>
          <w:w w:val="105"/>
        </w:rPr>
        <w:t>Amend Chapter 1.2 of RID/ADR as follows:</w:t>
      </w:r>
    </w:p>
    <w:p w:rsidR="003A499B" w:rsidRDefault="003A499B" w:rsidP="003A499B">
      <w:pPr>
        <w:pStyle w:val="H23G"/>
        <w:tabs>
          <w:tab w:val="left" w:pos="1985"/>
          <w:tab w:val="left" w:pos="2268"/>
        </w:tabs>
        <w:ind w:left="1985" w:hanging="851"/>
        <w:rPr>
          <w:b w:val="0"/>
          <w:bCs/>
          <w:w w:val="105"/>
        </w:rPr>
      </w:pPr>
      <w:r w:rsidRPr="00782197">
        <w:rPr>
          <w:b w:val="0"/>
          <w:bCs/>
          <w:w w:val="105"/>
        </w:rPr>
        <w:t>Title</w:t>
      </w:r>
      <w:r w:rsidRPr="00782197">
        <w:rPr>
          <w:b w:val="0"/>
          <w:bCs/>
          <w:w w:val="105"/>
        </w:rPr>
        <w:tab/>
        <w:t>Amend to read: “DEFINITIONS, UNITS OF MEASUREMENT AND ABBREVIATIONS”</w:t>
      </w:r>
    </w:p>
    <w:p w:rsidR="003A499B" w:rsidRPr="003A499B" w:rsidRDefault="003A499B" w:rsidP="003A499B">
      <w:pPr>
        <w:pStyle w:val="SingleTxtG"/>
        <w:tabs>
          <w:tab w:val="left" w:pos="1985"/>
          <w:tab w:val="left" w:pos="2268"/>
        </w:tabs>
      </w:pPr>
      <w:r w:rsidRPr="003A499B">
        <w:t>1.2.1</w:t>
      </w:r>
      <w:r w:rsidRPr="003A499B">
        <w:tab/>
        <w:t>Insert the following new definitions [RID only] in the alphabetical order:</w:t>
      </w:r>
    </w:p>
    <w:p w:rsidR="003A499B" w:rsidRPr="003A499B" w:rsidRDefault="003A499B" w:rsidP="003A499B">
      <w:pPr>
        <w:pStyle w:val="SingleTxtG"/>
        <w:ind w:left="1985"/>
      </w:pPr>
      <w:r w:rsidRPr="003A499B">
        <w:t xml:space="preserve">"Piggyback transport" means the carriage of road vehicles in combined road/rail transport. This definition also includes the rolling road (loading of road vehicles (accompanied or unaccompanied) onto wagons designed for this type of transport); </w:t>
      </w:r>
    </w:p>
    <w:p w:rsidR="003A499B" w:rsidRPr="003A499B" w:rsidRDefault="003A499B" w:rsidP="003A499B">
      <w:pPr>
        <w:pStyle w:val="SingleTxtG"/>
        <w:ind w:left="1985"/>
      </w:pPr>
      <w:r w:rsidRPr="003A499B">
        <w:t xml:space="preserve">"Self-operating ventilation valve” means a venting device on shells with bottom discharge which is connected to the bottom valve and in normal operation is only opened during loading or unloading for the ventilation of shells. </w:t>
      </w:r>
    </w:p>
    <w:p w:rsidR="003A499B" w:rsidRPr="003A499B" w:rsidRDefault="003A499B" w:rsidP="003A499B">
      <w:pPr>
        <w:pStyle w:val="SingleTxtG"/>
        <w:tabs>
          <w:tab w:val="left" w:pos="1985"/>
          <w:tab w:val="left" w:pos="2268"/>
        </w:tabs>
      </w:pPr>
      <w:r w:rsidRPr="003A499B">
        <w:rPr>
          <w:w w:val="105"/>
        </w:rPr>
        <w:t>1.2.3</w:t>
      </w:r>
      <w:r w:rsidRPr="003A499B">
        <w:rPr>
          <w:w w:val="105"/>
        </w:rPr>
        <w:tab/>
      </w:r>
      <w:r w:rsidRPr="003A499B">
        <w:t xml:space="preserve">Insert a new section 1.2.3 with a list of abbreviations to read as follows: </w:t>
      </w:r>
    </w:p>
    <w:p w:rsidR="003A499B" w:rsidRPr="003A499B" w:rsidRDefault="003A499B" w:rsidP="003A499B">
      <w:pPr>
        <w:pStyle w:val="H23G"/>
        <w:tabs>
          <w:tab w:val="left" w:pos="1985"/>
        </w:tabs>
        <w:spacing w:before="0" w:line="240" w:lineRule="auto"/>
        <w:ind w:left="1985" w:firstLine="0"/>
        <w:rPr>
          <w:lang w:val="en-US"/>
        </w:rPr>
      </w:pPr>
      <w:r w:rsidRPr="003A499B">
        <w:rPr>
          <w:lang w:val="en-US"/>
        </w:rPr>
        <w:t xml:space="preserve">“1.2.3 </w:t>
      </w:r>
      <w:r w:rsidRPr="003A499B">
        <w:rPr>
          <w:lang w:val="en-US"/>
        </w:rPr>
        <w:tab/>
        <w:t>List of abbreviations</w:t>
      </w:r>
    </w:p>
    <w:p w:rsidR="003A499B" w:rsidRDefault="003A499B" w:rsidP="003A499B">
      <w:pPr>
        <w:pStyle w:val="SingleTxtG"/>
        <w:spacing w:line="240" w:lineRule="auto"/>
        <w:ind w:left="1985"/>
        <w:rPr>
          <w:lang w:eastAsia="pt-PT"/>
        </w:rPr>
      </w:pPr>
      <w:r w:rsidRPr="003A499B">
        <w:rPr>
          <w:lang w:eastAsia="pt-PT"/>
        </w:rPr>
        <w:t>In RID/ADR, abbreviations, acronyms and abbreviated designations of regulatory texts</w:t>
      </w:r>
      <w:r w:rsidRPr="003A499B">
        <w:rPr>
          <w:color w:val="FF0000"/>
          <w:lang w:eastAsia="pt-PT"/>
        </w:rPr>
        <w:t xml:space="preserve"> </w:t>
      </w:r>
      <w:r w:rsidRPr="003A499B">
        <w:rPr>
          <w:lang w:eastAsia="pt-PT"/>
        </w:rPr>
        <w:t>are used, with the following meaning:</w:t>
      </w:r>
    </w:p>
    <w:p w:rsidR="003A499B" w:rsidRPr="007256B1" w:rsidRDefault="003A499B" w:rsidP="003A499B">
      <w:pPr>
        <w:pStyle w:val="SingleTxtG"/>
        <w:spacing w:line="240" w:lineRule="auto"/>
        <w:ind w:left="1985"/>
        <w:rPr>
          <w:b/>
          <w:lang w:val="en-US"/>
        </w:rPr>
      </w:pPr>
      <w:r w:rsidRPr="007256B1">
        <w:rPr>
          <w:b/>
          <w:lang w:val="en-US"/>
        </w:rPr>
        <w:t>A</w:t>
      </w:r>
    </w:p>
    <w:p w:rsidR="003A499B" w:rsidRPr="007256B1" w:rsidRDefault="003A499B" w:rsidP="003A499B">
      <w:pPr>
        <w:pStyle w:val="SingleTxtG"/>
        <w:spacing w:line="240" w:lineRule="auto"/>
        <w:ind w:left="1985"/>
        <w:rPr>
          <w:lang w:val="en-US"/>
        </w:rPr>
      </w:pPr>
      <w:r w:rsidRPr="007256B1">
        <w:rPr>
          <w:i/>
          <w:lang w:val="en-US"/>
        </w:rPr>
        <w:t>"ADN"</w:t>
      </w:r>
      <w:r w:rsidRPr="007256B1">
        <w:rPr>
          <w:lang w:val="en-US"/>
        </w:rPr>
        <w:t xml:space="preserve"> means the European Agreement concerning the International Carriage of Dangerous Goods by Inland Waterways;</w:t>
      </w:r>
    </w:p>
    <w:p w:rsidR="003A499B" w:rsidRPr="00F10274" w:rsidRDefault="003A499B" w:rsidP="003A499B">
      <w:pPr>
        <w:pStyle w:val="SingleTxtG"/>
        <w:spacing w:line="240" w:lineRule="auto"/>
        <w:ind w:left="1985"/>
        <w:rPr>
          <w:lang w:val="en-US"/>
        </w:rPr>
      </w:pPr>
      <w:r w:rsidRPr="00F10274">
        <w:rPr>
          <w:i/>
          <w:lang w:val="en-US"/>
        </w:rPr>
        <w:t>"ADR"</w:t>
      </w:r>
      <w:r w:rsidRPr="00F10274">
        <w:rPr>
          <w:lang w:val="en-US"/>
        </w:rPr>
        <w:t xml:space="preserve"> means the European Agreement concerning the International Carriage of Dangerous Goods by Road, including all special agreements signed by those states involved in the transport operation </w:t>
      </w:r>
      <w:r w:rsidRPr="00F10274">
        <w:rPr>
          <w:i/>
          <w:lang w:val="en-US"/>
        </w:rPr>
        <w:t>(only in RID)</w:t>
      </w:r>
      <w:r w:rsidRPr="00F10274">
        <w:rPr>
          <w:lang w:val="en-US"/>
        </w:rPr>
        <w:t>;</w:t>
      </w:r>
    </w:p>
    <w:p w:rsidR="003A499B" w:rsidRPr="007256B1" w:rsidRDefault="003A499B" w:rsidP="003A499B">
      <w:pPr>
        <w:pStyle w:val="SingleTxtG"/>
        <w:spacing w:line="240" w:lineRule="auto"/>
        <w:ind w:left="1985"/>
        <w:rPr>
          <w:lang w:val="en-US"/>
        </w:rPr>
      </w:pPr>
      <w:r w:rsidRPr="007256B1">
        <w:rPr>
          <w:i/>
          <w:lang w:val="en-US"/>
        </w:rPr>
        <w:t>"ASTM"</w:t>
      </w:r>
      <w:r w:rsidRPr="007256B1">
        <w:rPr>
          <w:lang w:val="en-US"/>
        </w:rPr>
        <w:t xml:space="preserve"> means the American Society for Testing and Materials (ASTM International, 100 Barr Harbor Drive, PO Box C700, West Conshohocken, PA, 19428-2959, United States of America)</w:t>
      </w:r>
      <w:r>
        <w:rPr>
          <w:lang w:val="en-US"/>
        </w:rPr>
        <w:t>, www.astm.org</w:t>
      </w:r>
      <w:r w:rsidRPr="007256B1">
        <w:rPr>
          <w:lang w:val="en-US"/>
        </w:rPr>
        <w:t>;</w:t>
      </w:r>
    </w:p>
    <w:p w:rsidR="003A499B" w:rsidRPr="007256B1" w:rsidRDefault="003A499B" w:rsidP="003A499B">
      <w:pPr>
        <w:pStyle w:val="SingleTxtG"/>
        <w:spacing w:line="240" w:lineRule="auto"/>
        <w:ind w:left="1985"/>
        <w:rPr>
          <w:b/>
          <w:lang w:val="en-US"/>
        </w:rPr>
      </w:pPr>
      <w:r w:rsidRPr="007256B1">
        <w:rPr>
          <w:b/>
          <w:lang w:val="en-US"/>
        </w:rPr>
        <w:t>C</w:t>
      </w:r>
    </w:p>
    <w:p w:rsidR="003A499B" w:rsidRPr="007256B1" w:rsidRDefault="003A499B" w:rsidP="003A499B">
      <w:pPr>
        <w:pStyle w:val="SingleTxtG"/>
        <w:spacing w:line="240" w:lineRule="auto"/>
        <w:ind w:left="1985"/>
        <w:rPr>
          <w:lang w:val="en-US"/>
        </w:rPr>
      </w:pPr>
      <w:r w:rsidRPr="007256B1">
        <w:rPr>
          <w:i/>
          <w:lang w:val="en-US"/>
        </w:rPr>
        <w:t>"CGA"</w:t>
      </w:r>
      <w:r w:rsidRPr="007256B1">
        <w:rPr>
          <w:lang w:val="en-US"/>
        </w:rPr>
        <w:t xml:space="preserve"> means the Compressed Gas Association (CGA, 14501 George Carter Way, Suite 103, Chantilly, VA 20151, United States of America)</w:t>
      </w:r>
      <w:r>
        <w:rPr>
          <w:lang w:val="en-US"/>
        </w:rPr>
        <w:t>, www.cganet.com</w:t>
      </w:r>
      <w:r w:rsidRPr="007256B1">
        <w:rPr>
          <w:lang w:val="en-US"/>
        </w:rPr>
        <w:t>;</w:t>
      </w:r>
    </w:p>
    <w:p w:rsidR="003A499B" w:rsidRPr="007256B1" w:rsidRDefault="003A499B" w:rsidP="003A499B">
      <w:pPr>
        <w:pStyle w:val="SingleTxtG"/>
        <w:spacing w:line="240" w:lineRule="auto"/>
        <w:ind w:left="1985"/>
        <w:rPr>
          <w:lang w:val="en-US"/>
        </w:rPr>
      </w:pPr>
      <w:r w:rsidRPr="007256B1">
        <w:rPr>
          <w:i/>
          <w:lang w:val="en-US"/>
        </w:rPr>
        <w:t>"CIM"</w:t>
      </w:r>
      <w:r w:rsidRPr="007256B1">
        <w:rPr>
          <w:lang w:val="en-US"/>
        </w:rPr>
        <w:t xml:space="preserve"> means the Uniform Rules Concerning the Contract of International Carriage of Goods by Rail (Appendix B to the Convention concerning International Carriage by Rail (COTIF)), as amended;</w:t>
      </w:r>
    </w:p>
    <w:p w:rsidR="003A499B" w:rsidRPr="007256B1" w:rsidRDefault="003A499B" w:rsidP="003A499B">
      <w:pPr>
        <w:pStyle w:val="SingleTxtG"/>
        <w:spacing w:line="240" w:lineRule="auto"/>
        <w:ind w:left="1985"/>
        <w:rPr>
          <w:lang w:val="en-US"/>
        </w:rPr>
      </w:pPr>
      <w:r w:rsidRPr="007256B1">
        <w:rPr>
          <w:i/>
          <w:lang w:val="en-US"/>
        </w:rPr>
        <w:t>"CMR"</w:t>
      </w:r>
      <w:r w:rsidRPr="007256B1">
        <w:rPr>
          <w:lang w:val="en-US"/>
        </w:rPr>
        <w:t xml:space="preserve"> means the Convention on the Contract for the International Carriage of Goods by Road (Geneva, 19 May 1956), as amended;</w:t>
      </w:r>
    </w:p>
    <w:p w:rsidR="003A499B" w:rsidRPr="00F5777F" w:rsidRDefault="003A499B" w:rsidP="003A499B">
      <w:pPr>
        <w:pStyle w:val="SingleTxtG"/>
        <w:spacing w:line="240" w:lineRule="auto"/>
        <w:ind w:left="1985"/>
      </w:pPr>
      <w:r w:rsidRPr="00F5777F">
        <w:rPr>
          <w:i/>
          <w:lang w:val="en-US"/>
        </w:rPr>
        <w:t>"CNG"</w:t>
      </w:r>
      <w:r>
        <w:rPr>
          <w:i/>
          <w:lang w:val="en-US"/>
        </w:rPr>
        <w:t>,</w:t>
      </w:r>
      <w:r w:rsidRPr="00F5777F">
        <w:rPr>
          <w:i/>
          <w:lang w:val="en-US"/>
        </w:rPr>
        <w:t xml:space="preserve"> </w:t>
      </w:r>
      <w:r w:rsidRPr="00F5777F">
        <w:rPr>
          <w:lang w:val="en-US"/>
        </w:rPr>
        <w:t>see</w:t>
      </w:r>
      <w:r w:rsidRPr="00F5777F">
        <w:rPr>
          <w:i/>
          <w:lang w:val="en-US"/>
        </w:rPr>
        <w:t xml:space="preserve"> </w:t>
      </w:r>
      <w:r w:rsidRPr="00F5777F">
        <w:rPr>
          <w:lang w:val="en-US"/>
        </w:rPr>
        <w:t>"Compressed Natural Gas" in 1.2.1</w:t>
      </w:r>
      <w:r w:rsidRPr="00F5777F">
        <w:t>;</w:t>
      </w:r>
    </w:p>
    <w:p w:rsidR="003A499B" w:rsidRDefault="003A499B" w:rsidP="003A499B">
      <w:pPr>
        <w:pStyle w:val="SingleTxtG"/>
        <w:spacing w:line="240" w:lineRule="auto"/>
        <w:ind w:left="1985"/>
        <w:rPr>
          <w:lang w:val="en-US"/>
        </w:rPr>
      </w:pPr>
      <w:r w:rsidRPr="007256B1">
        <w:rPr>
          <w:i/>
          <w:lang w:val="en-US"/>
        </w:rPr>
        <w:t>"CSC"</w:t>
      </w:r>
      <w:r w:rsidRPr="007256B1">
        <w:rPr>
          <w:lang w:val="en-US"/>
        </w:rPr>
        <w:t xml:space="preserve"> means the International Convention for Safe Containers (Geneva, 1972) as amended and published by the International Maritime Organization (IMO), London;</w:t>
      </w:r>
    </w:p>
    <w:p w:rsidR="003A499B" w:rsidRPr="00F5777F" w:rsidRDefault="003A499B" w:rsidP="003A499B">
      <w:pPr>
        <w:pStyle w:val="SingleTxtG"/>
        <w:spacing w:line="240" w:lineRule="auto"/>
        <w:ind w:left="1985"/>
      </w:pPr>
      <w:r w:rsidRPr="00F5777F">
        <w:rPr>
          <w:i/>
          <w:lang w:val="en-US"/>
        </w:rPr>
        <w:t>"C</w:t>
      </w:r>
      <w:r>
        <w:rPr>
          <w:i/>
          <w:lang w:val="en-US"/>
        </w:rPr>
        <w:t>TU</w:t>
      </w:r>
      <w:r w:rsidRPr="00F5777F">
        <w:rPr>
          <w:i/>
          <w:lang w:val="en-US"/>
        </w:rPr>
        <w:t>"</w:t>
      </w:r>
      <w:r>
        <w:rPr>
          <w:i/>
          <w:lang w:val="en-US"/>
        </w:rPr>
        <w:t>,</w:t>
      </w:r>
      <w:r w:rsidRPr="00F5777F">
        <w:rPr>
          <w:i/>
          <w:lang w:val="en-US"/>
        </w:rPr>
        <w:t xml:space="preserve"> </w:t>
      </w:r>
      <w:r w:rsidRPr="00F5777F">
        <w:rPr>
          <w:lang w:val="en-US"/>
        </w:rPr>
        <w:t>see</w:t>
      </w:r>
      <w:r w:rsidRPr="00F5777F">
        <w:rPr>
          <w:i/>
          <w:lang w:val="en-US"/>
        </w:rPr>
        <w:t xml:space="preserve"> </w:t>
      </w:r>
      <w:r w:rsidRPr="00F5777F">
        <w:rPr>
          <w:lang w:val="en-US"/>
        </w:rPr>
        <w:t>"C</w:t>
      </w:r>
      <w:r>
        <w:rPr>
          <w:lang w:val="en-US"/>
        </w:rPr>
        <w:t>argo Transport Unit</w:t>
      </w:r>
      <w:r w:rsidRPr="00F5777F">
        <w:rPr>
          <w:lang w:val="en-US"/>
        </w:rPr>
        <w:t>" in 1.2.1</w:t>
      </w:r>
      <w:r w:rsidRPr="00F5777F">
        <w:t>;</w:t>
      </w:r>
    </w:p>
    <w:p w:rsidR="003A499B" w:rsidRPr="007256B1" w:rsidRDefault="003A499B" w:rsidP="003A499B">
      <w:pPr>
        <w:pStyle w:val="SingleTxtG"/>
        <w:spacing w:line="240" w:lineRule="auto"/>
        <w:ind w:left="1985"/>
        <w:rPr>
          <w:b/>
          <w:lang w:val="en-US"/>
        </w:rPr>
      </w:pPr>
      <w:r w:rsidRPr="007256B1">
        <w:rPr>
          <w:b/>
          <w:lang w:val="en-US"/>
        </w:rPr>
        <w:t>E</w:t>
      </w:r>
    </w:p>
    <w:p w:rsidR="003A499B" w:rsidRPr="00A84458" w:rsidRDefault="003A499B" w:rsidP="003A499B">
      <w:pPr>
        <w:pStyle w:val="SingleTxtG"/>
        <w:spacing w:line="240" w:lineRule="auto"/>
        <w:ind w:left="1985"/>
      </w:pPr>
      <w:r w:rsidRPr="00A84458">
        <w:rPr>
          <w:i/>
        </w:rPr>
        <w:t>"ECM"</w:t>
      </w:r>
      <w:r>
        <w:rPr>
          <w:i/>
        </w:rPr>
        <w:t>,</w:t>
      </w:r>
      <w:r w:rsidRPr="00A84458">
        <w:t xml:space="preserve"> see "Entity in charge of maintenance" </w:t>
      </w:r>
      <w:r>
        <w:rPr>
          <w:lang w:val="en-US"/>
        </w:rPr>
        <w:t>in 1.2.1</w:t>
      </w:r>
      <w:r w:rsidRPr="00BE49D5">
        <w:rPr>
          <w:lang w:val="en-US"/>
        </w:rPr>
        <w:t xml:space="preserve"> </w:t>
      </w:r>
      <w:r w:rsidRPr="00F10274">
        <w:rPr>
          <w:i/>
          <w:lang w:val="en-US"/>
        </w:rPr>
        <w:t xml:space="preserve">(only in </w:t>
      </w:r>
      <w:r>
        <w:rPr>
          <w:i/>
          <w:lang w:val="en-US"/>
        </w:rPr>
        <w:t>RID</w:t>
      </w:r>
      <w:r w:rsidRPr="00F10274">
        <w:rPr>
          <w:i/>
          <w:lang w:val="en-US"/>
        </w:rPr>
        <w:t>)</w:t>
      </w:r>
      <w:r w:rsidRPr="00BE49D5">
        <w:t>;</w:t>
      </w:r>
    </w:p>
    <w:p w:rsidR="003A499B" w:rsidRDefault="003A499B" w:rsidP="003A499B">
      <w:pPr>
        <w:pStyle w:val="SingleTxtG"/>
        <w:spacing w:line="240" w:lineRule="auto"/>
        <w:ind w:left="1985"/>
        <w:rPr>
          <w:lang w:val="en-US"/>
        </w:rPr>
      </w:pPr>
      <w:r w:rsidRPr="007256B1">
        <w:rPr>
          <w:i/>
          <w:lang w:val="en-US"/>
        </w:rPr>
        <w:t>"EN"</w:t>
      </w:r>
      <w:r w:rsidRPr="007256B1">
        <w:rPr>
          <w:lang w:val="en-US"/>
        </w:rPr>
        <w:t xml:space="preserve"> (standard) means a European standard published by the European Committee for Standardization (CEN) (CEN, Avenue </w:t>
      </w:r>
      <w:proofErr w:type="spellStart"/>
      <w:r w:rsidRPr="007256B1">
        <w:rPr>
          <w:lang w:val="en-US"/>
        </w:rPr>
        <w:t>Marnix</w:t>
      </w:r>
      <w:proofErr w:type="spellEnd"/>
      <w:r w:rsidRPr="007256B1">
        <w:rPr>
          <w:lang w:val="en-US"/>
        </w:rPr>
        <w:t xml:space="preserve"> 17, B-1000 Brussels</w:t>
      </w:r>
      <w:r>
        <w:rPr>
          <w:lang w:val="en-US"/>
        </w:rPr>
        <w:t>, Belgium</w:t>
      </w:r>
      <w:r w:rsidRPr="007256B1">
        <w:rPr>
          <w:lang w:val="en-US"/>
        </w:rPr>
        <w:t>)</w:t>
      </w:r>
      <w:r>
        <w:rPr>
          <w:lang w:val="en-US"/>
        </w:rPr>
        <w:t>, www.cen.eu</w:t>
      </w:r>
      <w:r w:rsidRPr="007256B1">
        <w:rPr>
          <w:lang w:val="en-US"/>
        </w:rPr>
        <w:t>;</w:t>
      </w:r>
    </w:p>
    <w:p w:rsidR="003A499B" w:rsidRPr="007256B1" w:rsidRDefault="003A499B" w:rsidP="003A499B">
      <w:pPr>
        <w:pStyle w:val="SingleTxtG"/>
        <w:spacing w:line="240" w:lineRule="auto"/>
        <w:ind w:left="1985"/>
        <w:rPr>
          <w:b/>
          <w:lang w:val="en-US"/>
        </w:rPr>
      </w:pPr>
      <w:r w:rsidRPr="007256B1">
        <w:rPr>
          <w:b/>
          <w:lang w:val="en-US"/>
        </w:rPr>
        <w:t>G</w:t>
      </w:r>
    </w:p>
    <w:p w:rsidR="003A499B" w:rsidRDefault="003A499B" w:rsidP="003A499B">
      <w:pPr>
        <w:pStyle w:val="SingleTxtG"/>
        <w:spacing w:line="240" w:lineRule="auto"/>
        <w:ind w:left="1985"/>
        <w:rPr>
          <w:lang w:val="en-US"/>
        </w:rPr>
      </w:pPr>
      <w:r w:rsidRPr="007256B1">
        <w:rPr>
          <w:i/>
          <w:lang w:val="en-US"/>
        </w:rPr>
        <w:t>"GHS"</w:t>
      </w:r>
      <w:r w:rsidRPr="007256B1">
        <w:rPr>
          <w:lang w:val="en-US"/>
        </w:rPr>
        <w:t xml:space="preserve"> means the seventh revised edition of the Globally Harmonized System of Classification and Labelling of Chemicals, published by the United Nations as document ST/SG/AC.10/30/Rev.</w:t>
      </w:r>
      <w:r>
        <w:rPr>
          <w:lang w:val="en-US"/>
        </w:rPr>
        <w:t>8</w:t>
      </w:r>
      <w:r w:rsidRPr="007256B1">
        <w:rPr>
          <w:lang w:val="en-US"/>
        </w:rPr>
        <w:t>;</w:t>
      </w:r>
    </w:p>
    <w:p w:rsidR="003A499B" w:rsidRPr="007256B1" w:rsidRDefault="003A499B" w:rsidP="003A499B">
      <w:pPr>
        <w:pStyle w:val="SingleTxtG"/>
        <w:spacing w:line="240" w:lineRule="auto"/>
        <w:ind w:left="1985"/>
        <w:rPr>
          <w:b/>
          <w:lang w:val="en-US"/>
        </w:rPr>
      </w:pPr>
      <w:r w:rsidRPr="007256B1">
        <w:rPr>
          <w:b/>
          <w:lang w:val="en-US"/>
        </w:rPr>
        <w:lastRenderedPageBreak/>
        <w:t>I</w:t>
      </w:r>
    </w:p>
    <w:p w:rsidR="003A499B" w:rsidRPr="007256B1" w:rsidRDefault="003A499B" w:rsidP="003A499B">
      <w:pPr>
        <w:pStyle w:val="SingleTxtG"/>
        <w:spacing w:line="240" w:lineRule="auto"/>
        <w:ind w:left="1985"/>
        <w:rPr>
          <w:lang w:val="en-US"/>
        </w:rPr>
      </w:pPr>
      <w:r w:rsidRPr="007256B1">
        <w:rPr>
          <w:i/>
          <w:lang w:val="en-US"/>
        </w:rPr>
        <w:t>"IAEA"</w:t>
      </w:r>
      <w:r w:rsidRPr="007256B1">
        <w:rPr>
          <w:lang w:val="en-US"/>
        </w:rPr>
        <w:t xml:space="preserve"> means the International Atomic Energy Agency (IAEA, P.O. Box 100</w:t>
      </w:r>
      <w:r>
        <w:rPr>
          <w:lang w:val="en-US"/>
        </w:rPr>
        <w:t>,</w:t>
      </w:r>
      <w:r w:rsidRPr="007256B1">
        <w:rPr>
          <w:lang w:val="en-US"/>
        </w:rPr>
        <w:t xml:space="preserve"> A-1400 Vienna</w:t>
      </w:r>
      <w:r>
        <w:rPr>
          <w:lang w:val="en-US"/>
        </w:rPr>
        <w:t>, Austria</w:t>
      </w:r>
      <w:r w:rsidRPr="007256B1">
        <w:rPr>
          <w:lang w:val="en-US"/>
        </w:rPr>
        <w:t>)</w:t>
      </w:r>
      <w:r>
        <w:rPr>
          <w:lang w:val="en-US"/>
        </w:rPr>
        <w:t>, www.iaea.org</w:t>
      </w:r>
      <w:r w:rsidRPr="007256B1">
        <w:rPr>
          <w:lang w:val="en-US"/>
        </w:rPr>
        <w:t>;</w:t>
      </w:r>
    </w:p>
    <w:p w:rsidR="003A499B" w:rsidRPr="007256B1" w:rsidRDefault="003A499B" w:rsidP="003A499B">
      <w:pPr>
        <w:pStyle w:val="SingleTxtG"/>
        <w:spacing w:line="240" w:lineRule="auto"/>
        <w:ind w:left="1985"/>
        <w:rPr>
          <w:lang w:val="en-US"/>
        </w:rPr>
      </w:pPr>
      <w:r w:rsidRPr="007256B1">
        <w:rPr>
          <w:i/>
          <w:lang w:val="en-US"/>
        </w:rPr>
        <w:t>"IBC"</w:t>
      </w:r>
      <w:r>
        <w:rPr>
          <w:i/>
          <w:lang w:val="en-US"/>
        </w:rPr>
        <w:t>,</w:t>
      </w:r>
      <w:r w:rsidRPr="007256B1">
        <w:rPr>
          <w:lang w:val="en-US"/>
        </w:rPr>
        <w:t xml:space="preserve"> see "Intermediate bulk container"</w:t>
      </w:r>
      <w:r>
        <w:rPr>
          <w:lang w:val="en-US"/>
        </w:rPr>
        <w:t xml:space="preserve"> in 1.2.1</w:t>
      </w:r>
      <w:r w:rsidRPr="007256B1">
        <w:rPr>
          <w:lang w:val="en-US"/>
        </w:rPr>
        <w:t>;</w:t>
      </w:r>
    </w:p>
    <w:p w:rsidR="003A499B" w:rsidRPr="007256B1" w:rsidRDefault="003A499B" w:rsidP="003A499B">
      <w:pPr>
        <w:pStyle w:val="SingleTxtG"/>
        <w:spacing w:line="240" w:lineRule="auto"/>
        <w:ind w:left="1985"/>
        <w:rPr>
          <w:lang w:val="en-US"/>
        </w:rPr>
      </w:pPr>
      <w:r w:rsidRPr="007256B1">
        <w:rPr>
          <w:i/>
          <w:lang w:val="en-US"/>
        </w:rPr>
        <w:t>"ICAO"</w:t>
      </w:r>
      <w:r w:rsidRPr="007256B1">
        <w:rPr>
          <w:lang w:val="en-US"/>
        </w:rPr>
        <w:t xml:space="preserve"> means the International Civil Aviation Organization (ICAO, 999 University Street, Montreal, Quebec H3C 5H7, Canada)</w:t>
      </w:r>
      <w:r>
        <w:rPr>
          <w:lang w:val="en-US"/>
        </w:rPr>
        <w:t>, www.icao.org</w:t>
      </w:r>
      <w:r w:rsidRPr="007256B1">
        <w:rPr>
          <w:lang w:val="en-US"/>
        </w:rPr>
        <w:t>;</w:t>
      </w:r>
    </w:p>
    <w:p w:rsidR="003A499B" w:rsidRPr="007256B1" w:rsidRDefault="003A499B" w:rsidP="003A499B">
      <w:pPr>
        <w:pStyle w:val="SingleTxtG"/>
        <w:spacing w:line="240" w:lineRule="auto"/>
        <w:ind w:left="1985"/>
        <w:rPr>
          <w:lang w:val="en-US"/>
        </w:rPr>
      </w:pPr>
      <w:r w:rsidRPr="007256B1">
        <w:rPr>
          <w:i/>
          <w:lang w:val="en-US"/>
        </w:rPr>
        <w:t>"IM</w:t>
      </w:r>
      <w:r>
        <w:rPr>
          <w:i/>
          <w:lang w:val="en-US"/>
        </w:rPr>
        <w:t>DG</w:t>
      </w:r>
      <w:r w:rsidRPr="007256B1">
        <w:rPr>
          <w:i/>
          <w:lang w:val="en-US"/>
        </w:rPr>
        <w:t>"</w:t>
      </w:r>
      <w:r>
        <w:rPr>
          <w:i/>
          <w:lang w:val="en-US"/>
        </w:rPr>
        <w:t xml:space="preserve">, </w:t>
      </w:r>
      <w:r>
        <w:rPr>
          <w:lang w:val="en-US"/>
        </w:rPr>
        <w:t>see “IMDG Code” in 1.2.1</w:t>
      </w:r>
      <w:r w:rsidRPr="007256B1">
        <w:rPr>
          <w:lang w:val="en-US"/>
        </w:rPr>
        <w:t>;</w:t>
      </w:r>
    </w:p>
    <w:p w:rsidR="003A499B" w:rsidRDefault="003A499B" w:rsidP="003A499B">
      <w:pPr>
        <w:pStyle w:val="SingleTxtG"/>
        <w:spacing w:line="240" w:lineRule="auto"/>
        <w:ind w:left="1985"/>
        <w:rPr>
          <w:lang w:val="en-US"/>
        </w:rPr>
      </w:pPr>
      <w:r w:rsidRPr="007256B1">
        <w:rPr>
          <w:i/>
          <w:lang w:val="en-US"/>
        </w:rPr>
        <w:t>"IMO"</w:t>
      </w:r>
      <w:r w:rsidRPr="007256B1">
        <w:rPr>
          <w:lang w:val="en-US"/>
        </w:rPr>
        <w:t xml:space="preserve"> means the International Maritime Organization (IMO, 4 Albert Embankment, London SE1 7SR, United Kingdom)</w:t>
      </w:r>
      <w:r>
        <w:rPr>
          <w:lang w:val="en-US"/>
        </w:rPr>
        <w:t>, www.imo.org</w:t>
      </w:r>
      <w:r w:rsidRPr="007256B1">
        <w:rPr>
          <w:lang w:val="en-US"/>
        </w:rPr>
        <w:t>;</w:t>
      </w:r>
    </w:p>
    <w:p w:rsidR="003A499B" w:rsidRPr="007301BB" w:rsidRDefault="003A499B" w:rsidP="003A499B">
      <w:pPr>
        <w:pStyle w:val="SingleTxtG"/>
        <w:spacing w:line="240" w:lineRule="auto"/>
        <w:ind w:left="1985"/>
        <w:rPr>
          <w:lang w:val="en-US"/>
        </w:rPr>
      </w:pPr>
      <w:r w:rsidRPr="007301BB">
        <w:rPr>
          <w:i/>
          <w:lang w:val="en-US"/>
        </w:rPr>
        <w:t>"ISO"</w:t>
      </w:r>
      <w:r w:rsidRPr="007301BB">
        <w:rPr>
          <w:lang w:val="en-US"/>
        </w:rPr>
        <w:t xml:space="preserve"> (standard) means an international standard published by the International Organization for Standardization (ISO - 1, rue de </w:t>
      </w:r>
      <w:proofErr w:type="spellStart"/>
      <w:r w:rsidRPr="007301BB">
        <w:rPr>
          <w:lang w:val="en-US"/>
        </w:rPr>
        <w:t>Varembé</w:t>
      </w:r>
      <w:proofErr w:type="spellEnd"/>
      <w:r w:rsidRPr="007301BB">
        <w:rPr>
          <w:lang w:val="en-US"/>
        </w:rPr>
        <w:t>. CH-1204 Geneva 20</w:t>
      </w:r>
      <w:r>
        <w:rPr>
          <w:lang w:val="en-US"/>
        </w:rPr>
        <w:t>, Switzerland</w:t>
      </w:r>
      <w:r w:rsidRPr="007301BB">
        <w:rPr>
          <w:lang w:val="en-US"/>
        </w:rPr>
        <w:t>)</w:t>
      </w:r>
      <w:r>
        <w:rPr>
          <w:lang w:val="en-US"/>
        </w:rPr>
        <w:t>, www.iso.org</w:t>
      </w:r>
      <w:r w:rsidRPr="007301BB">
        <w:rPr>
          <w:lang w:val="en-US"/>
        </w:rPr>
        <w:t>;</w:t>
      </w:r>
    </w:p>
    <w:p w:rsidR="003A499B" w:rsidRPr="00F5777F" w:rsidRDefault="003A499B" w:rsidP="003A499B">
      <w:pPr>
        <w:pStyle w:val="SingleTxtG"/>
        <w:spacing w:line="240" w:lineRule="auto"/>
        <w:ind w:left="1985"/>
        <w:rPr>
          <w:b/>
          <w:lang w:val="en-US"/>
        </w:rPr>
      </w:pPr>
      <w:r w:rsidRPr="00F5777F">
        <w:rPr>
          <w:b/>
          <w:lang w:val="en-US"/>
        </w:rPr>
        <w:t>L</w:t>
      </w:r>
    </w:p>
    <w:p w:rsidR="003A499B" w:rsidRPr="00F5777F" w:rsidRDefault="003A499B" w:rsidP="003A499B">
      <w:pPr>
        <w:pStyle w:val="SingleTxtG"/>
        <w:spacing w:line="240" w:lineRule="auto"/>
        <w:ind w:left="1985"/>
      </w:pPr>
      <w:r w:rsidRPr="00F5777F">
        <w:rPr>
          <w:i/>
          <w:lang w:val="en-US"/>
        </w:rPr>
        <w:t>"LNG"</w:t>
      </w:r>
      <w:r>
        <w:rPr>
          <w:i/>
          <w:lang w:val="en-US"/>
        </w:rPr>
        <w:t>,</w:t>
      </w:r>
      <w:r w:rsidRPr="00F5777F">
        <w:rPr>
          <w:i/>
          <w:lang w:val="en-US"/>
        </w:rPr>
        <w:t xml:space="preserve"> </w:t>
      </w:r>
      <w:r w:rsidRPr="00F5777F">
        <w:rPr>
          <w:lang w:val="en-US"/>
        </w:rPr>
        <w:t>see</w:t>
      </w:r>
      <w:r w:rsidRPr="00F5777F">
        <w:rPr>
          <w:i/>
          <w:lang w:val="en-US"/>
        </w:rPr>
        <w:t xml:space="preserve"> </w:t>
      </w:r>
      <w:r w:rsidRPr="00F5777F">
        <w:rPr>
          <w:lang w:val="en-US"/>
        </w:rPr>
        <w:t>"Liquefied Natural Gas" in 1.2.1</w:t>
      </w:r>
      <w:r w:rsidRPr="00F5777F">
        <w:t>;</w:t>
      </w:r>
    </w:p>
    <w:p w:rsidR="003A499B" w:rsidRPr="00F5777F" w:rsidRDefault="003A499B" w:rsidP="003A499B">
      <w:pPr>
        <w:pStyle w:val="SingleTxtG"/>
        <w:spacing w:line="240" w:lineRule="auto"/>
        <w:ind w:left="1985"/>
      </w:pPr>
      <w:r w:rsidRPr="00F5777F">
        <w:rPr>
          <w:i/>
          <w:lang w:val="en-US"/>
        </w:rPr>
        <w:t>"LPG"</w:t>
      </w:r>
      <w:r>
        <w:rPr>
          <w:i/>
          <w:lang w:val="en-US"/>
        </w:rPr>
        <w:t>,</w:t>
      </w:r>
      <w:r w:rsidRPr="00F5777F">
        <w:rPr>
          <w:i/>
          <w:lang w:val="en-US"/>
        </w:rPr>
        <w:t xml:space="preserve"> </w:t>
      </w:r>
      <w:r w:rsidRPr="00F5777F">
        <w:rPr>
          <w:lang w:val="en-US"/>
        </w:rPr>
        <w:t>see</w:t>
      </w:r>
      <w:r w:rsidRPr="00F5777F">
        <w:rPr>
          <w:i/>
          <w:lang w:val="en-US"/>
        </w:rPr>
        <w:t xml:space="preserve"> </w:t>
      </w:r>
      <w:r w:rsidRPr="00F5777F">
        <w:rPr>
          <w:lang w:val="en-US"/>
        </w:rPr>
        <w:t>"Liquefied Petroleum Gas" in 1.2.1</w:t>
      </w:r>
      <w:r w:rsidRPr="00F5777F">
        <w:t>;</w:t>
      </w:r>
    </w:p>
    <w:p w:rsidR="003A499B" w:rsidRPr="007301BB" w:rsidRDefault="003A499B" w:rsidP="003A499B">
      <w:pPr>
        <w:pStyle w:val="SingleTxtG"/>
        <w:spacing w:line="240" w:lineRule="auto"/>
        <w:ind w:left="1985"/>
        <w:rPr>
          <w:b/>
          <w:lang w:val="en-US"/>
        </w:rPr>
      </w:pPr>
      <w:r w:rsidRPr="007301BB">
        <w:rPr>
          <w:b/>
          <w:lang w:val="en-US"/>
        </w:rPr>
        <w:t>M</w:t>
      </w:r>
    </w:p>
    <w:p w:rsidR="003A499B" w:rsidRPr="007301BB" w:rsidRDefault="003A499B" w:rsidP="003A499B">
      <w:pPr>
        <w:pStyle w:val="SingleTxtG"/>
        <w:spacing w:line="240" w:lineRule="auto"/>
        <w:ind w:left="1985"/>
        <w:rPr>
          <w:lang w:val="en-US"/>
        </w:rPr>
      </w:pPr>
      <w:r w:rsidRPr="007301BB">
        <w:rPr>
          <w:i/>
          <w:lang w:val="en-US"/>
        </w:rPr>
        <w:t>"MEGC"</w:t>
      </w:r>
      <w:r>
        <w:rPr>
          <w:i/>
          <w:lang w:val="en-US"/>
        </w:rPr>
        <w:t>,</w:t>
      </w:r>
      <w:r w:rsidRPr="007301BB">
        <w:rPr>
          <w:lang w:val="en-US"/>
        </w:rPr>
        <w:t xml:space="preserve"> see "Multiple-element gas container"</w:t>
      </w:r>
      <w:r>
        <w:rPr>
          <w:lang w:val="en-US"/>
        </w:rPr>
        <w:t xml:space="preserve"> in 1.2.1</w:t>
      </w:r>
      <w:r w:rsidRPr="007301BB">
        <w:rPr>
          <w:lang w:val="en-US"/>
        </w:rPr>
        <w:t>;</w:t>
      </w:r>
    </w:p>
    <w:p w:rsidR="003A499B" w:rsidRDefault="003A499B" w:rsidP="003A499B">
      <w:pPr>
        <w:pStyle w:val="SingleTxtG"/>
        <w:spacing w:line="240" w:lineRule="auto"/>
        <w:ind w:left="1985"/>
        <w:rPr>
          <w:lang w:val="en-US"/>
        </w:rPr>
      </w:pPr>
      <w:r w:rsidRPr="007301BB">
        <w:rPr>
          <w:i/>
          <w:lang w:val="en-US"/>
        </w:rPr>
        <w:t>"MEMU"</w:t>
      </w:r>
      <w:r>
        <w:rPr>
          <w:i/>
          <w:lang w:val="en-US"/>
        </w:rPr>
        <w:t>,</w:t>
      </w:r>
      <w:r w:rsidRPr="007301BB">
        <w:rPr>
          <w:lang w:val="en-US"/>
        </w:rPr>
        <w:t xml:space="preserve"> see "Mobile explosives manufacturing unit"</w:t>
      </w:r>
      <w:r>
        <w:rPr>
          <w:lang w:val="en-US"/>
        </w:rPr>
        <w:t xml:space="preserve"> in 1.2.1</w:t>
      </w:r>
      <w:r w:rsidRPr="007301BB">
        <w:rPr>
          <w:lang w:val="en-US"/>
        </w:rPr>
        <w:t>;</w:t>
      </w:r>
    </w:p>
    <w:p w:rsidR="003A499B" w:rsidRPr="00E10ED1" w:rsidRDefault="003A499B" w:rsidP="003A499B">
      <w:pPr>
        <w:pStyle w:val="SingleTxtG"/>
        <w:spacing w:line="240" w:lineRule="auto"/>
        <w:ind w:left="1985"/>
        <w:rPr>
          <w:b/>
          <w:lang w:val="en-US"/>
        </w:rPr>
      </w:pPr>
      <w:r w:rsidRPr="00E10ED1">
        <w:rPr>
          <w:b/>
          <w:lang w:val="en-US"/>
        </w:rPr>
        <w:t>O</w:t>
      </w:r>
    </w:p>
    <w:p w:rsidR="003A499B" w:rsidRDefault="003A499B" w:rsidP="003A499B">
      <w:pPr>
        <w:pStyle w:val="SingleTxtG"/>
        <w:spacing w:line="240" w:lineRule="auto"/>
        <w:ind w:left="1985"/>
      </w:pPr>
      <w:r w:rsidRPr="00B02D3F">
        <w:rPr>
          <w:i/>
          <w:lang w:val="en-US"/>
        </w:rPr>
        <w:t>"</w:t>
      </w:r>
      <w:r w:rsidRPr="00893C60">
        <w:rPr>
          <w:i/>
        </w:rPr>
        <w:t>OTIF</w:t>
      </w:r>
      <w:r w:rsidRPr="00B02D3F">
        <w:rPr>
          <w:i/>
          <w:lang w:val="en-US"/>
        </w:rPr>
        <w:t>"</w:t>
      </w:r>
      <w:r w:rsidRPr="00893C60">
        <w:t xml:space="preserve"> </w:t>
      </w:r>
      <w:r>
        <w:t xml:space="preserve">means the </w:t>
      </w:r>
      <w:r w:rsidRPr="00E10ED1">
        <w:rPr>
          <w:color w:val="000000"/>
        </w:rPr>
        <w:t>Intergovernmental Organisation for International Carriage by Rail</w:t>
      </w:r>
      <w:r w:rsidRPr="00893C60">
        <w:t xml:space="preserve"> (OTIF, </w:t>
      </w:r>
      <w:proofErr w:type="spellStart"/>
      <w:r w:rsidRPr="00893C60">
        <w:t>Gryphenhübeliweg</w:t>
      </w:r>
      <w:proofErr w:type="spellEnd"/>
      <w:r w:rsidRPr="00893C60">
        <w:t xml:space="preserve"> 30, CH–3006 Bern</w:t>
      </w:r>
      <w:r>
        <w:t>, Switzerland</w:t>
      </w:r>
      <w:r w:rsidRPr="00893C60">
        <w:t>)</w:t>
      </w:r>
      <w:r>
        <w:t xml:space="preserve">, </w:t>
      </w:r>
      <w:hyperlink r:id="rId9" w:history="1">
        <w:r w:rsidRPr="00550951">
          <w:rPr>
            <w:rStyle w:val="Hyperlink"/>
          </w:rPr>
          <w:t>www.otif.org</w:t>
        </w:r>
      </w:hyperlink>
      <w:r w:rsidRPr="00893C60">
        <w:t>;</w:t>
      </w:r>
    </w:p>
    <w:p w:rsidR="003A499B" w:rsidRPr="007301BB" w:rsidRDefault="003A499B" w:rsidP="003A499B">
      <w:pPr>
        <w:pStyle w:val="SingleTxtG"/>
        <w:spacing w:line="240" w:lineRule="auto"/>
        <w:ind w:left="1985"/>
        <w:rPr>
          <w:b/>
          <w:lang w:val="en-US"/>
        </w:rPr>
      </w:pPr>
      <w:r w:rsidRPr="007301BB">
        <w:rPr>
          <w:b/>
          <w:lang w:val="en-US"/>
        </w:rPr>
        <w:t>R</w:t>
      </w:r>
    </w:p>
    <w:p w:rsidR="003A499B" w:rsidRPr="00F10274" w:rsidRDefault="003A499B" w:rsidP="003A499B">
      <w:pPr>
        <w:pStyle w:val="SingleTxtG"/>
        <w:spacing w:line="240" w:lineRule="auto"/>
        <w:ind w:left="1985"/>
        <w:rPr>
          <w:i/>
          <w:lang w:val="en-US"/>
        </w:rPr>
      </w:pPr>
      <w:r w:rsidRPr="007301BB">
        <w:rPr>
          <w:i/>
          <w:lang w:val="en-US"/>
        </w:rPr>
        <w:t>"RID"</w:t>
      </w:r>
      <w:r w:rsidRPr="007301BB">
        <w:rPr>
          <w:lang w:val="en-US"/>
        </w:rPr>
        <w:t xml:space="preserve"> means Regulations concerning the International Carriage of Dangerous Goods by Rail (Appendix C of COTIF (Convention concerning international carriage by rail))</w:t>
      </w:r>
      <w:r w:rsidRPr="00FC0A36">
        <w:rPr>
          <w:lang w:val="en-US"/>
        </w:rPr>
        <w:t xml:space="preserve"> </w:t>
      </w:r>
      <w:r w:rsidRPr="00F10274">
        <w:rPr>
          <w:i/>
          <w:lang w:val="en-US"/>
        </w:rPr>
        <w:t>(only in ADR)</w:t>
      </w:r>
      <w:r w:rsidRPr="00F10274">
        <w:rPr>
          <w:lang w:val="en-US"/>
        </w:rPr>
        <w:t>;</w:t>
      </w:r>
    </w:p>
    <w:p w:rsidR="003A499B" w:rsidRPr="007301BB" w:rsidRDefault="003A499B" w:rsidP="003A499B">
      <w:pPr>
        <w:pStyle w:val="SingleTxtG"/>
        <w:spacing w:line="240" w:lineRule="auto"/>
        <w:ind w:left="1985"/>
        <w:rPr>
          <w:b/>
          <w:lang w:val="en-US"/>
        </w:rPr>
      </w:pPr>
      <w:r w:rsidRPr="007301BB">
        <w:rPr>
          <w:b/>
          <w:lang w:val="en-US"/>
        </w:rPr>
        <w:t>S</w:t>
      </w:r>
    </w:p>
    <w:p w:rsidR="003A499B" w:rsidRPr="00DE73E1" w:rsidRDefault="003A499B" w:rsidP="003A499B">
      <w:pPr>
        <w:pStyle w:val="SingleTxtG"/>
        <w:spacing w:line="240" w:lineRule="auto"/>
        <w:ind w:left="1985"/>
        <w:rPr>
          <w:strike/>
          <w:lang w:val="en-US"/>
        </w:rPr>
      </w:pPr>
      <w:r w:rsidRPr="00F10274">
        <w:rPr>
          <w:i/>
          <w:lang w:val="en-US"/>
        </w:rPr>
        <w:t>"SADT"</w:t>
      </w:r>
      <w:r>
        <w:rPr>
          <w:i/>
          <w:lang w:val="en-US"/>
        </w:rPr>
        <w:t>,</w:t>
      </w:r>
      <w:r w:rsidRPr="00F10274">
        <w:rPr>
          <w:lang w:val="en-US"/>
        </w:rPr>
        <w:t xml:space="preserve"> see "Self-accelerating decomposition temperature" </w:t>
      </w:r>
      <w:r>
        <w:rPr>
          <w:lang w:val="en-US"/>
        </w:rPr>
        <w:t>in 1.2.1</w:t>
      </w:r>
      <w:r w:rsidRPr="00DE73E1">
        <w:rPr>
          <w:strike/>
          <w:lang w:val="en-US"/>
        </w:rPr>
        <w:t>;</w:t>
      </w:r>
    </w:p>
    <w:p w:rsidR="003A499B" w:rsidRDefault="003A499B" w:rsidP="003A499B">
      <w:pPr>
        <w:pStyle w:val="SingleTxtG"/>
        <w:spacing w:line="240" w:lineRule="auto"/>
        <w:ind w:left="1985"/>
        <w:rPr>
          <w:strike/>
          <w:lang w:val="en-US"/>
        </w:rPr>
      </w:pPr>
      <w:r w:rsidRPr="00F10274">
        <w:rPr>
          <w:i/>
          <w:lang w:val="en-US"/>
        </w:rPr>
        <w:t>"SAPT"</w:t>
      </w:r>
      <w:r>
        <w:rPr>
          <w:i/>
          <w:lang w:val="en-US"/>
        </w:rPr>
        <w:t>,</w:t>
      </w:r>
      <w:r w:rsidRPr="00F10274">
        <w:rPr>
          <w:lang w:val="en-US"/>
        </w:rPr>
        <w:t xml:space="preserve"> see "Self-accelerating polymerization temperature"</w:t>
      </w:r>
      <w:r>
        <w:rPr>
          <w:lang w:val="en-US"/>
        </w:rPr>
        <w:t xml:space="preserve"> in 1.2.1</w:t>
      </w:r>
      <w:r w:rsidRPr="00DE73E1">
        <w:rPr>
          <w:strike/>
          <w:lang w:val="en-US"/>
        </w:rPr>
        <w:t>;</w:t>
      </w:r>
    </w:p>
    <w:p w:rsidR="003A499B" w:rsidRPr="00BE49D5" w:rsidRDefault="003A499B" w:rsidP="003A499B">
      <w:pPr>
        <w:pStyle w:val="SingleTxtG"/>
        <w:spacing w:line="240" w:lineRule="auto"/>
        <w:ind w:left="1985"/>
      </w:pPr>
      <w:r w:rsidRPr="00B02D3F">
        <w:rPr>
          <w:i/>
          <w:lang w:val="en-US"/>
        </w:rPr>
        <w:t>"</w:t>
      </w:r>
      <w:r w:rsidRPr="00BE49D5">
        <w:rPr>
          <w:i/>
        </w:rPr>
        <w:t>SMGS</w:t>
      </w:r>
      <w:r w:rsidRPr="00B02D3F">
        <w:rPr>
          <w:i/>
          <w:lang w:val="en-US"/>
        </w:rPr>
        <w:t>"</w:t>
      </w:r>
      <w:r w:rsidRPr="00BE49D5">
        <w:t xml:space="preserve"> means the </w:t>
      </w:r>
      <w:r w:rsidRPr="00BE49D5">
        <w:rPr>
          <w:shd w:val="clear" w:color="auto" w:fill="FFFFFF"/>
        </w:rPr>
        <w:t>Agreement concerning International Goods Transport by Rail of the</w:t>
      </w:r>
      <w:r w:rsidRPr="00BE49D5">
        <w:t xml:space="preserve"> </w:t>
      </w:r>
      <w:proofErr w:type="spellStart"/>
      <w:r w:rsidRPr="00BE49D5">
        <w:t>the</w:t>
      </w:r>
      <w:proofErr w:type="spellEnd"/>
      <w:r w:rsidRPr="00BE49D5">
        <w:t xml:space="preserve"> </w:t>
      </w:r>
      <w:r w:rsidRPr="00BE49D5">
        <w:rPr>
          <w:shd w:val="clear" w:color="auto" w:fill="FFFFFF"/>
        </w:rPr>
        <w:t>Organisation for Cooperation between Railways</w:t>
      </w:r>
      <w:r w:rsidRPr="00BE49D5">
        <w:t xml:space="preserve"> (OSJD) (OSJD</w:t>
      </w:r>
      <w:r w:rsidRPr="00782197">
        <w:rPr>
          <w:b/>
          <w:bCs/>
        </w:rPr>
        <w:t xml:space="preserve">, </w:t>
      </w:r>
      <w:r w:rsidRPr="00782197">
        <w:rPr>
          <w:rStyle w:val="Strong"/>
          <w:sz w:val="18"/>
          <w:szCs w:val="18"/>
          <w:u w:val="single"/>
        </w:rPr>
        <w:t xml:space="preserve">ul. </w:t>
      </w:r>
      <w:proofErr w:type="spellStart"/>
      <w:r w:rsidRPr="00782197">
        <w:rPr>
          <w:rStyle w:val="Strong"/>
          <w:sz w:val="18"/>
          <w:szCs w:val="18"/>
          <w:u w:val="single"/>
        </w:rPr>
        <w:t>Hoza</w:t>
      </w:r>
      <w:proofErr w:type="spellEnd"/>
      <w:r w:rsidRPr="00782197">
        <w:rPr>
          <w:rStyle w:val="Strong"/>
          <w:sz w:val="18"/>
          <w:szCs w:val="18"/>
          <w:u w:val="single"/>
        </w:rPr>
        <w:t>, 63/67 PL-00-681</w:t>
      </w:r>
      <w:r w:rsidRPr="00BE49D5">
        <w:rPr>
          <w:b/>
        </w:rPr>
        <w:t xml:space="preserve"> </w:t>
      </w:r>
      <w:r w:rsidRPr="00BE49D5">
        <w:t>Warsaw, Poland), www.en.osjd.org;</w:t>
      </w:r>
    </w:p>
    <w:p w:rsidR="003A499B" w:rsidRPr="00BE49D5" w:rsidRDefault="003A499B" w:rsidP="003A499B">
      <w:pPr>
        <w:pStyle w:val="SingleTxtG"/>
        <w:spacing w:line="240" w:lineRule="auto"/>
        <w:ind w:left="1985"/>
        <w:rPr>
          <w:strike/>
          <w:lang w:val="en-US"/>
        </w:rPr>
      </w:pPr>
      <w:r w:rsidRPr="00BE49D5">
        <w:rPr>
          <w:i/>
        </w:rPr>
        <w:t>"SMGS Annex 2"</w:t>
      </w:r>
      <w:r w:rsidRPr="00BE49D5">
        <w:t xml:space="preserve"> means provisions for the carriage of dangerous goods as Annex 2 to SMGS;</w:t>
      </w:r>
    </w:p>
    <w:p w:rsidR="003A499B" w:rsidRPr="007301BB" w:rsidRDefault="003A499B" w:rsidP="003A499B">
      <w:pPr>
        <w:pStyle w:val="SingleTxtG"/>
        <w:spacing w:line="240" w:lineRule="auto"/>
        <w:ind w:left="1985"/>
        <w:rPr>
          <w:b/>
          <w:lang w:val="en-US"/>
        </w:rPr>
      </w:pPr>
      <w:r w:rsidRPr="007301BB">
        <w:rPr>
          <w:b/>
          <w:lang w:val="en-US"/>
        </w:rPr>
        <w:t>U</w:t>
      </w:r>
    </w:p>
    <w:p w:rsidR="003A499B" w:rsidRPr="007301BB" w:rsidRDefault="003A499B" w:rsidP="003A499B">
      <w:pPr>
        <w:pStyle w:val="SingleTxtG"/>
        <w:spacing w:line="240" w:lineRule="auto"/>
        <w:ind w:left="1985"/>
        <w:rPr>
          <w:lang w:val="en-US"/>
        </w:rPr>
      </w:pPr>
      <w:r w:rsidRPr="007301BB">
        <w:rPr>
          <w:i/>
          <w:lang w:val="en-US"/>
        </w:rPr>
        <w:t>"UIC"</w:t>
      </w:r>
      <w:r w:rsidRPr="007301BB">
        <w:rPr>
          <w:lang w:val="en-US"/>
        </w:rPr>
        <w:t xml:space="preserve"> means the International Union of Railways (UIC, 16 rue Jean Rey, F-75015 Paris, France)</w:t>
      </w:r>
      <w:r>
        <w:rPr>
          <w:lang w:val="en-US"/>
        </w:rPr>
        <w:t>, www.uic.org</w:t>
      </w:r>
      <w:r w:rsidRPr="007301BB">
        <w:rPr>
          <w:lang w:val="en-US"/>
        </w:rPr>
        <w:t>;</w:t>
      </w:r>
    </w:p>
    <w:p w:rsidR="003A499B" w:rsidRDefault="003A499B" w:rsidP="003A499B">
      <w:pPr>
        <w:pStyle w:val="SingleTxtG"/>
        <w:spacing w:line="240" w:lineRule="auto"/>
        <w:ind w:left="1985"/>
        <w:rPr>
          <w:lang w:val="en-US"/>
        </w:rPr>
      </w:pPr>
      <w:r w:rsidRPr="007301BB">
        <w:rPr>
          <w:i/>
          <w:lang w:val="en-US"/>
        </w:rPr>
        <w:t>"UNECE"</w:t>
      </w:r>
      <w:r w:rsidRPr="007301BB">
        <w:rPr>
          <w:lang w:val="en-US"/>
        </w:rPr>
        <w:t xml:space="preserve"> means the United Nations Economic Commission for Europe (UNECE, Palais des Nations, 8-14 avenue de la </w:t>
      </w:r>
      <w:proofErr w:type="spellStart"/>
      <w:r w:rsidRPr="007301BB">
        <w:rPr>
          <w:lang w:val="en-US"/>
        </w:rPr>
        <w:t>Paix</w:t>
      </w:r>
      <w:proofErr w:type="spellEnd"/>
      <w:r w:rsidRPr="007301BB">
        <w:rPr>
          <w:lang w:val="en-US"/>
        </w:rPr>
        <w:t>, CH-1211 Geneva 10, Switzerland)</w:t>
      </w:r>
      <w:r>
        <w:rPr>
          <w:lang w:val="en-US"/>
        </w:rPr>
        <w:t xml:space="preserve">, </w:t>
      </w:r>
      <w:hyperlink r:id="rId10" w:history="1">
        <w:r w:rsidRPr="00550951">
          <w:rPr>
            <w:rStyle w:val="Hyperlink"/>
            <w:lang w:val="en-US"/>
          </w:rPr>
          <w:t>www.unece.org</w:t>
        </w:r>
      </w:hyperlink>
      <w:r>
        <w:rPr>
          <w:lang w:val="en-US"/>
        </w:rPr>
        <w:t>.”.</w:t>
      </w:r>
    </w:p>
    <w:p w:rsidR="003A499B" w:rsidRPr="00A20743" w:rsidRDefault="003A499B" w:rsidP="003A499B">
      <w:pPr>
        <w:pStyle w:val="HChG"/>
      </w:pPr>
      <w:r>
        <w:tab/>
      </w:r>
      <w:r>
        <w:tab/>
      </w:r>
      <w:r>
        <w:tab/>
      </w:r>
      <w:r>
        <w:tab/>
      </w:r>
      <w:r w:rsidRPr="00A20743">
        <w:t>Consequential amendment</w:t>
      </w:r>
    </w:p>
    <w:p w:rsidR="003A499B" w:rsidRPr="00A20743" w:rsidRDefault="003A499B" w:rsidP="003A499B">
      <w:pPr>
        <w:pStyle w:val="SingleTxtG"/>
        <w:tabs>
          <w:tab w:val="left" w:pos="1985"/>
        </w:tabs>
        <w:ind w:left="1985"/>
        <w:rPr>
          <w:w w:val="105"/>
        </w:rPr>
      </w:pPr>
      <w:r w:rsidRPr="00A20743">
        <w:rPr>
          <w:w w:val="105"/>
        </w:rPr>
        <w:t xml:space="preserve">Delete all the definitions </w:t>
      </w:r>
      <w:r>
        <w:rPr>
          <w:w w:val="105"/>
        </w:rPr>
        <w:t xml:space="preserve">in the new section 1.2.3 </w:t>
      </w:r>
      <w:r w:rsidRPr="00A20743">
        <w:rPr>
          <w:w w:val="105"/>
        </w:rPr>
        <w:t>from the list under 1.2.1.</w:t>
      </w:r>
    </w:p>
    <w:p w:rsidR="003A499B" w:rsidRPr="00E533F9" w:rsidRDefault="003A499B" w:rsidP="003A499B">
      <w:pPr>
        <w:spacing w:before="240"/>
        <w:jc w:val="center"/>
        <w:rPr>
          <w:w w:val="105"/>
          <w:u w:val="single"/>
        </w:rPr>
      </w:pPr>
      <w:r>
        <w:rPr>
          <w:w w:val="105"/>
          <w:u w:val="single"/>
        </w:rPr>
        <w:tab/>
      </w:r>
      <w:r>
        <w:rPr>
          <w:w w:val="105"/>
          <w:u w:val="single"/>
        </w:rPr>
        <w:tab/>
      </w:r>
      <w:r>
        <w:rPr>
          <w:w w:val="105"/>
          <w:u w:val="single"/>
        </w:rPr>
        <w:tab/>
      </w:r>
    </w:p>
    <w:p w:rsidR="001C6663" w:rsidRPr="00F8303C" w:rsidRDefault="001C6663" w:rsidP="00C411EB"/>
    <w:sectPr w:rsidR="001C6663" w:rsidRPr="00F8303C" w:rsidSect="00F8303C">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3C" w:rsidRDefault="00F8303C"/>
  </w:endnote>
  <w:endnote w:type="continuationSeparator" w:id="0">
    <w:p w:rsidR="00F8303C" w:rsidRDefault="00F8303C"/>
  </w:endnote>
  <w:endnote w:type="continuationNotice" w:id="1">
    <w:p w:rsidR="00F8303C" w:rsidRDefault="00F83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3C" w:rsidRPr="00F8303C" w:rsidRDefault="00F8303C" w:rsidP="00F8303C">
    <w:pPr>
      <w:pStyle w:val="Footer"/>
      <w:tabs>
        <w:tab w:val="right" w:pos="9638"/>
      </w:tabs>
      <w:rPr>
        <w:sz w:val="18"/>
      </w:rPr>
    </w:pPr>
    <w:r w:rsidRPr="00F8303C">
      <w:rPr>
        <w:b/>
        <w:sz w:val="18"/>
      </w:rPr>
      <w:fldChar w:fldCharType="begin"/>
    </w:r>
    <w:r w:rsidRPr="00F8303C">
      <w:rPr>
        <w:b/>
        <w:sz w:val="18"/>
      </w:rPr>
      <w:instrText xml:space="preserve"> PAGE  \* MERGEFORMAT </w:instrText>
    </w:r>
    <w:r w:rsidRPr="00F8303C">
      <w:rPr>
        <w:b/>
        <w:sz w:val="18"/>
      </w:rPr>
      <w:fldChar w:fldCharType="separate"/>
    </w:r>
    <w:r w:rsidRPr="00F8303C">
      <w:rPr>
        <w:b/>
        <w:noProof/>
        <w:sz w:val="18"/>
      </w:rPr>
      <w:t>2</w:t>
    </w:r>
    <w:r w:rsidRPr="00F8303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3C" w:rsidRPr="00F8303C" w:rsidRDefault="00F8303C" w:rsidP="00F8303C">
    <w:pPr>
      <w:pStyle w:val="Footer"/>
      <w:tabs>
        <w:tab w:val="right" w:pos="9638"/>
      </w:tabs>
      <w:rPr>
        <w:b/>
        <w:sz w:val="18"/>
      </w:rPr>
    </w:pPr>
    <w:r>
      <w:tab/>
    </w:r>
    <w:r w:rsidRPr="00F8303C">
      <w:rPr>
        <w:b/>
        <w:sz w:val="18"/>
      </w:rPr>
      <w:fldChar w:fldCharType="begin"/>
    </w:r>
    <w:r w:rsidRPr="00F8303C">
      <w:rPr>
        <w:b/>
        <w:sz w:val="18"/>
      </w:rPr>
      <w:instrText xml:space="preserve"> PAGE  \* MERGEFORMAT </w:instrText>
    </w:r>
    <w:r w:rsidRPr="00F8303C">
      <w:rPr>
        <w:b/>
        <w:sz w:val="18"/>
      </w:rPr>
      <w:fldChar w:fldCharType="separate"/>
    </w:r>
    <w:r w:rsidRPr="00F8303C">
      <w:rPr>
        <w:b/>
        <w:noProof/>
        <w:sz w:val="18"/>
      </w:rPr>
      <w:t>3</w:t>
    </w:r>
    <w:r w:rsidRPr="00F8303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3C" w:rsidRPr="000B175B" w:rsidRDefault="00F8303C" w:rsidP="000B175B">
      <w:pPr>
        <w:tabs>
          <w:tab w:val="right" w:pos="2155"/>
        </w:tabs>
        <w:spacing w:after="80"/>
        <w:ind w:left="680"/>
        <w:rPr>
          <w:u w:val="single"/>
        </w:rPr>
      </w:pPr>
      <w:r>
        <w:rPr>
          <w:u w:val="single"/>
        </w:rPr>
        <w:tab/>
      </w:r>
    </w:p>
  </w:footnote>
  <w:footnote w:type="continuationSeparator" w:id="0">
    <w:p w:rsidR="00F8303C" w:rsidRPr="00FC68B7" w:rsidRDefault="00F8303C" w:rsidP="00FC68B7">
      <w:pPr>
        <w:tabs>
          <w:tab w:val="left" w:pos="2155"/>
        </w:tabs>
        <w:spacing w:after="80"/>
        <w:ind w:left="680"/>
        <w:rPr>
          <w:u w:val="single"/>
        </w:rPr>
      </w:pPr>
      <w:r>
        <w:rPr>
          <w:u w:val="single"/>
        </w:rPr>
        <w:tab/>
      </w:r>
    </w:p>
  </w:footnote>
  <w:footnote w:type="continuationNotice" w:id="1">
    <w:p w:rsidR="00F8303C" w:rsidRDefault="00F8303C"/>
  </w:footnote>
  <w:footnote w:id="2">
    <w:p w:rsidR="00820D42" w:rsidRDefault="00820D42" w:rsidP="00820D42">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820D42" w:rsidRDefault="00820D42" w:rsidP="00820D42">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3C" w:rsidRPr="00F8303C" w:rsidRDefault="00F8303C">
    <w:pPr>
      <w:pStyle w:val="Header"/>
    </w:pPr>
    <w:fldSimple w:instr=" TITLE  \* MERGEFORMAT ">
      <w:r>
        <w:t>ECE/TRANS/WP.15/AC.1/2020/13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03C" w:rsidRPr="00F8303C" w:rsidRDefault="00F8303C" w:rsidP="00F8303C">
    <w:pPr>
      <w:pStyle w:val="Header"/>
      <w:jc w:val="right"/>
    </w:pPr>
    <w:fldSimple w:instr=" TITLE  \* MERGEFORMAT ">
      <w:r>
        <w:t>ECE/TRANS/WP.15/AC.1/2020/13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3C"/>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99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0D42"/>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303C"/>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A79C"/>
  <w15:docId w15:val="{B9D311B4-353A-4201-864B-21353ADC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uiPriority w:val="99"/>
    <w:locked/>
    <w:rsid w:val="003A499B"/>
    <w:rPr>
      <w:b/>
      <w:sz w:val="24"/>
      <w:lang w:val="en-GB"/>
    </w:rPr>
  </w:style>
  <w:style w:type="character" w:customStyle="1" w:styleId="HChGChar">
    <w:name w:val="_ H _Ch_G Char"/>
    <w:link w:val="HChG"/>
    <w:uiPriority w:val="99"/>
    <w:locked/>
    <w:rsid w:val="003A499B"/>
    <w:rPr>
      <w:b/>
      <w:sz w:val="28"/>
      <w:lang w:val="en-GB"/>
    </w:rPr>
  </w:style>
  <w:style w:type="paragraph" w:styleId="HTMLPreformatted">
    <w:name w:val="HTML Preformatted"/>
    <w:basedOn w:val="Normal"/>
    <w:link w:val="HTMLPreformattedChar"/>
    <w:uiPriority w:val="99"/>
    <w:rsid w:val="003A4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pt-PT" w:eastAsia="pt-PT"/>
    </w:rPr>
  </w:style>
  <w:style w:type="character" w:customStyle="1" w:styleId="HTMLPreformattedChar">
    <w:name w:val="HTML Preformatted Char"/>
    <w:basedOn w:val="DefaultParagraphFont"/>
    <w:link w:val="HTMLPreformatted"/>
    <w:uiPriority w:val="99"/>
    <w:rsid w:val="003A499B"/>
    <w:rPr>
      <w:rFonts w:ascii="Courier New" w:hAnsi="Courier New" w:cs="Courier New"/>
      <w:lang w:val="pt-PT" w:eastAsia="pt-PT"/>
    </w:rPr>
  </w:style>
  <w:style w:type="character" w:styleId="Strong">
    <w:name w:val="Strong"/>
    <w:basedOn w:val="DefaultParagraphFont"/>
    <w:uiPriority w:val="22"/>
    <w:qFormat/>
    <w:rsid w:val="003A499B"/>
    <w:rPr>
      <w:b/>
      <w:bCs/>
    </w:rPr>
  </w:style>
  <w:style w:type="character" w:customStyle="1" w:styleId="FootnoteTextChar">
    <w:name w:val="Footnote Text Char"/>
    <w:aliases w:val="5_G Char,5_GR Char"/>
    <w:basedOn w:val="DefaultParagraphFont"/>
    <w:link w:val="FootnoteText"/>
    <w:locked/>
    <w:rsid w:val="00820D42"/>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 TargetMode="External"/><Relationship Id="rId4" Type="http://schemas.openxmlformats.org/officeDocument/2006/relationships/settings" Target="settings.xml"/><Relationship Id="rId9" Type="http://schemas.openxmlformats.org/officeDocument/2006/relationships/hyperlink" Target="http://www.otif.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B5A3-9583-4854-AD67-1F93BE5E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TotalTime>
  <Pages>4</Pages>
  <Words>1010</Words>
  <Characters>6227</Characters>
  <Application>Microsoft Office Word</Application>
  <DocSecurity>0</DocSecurity>
  <Lines>1037</Lines>
  <Paragraphs>380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ECE/TRANS/WP.15/AC.1/2020/13</vt:lpstr>
      <vt:lpstr/>
    </vt:vector>
  </TitlesOfParts>
  <Company>CSD</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ECE/TRANS/WP.15/AC.1/2020/13</dc:title>
  <dc:creator>Christine Barrio-Champeau</dc:creator>
  <cp:lastModifiedBy>Christine Barrio-Champeau</cp:lastModifiedBy>
  <cp:revision>3</cp:revision>
  <cp:lastPrinted>2009-02-18T09:36:00Z</cp:lastPrinted>
  <dcterms:created xsi:type="dcterms:W3CDTF">2019-12-30T13:56:00Z</dcterms:created>
  <dcterms:modified xsi:type="dcterms:W3CDTF">2019-12-30T14:00:00Z</dcterms:modified>
</cp:coreProperties>
</file>