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bookmarkStart w:id="0" w:name="_GoBack"/>
      <w:bookmarkEnd w:id="0"/>
      <w:r w:rsidRPr="008256D7">
        <w:rPr>
          <w:b/>
          <w:sz w:val="28"/>
          <w:szCs w:val="28"/>
        </w:rPr>
        <w:t>Economic Commission for Europe</w:t>
      </w:r>
    </w:p>
    <w:p w14:paraId="2FE6D5E1" w14:textId="6A8A5D05" w:rsidR="00215A1B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591F8173" w14:textId="016D7418" w:rsidR="007900F5" w:rsidRPr="007900F5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Working Party on the Transport of Dangerous Goods</w:t>
      </w:r>
      <w:r w:rsidRPr="007900F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CD0A8F">
        <w:rPr>
          <w:b/>
          <w:szCs w:val="24"/>
        </w:rPr>
        <w:t>9</w:t>
      </w:r>
      <w:r>
        <w:rPr>
          <w:b/>
        </w:rPr>
        <w:t xml:space="preserve"> September</w:t>
      </w:r>
      <w:r w:rsidRPr="008256D7">
        <w:rPr>
          <w:b/>
        </w:rPr>
        <w:t xml:space="preserve"> 20</w:t>
      </w:r>
      <w:r>
        <w:rPr>
          <w:b/>
        </w:rPr>
        <w:t>20</w:t>
      </w:r>
    </w:p>
    <w:p w14:paraId="45A7DD39" w14:textId="5BDB50FE" w:rsidR="00215A1B" w:rsidRPr="008256D7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7900F5">
        <w:rPr>
          <w:b/>
          <w:sz w:val="22"/>
          <w:szCs w:val="24"/>
        </w:rPr>
        <w:t xml:space="preserve">Joint Meeting of the RID Committee of Experts and the </w:t>
      </w:r>
      <w:r w:rsidRPr="007900F5">
        <w:rPr>
          <w:b/>
          <w:sz w:val="22"/>
          <w:szCs w:val="24"/>
        </w:rPr>
        <w:br/>
      </w:r>
      <w:r w:rsidR="00215A1B" w:rsidRPr="007900F5">
        <w:rPr>
          <w:b/>
          <w:sz w:val="22"/>
          <w:szCs w:val="24"/>
        </w:rPr>
        <w:t>Working Party on the Transport of Dangerous Goods</w:t>
      </w:r>
    </w:p>
    <w:p w14:paraId="20D1643D" w14:textId="3C67F596" w:rsidR="006643C6" w:rsidRPr="00592CC7" w:rsidRDefault="007900F5" w:rsidP="00592CC7">
      <w:r>
        <w:t xml:space="preserve">Bern, 10-11 September 2020 and </w:t>
      </w:r>
      <w:r w:rsidR="00592CC7" w:rsidRPr="00267B69">
        <w:t>Geneva, 1</w:t>
      </w:r>
      <w:r>
        <w:t>4</w:t>
      </w:r>
      <w:r w:rsidR="00592CC7" w:rsidRPr="00267B69">
        <w:t>–1</w:t>
      </w:r>
      <w:r>
        <w:t>8</w:t>
      </w:r>
      <w:r w:rsidR="00592CC7" w:rsidRPr="00267B69">
        <w:t xml:space="preserve"> </w:t>
      </w:r>
      <w:r>
        <w:t xml:space="preserve">September </w:t>
      </w:r>
      <w:r w:rsidR="00592CC7" w:rsidRPr="00267B69">
        <w:t>20</w:t>
      </w:r>
      <w:r w:rsidR="00592CC7">
        <w:t>20</w:t>
      </w:r>
      <w:r w:rsidR="00215A1B" w:rsidRPr="008256D7">
        <w:br/>
        <w:t xml:space="preserve">Item </w:t>
      </w:r>
      <w:r>
        <w:t>3</w:t>
      </w:r>
      <w:r w:rsidR="00215A1B" w:rsidRPr="008256D7">
        <w:t xml:space="preserve"> of the provisional agenda</w:t>
      </w:r>
      <w:r w:rsidR="00215A1B" w:rsidRPr="008256D7">
        <w:br/>
      </w:r>
      <w:r>
        <w:rPr>
          <w:b/>
        </w:rPr>
        <w:t>Standards</w:t>
      </w:r>
    </w:p>
    <w:p w14:paraId="11F9865F" w14:textId="4E26E2C3" w:rsidR="00193421" w:rsidRPr="00BF3825" w:rsidRDefault="002574B9" w:rsidP="00CC2CB9">
      <w:pPr>
        <w:pStyle w:val="HChG"/>
      </w:pPr>
      <w:r w:rsidRPr="008256D7">
        <w:tab/>
      </w:r>
      <w:r w:rsidRPr="008256D7">
        <w:tab/>
      </w:r>
      <w:r w:rsidR="00193421" w:rsidRPr="00BF3825">
        <w:t>Report of the Standards Working Group</w:t>
      </w:r>
      <w:r w:rsidR="00CC2CB9">
        <w:t xml:space="preserve"> </w:t>
      </w:r>
      <w:r w:rsidR="00193421" w:rsidRPr="00BF3825">
        <w:t>(</w:t>
      </w:r>
      <w:r w:rsidR="0099702C">
        <w:t>3</w:t>
      </w:r>
      <w:r w:rsidR="007900F5">
        <w:t>1</w:t>
      </w:r>
      <w:r w:rsidR="007900F5" w:rsidRPr="007900F5">
        <w:rPr>
          <w:vertAlign w:val="superscript"/>
        </w:rPr>
        <w:t>st</w:t>
      </w:r>
      <w:r w:rsidR="007900F5">
        <w:t xml:space="preserve"> </w:t>
      </w:r>
      <w:r w:rsidR="00193421" w:rsidRPr="00BF3825">
        <w:t xml:space="preserve">meeting) </w:t>
      </w:r>
    </w:p>
    <w:p w14:paraId="42CC3EE4" w14:textId="48765B9C" w:rsidR="00193421" w:rsidRPr="00E33565" w:rsidRDefault="00193421" w:rsidP="00193421">
      <w:pPr>
        <w:pStyle w:val="SingleTxtG"/>
      </w:pPr>
      <w:r>
        <w:t>1.</w:t>
      </w:r>
      <w:r>
        <w:tab/>
      </w:r>
      <w:r w:rsidRPr="00E33565">
        <w:t>Reference is made to document ECE/TRANS/WP.15/AC.1/20</w:t>
      </w:r>
      <w:r w:rsidR="0099702C">
        <w:t>20</w:t>
      </w:r>
      <w:r w:rsidRPr="00E33565">
        <w:t>/</w:t>
      </w:r>
      <w:r w:rsidR="007900F5">
        <w:t>58</w:t>
      </w:r>
      <w:r w:rsidRPr="00E33565">
        <w:t xml:space="preserve">, which informs about the progress made in the establishment of new and the revision of published EN and EN ISO standards referenced or intended to be referenced in the RID/ADR/ADN. </w:t>
      </w:r>
    </w:p>
    <w:p w14:paraId="309594B5" w14:textId="29B48D28" w:rsidR="00193421" w:rsidRPr="00E33565" w:rsidRDefault="00193421" w:rsidP="00193421">
      <w:pPr>
        <w:pStyle w:val="SingleTxtG"/>
      </w:pPr>
      <w:r>
        <w:t>2.</w:t>
      </w:r>
      <w:r>
        <w:tab/>
      </w:r>
      <w:r w:rsidRPr="00E33565">
        <w:t xml:space="preserve">A teleconference took place on the </w:t>
      </w:r>
      <w:r w:rsidR="007900F5">
        <w:t>2</w:t>
      </w:r>
      <w:r w:rsidR="007900F5" w:rsidRPr="007900F5">
        <w:rPr>
          <w:vertAlign w:val="superscript"/>
        </w:rPr>
        <w:t>nd</w:t>
      </w:r>
      <w:r w:rsidR="007900F5">
        <w:t xml:space="preserve"> September</w:t>
      </w:r>
      <w:r w:rsidR="0099702C">
        <w:t xml:space="preserve"> </w:t>
      </w:r>
      <w:r w:rsidRPr="00E33565">
        <w:t xml:space="preserve">to review the comments made by </w:t>
      </w:r>
      <w:r w:rsidR="006F6363">
        <w:t>Participants of the Joint Meeting</w:t>
      </w:r>
      <w:r w:rsidRPr="00E33565">
        <w:t>. Comments were compiled by CCMC (</w:t>
      </w:r>
      <w:r w:rsidRPr="006F6363">
        <w:t>see INF.</w:t>
      </w:r>
      <w:r w:rsidR="006F6363" w:rsidRPr="006F6363">
        <w:t>52</w:t>
      </w:r>
      <w:r w:rsidRPr="00E33565">
        <w:t xml:space="preserve">). </w:t>
      </w:r>
      <w:r w:rsidR="007900F5">
        <w:t xml:space="preserve">The Working Group also considered documents </w:t>
      </w:r>
      <w:r w:rsidR="00B77001">
        <w:t>ECE/TRANS/WP.15/AC.1/2020/52 and ECE/TRANS/WP.15/AC.1/2020/16.</w:t>
      </w:r>
    </w:p>
    <w:p w14:paraId="7576C276" w14:textId="021D54DA" w:rsidR="00193421" w:rsidRPr="00193421" w:rsidRDefault="00193421" w:rsidP="00193421">
      <w:pPr>
        <w:pStyle w:val="SingleTxtG"/>
        <w:rPr>
          <w:b/>
          <w:bCs/>
        </w:rPr>
      </w:pPr>
      <w:r w:rsidRPr="00193421">
        <w:rPr>
          <w:b/>
          <w:bCs/>
        </w:rPr>
        <w:tab/>
        <w:t>3.</w:t>
      </w:r>
      <w:r w:rsidRPr="00193421">
        <w:rPr>
          <w:b/>
          <w:bCs/>
        </w:rPr>
        <w:tab/>
        <w:t>Results</w:t>
      </w:r>
    </w:p>
    <w:p w14:paraId="680F197B" w14:textId="7677D9F0" w:rsidR="00193421" w:rsidRDefault="00193421" w:rsidP="00193421">
      <w:pPr>
        <w:pStyle w:val="SingleTxtG"/>
      </w:pPr>
      <w:r w:rsidRPr="00E33565">
        <w:t>3.1</w:t>
      </w:r>
      <w:r w:rsidR="00D42FE3">
        <w:t>.</w:t>
      </w:r>
      <w:r w:rsidRPr="00E33565">
        <w:tab/>
      </w:r>
      <w:r w:rsidR="00D72689">
        <w:t xml:space="preserve">The proposals in this report are made </w:t>
      </w:r>
      <w:proofErr w:type="gramStart"/>
      <w:r w:rsidR="00D72689">
        <w:t>on the basis of</w:t>
      </w:r>
      <w:proofErr w:type="gramEnd"/>
      <w:r w:rsidR="00D72689">
        <w:t xml:space="preserve"> </w:t>
      </w:r>
      <w:r w:rsidR="00D72689" w:rsidRPr="006F6363">
        <w:t>INF.</w:t>
      </w:r>
      <w:r w:rsidR="006F6363" w:rsidRPr="006F6363">
        <w:t>52</w:t>
      </w:r>
      <w:r w:rsidR="00B77001">
        <w:t>.</w:t>
      </w:r>
    </w:p>
    <w:p w14:paraId="2048EC9F" w14:textId="6EF0B41C" w:rsidR="00193421" w:rsidRDefault="00193421" w:rsidP="00E11BB2">
      <w:pPr>
        <w:pStyle w:val="SingleTxtG"/>
      </w:pPr>
      <w:r>
        <w:t>3.2</w:t>
      </w:r>
      <w:r w:rsidR="00D42FE3">
        <w:t>.</w:t>
      </w:r>
      <w:r>
        <w:tab/>
      </w:r>
      <w:r w:rsidR="00B77001">
        <w:t>One new and three revised standards are proposed</w:t>
      </w:r>
      <w:r w:rsidR="00955410">
        <w:t xml:space="preserve"> for referencing</w:t>
      </w:r>
      <w:r w:rsidR="00B77001">
        <w:t xml:space="preserve">. Two amended standards which were agreed for adoption at the March </w:t>
      </w:r>
      <w:r w:rsidR="00E11BB2">
        <w:t xml:space="preserve">teleconference, are repeated in this report because they were published too late for inclusion in RID/ADR 2021. </w:t>
      </w:r>
      <w:r w:rsidR="00955410">
        <w:t xml:space="preserve">It </w:t>
      </w:r>
      <w:r w:rsidR="001E1A82">
        <w:t>i</w:t>
      </w:r>
      <w:r w:rsidR="00955410">
        <w:t>s also proposed to replace one superseded standard.</w:t>
      </w:r>
    </w:p>
    <w:p w14:paraId="176C1D4E" w14:textId="233A93FB" w:rsidR="0094444F" w:rsidRPr="00556C04" w:rsidRDefault="0094444F" w:rsidP="00193421">
      <w:pPr>
        <w:pStyle w:val="SingleTxtG"/>
      </w:pPr>
      <w:r>
        <w:t>3.</w:t>
      </w:r>
      <w:r w:rsidR="00E11BB2">
        <w:t>3</w:t>
      </w:r>
      <w:r w:rsidR="00D42FE3">
        <w:t>.</w:t>
      </w:r>
      <w:r>
        <w:tab/>
      </w:r>
      <w:r w:rsidR="00E11BB2">
        <w:t>Following a read through of paper ECE/TRANS/WP.15/AC.1/2020/52 the Working Group supported all the proposed amendments to the Procedure of cooperation with CEN/CENELEC.</w:t>
      </w:r>
    </w:p>
    <w:p w14:paraId="419EBF4A" w14:textId="194BB6C3" w:rsidR="00913504" w:rsidRDefault="00045C95" w:rsidP="00614D10">
      <w:pPr>
        <w:pStyle w:val="SingleTxtG"/>
      </w:pPr>
      <w:r w:rsidRPr="00ED7C8C">
        <w:t>3.</w:t>
      </w:r>
      <w:r w:rsidR="00E11BB2">
        <w:t>4</w:t>
      </w:r>
      <w:r w:rsidR="00D42FE3">
        <w:t>.</w:t>
      </w:r>
      <w:r w:rsidRPr="00ED7C8C">
        <w:tab/>
      </w:r>
      <w:r w:rsidR="007A4384">
        <w:t xml:space="preserve">Paper ECE/TRANS/WP.15/AC.1/2020/63 was discussed, but there was no consensus on this proposal. The majority of the Working Group saw the proposal to allow pressure receptacles with a wall thickness less than the guaranteed minimum as a fundamental issue which </w:t>
      </w:r>
      <w:r w:rsidR="00242F8B">
        <w:t>should be</w:t>
      </w:r>
      <w:r w:rsidR="007A4384">
        <w:t xml:space="preserve"> discuss</w:t>
      </w:r>
      <w:r w:rsidR="00242F8B">
        <w:t>ed</w:t>
      </w:r>
      <w:r w:rsidR="007A4384">
        <w:t xml:space="preserve"> in the plenary session.</w:t>
      </w:r>
    </w:p>
    <w:p w14:paraId="0943DDFA" w14:textId="762B4D73" w:rsidR="00614D10" w:rsidRDefault="00297AC5" w:rsidP="00614D10">
      <w:pPr>
        <w:pStyle w:val="SingleTxtG"/>
      </w:pPr>
      <w:r>
        <w:t>3.5</w:t>
      </w:r>
      <w:r>
        <w:tab/>
        <w:t xml:space="preserve">There are no </w:t>
      </w:r>
      <w:proofErr w:type="gramStart"/>
      <w:r>
        <w:t>general purpose</w:t>
      </w:r>
      <w:proofErr w:type="gramEnd"/>
      <w:r>
        <w:t xml:space="preserve"> standards for consideration t</w:t>
      </w:r>
      <w:r w:rsidR="0061645F">
        <w:t>h</w:t>
      </w:r>
      <w:r>
        <w:t>is session</w:t>
      </w:r>
      <w:r w:rsidR="0061645F">
        <w:t>.</w:t>
      </w:r>
    </w:p>
    <w:p w14:paraId="764735E0" w14:textId="13B41610" w:rsidR="0061645F" w:rsidRPr="0061645F" w:rsidRDefault="0061645F" w:rsidP="00614D10">
      <w:pPr>
        <w:pStyle w:val="SingleTxtG"/>
        <w:rPr>
          <w:b/>
          <w:sz w:val="24"/>
        </w:rPr>
      </w:pPr>
      <w:r w:rsidRPr="0061645F">
        <w:rPr>
          <w:b/>
          <w:sz w:val="24"/>
        </w:rPr>
        <w:t>Proposals</w:t>
      </w:r>
    </w:p>
    <w:p w14:paraId="0554AD80" w14:textId="6AD18985" w:rsidR="00193421" w:rsidRPr="00B3075F" w:rsidRDefault="00193421" w:rsidP="00614D10">
      <w:pPr>
        <w:pStyle w:val="SingleTxtG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614D10">
        <w:rPr>
          <w:b/>
          <w:bCs/>
        </w:rPr>
        <w:t>Proposed</w:t>
      </w:r>
      <w:r>
        <w:rPr>
          <w:b/>
        </w:rPr>
        <w:t xml:space="preserve"> </w:t>
      </w:r>
      <w:r w:rsidR="00A95E35">
        <w:rPr>
          <w:b/>
        </w:rPr>
        <w:t>additions</w:t>
      </w:r>
      <w:r>
        <w:rPr>
          <w:b/>
        </w:rPr>
        <w:t xml:space="preserve"> to the l</w:t>
      </w:r>
      <w:r w:rsidRPr="00E33565">
        <w:rPr>
          <w:b/>
        </w:rPr>
        <w:t>ist of standards for reference in RID/ADR 202</w:t>
      </w:r>
      <w:r w:rsidR="00E11BB2">
        <w:rPr>
          <w:b/>
        </w:rPr>
        <w:t>3</w:t>
      </w:r>
    </w:p>
    <w:p w14:paraId="338537CE" w14:textId="04ED6B6C" w:rsid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1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>
        <w:rPr>
          <w:b/>
          <w:bCs/>
          <w:u w:val="single"/>
        </w:rPr>
        <w:t>16148:2016 +A1:2020</w:t>
      </w:r>
    </w:p>
    <w:p w14:paraId="18BAA42B" w14:textId="77777777" w:rsidR="0094444F" w:rsidRPr="00F01354" w:rsidRDefault="0094444F" w:rsidP="0094444F">
      <w:pPr>
        <w:pStyle w:val="SingleTxtG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3454EEEA" w14:textId="367F345B" w:rsidR="00193421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4.2.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91597A">
        <w:rPr>
          <w:b/>
          <w:bCs/>
          <w:u w:val="single"/>
        </w:rPr>
        <w:t>13175:2019</w:t>
      </w:r>
      <w:r w:rsidR="00955410">
        <w:rPr>
          <w:b/>
          <w:bCs/>
          <w:u w:val="single"/>
        </w:rPr>
        <w:t xml:space="preserve"> + A</w:t>
      </w:r>
      <w:r w:rsidR="006E2CC1">
        <w:rPr>
          <w:b/>
          <w:bCs/>
          <w:u w:val="single"/>
        </w:rPr>
        <w:t>1</w:t>
      </w:r>
      <w:r w:rsidR="00955410">
        <w:rPr>
          <w:b/>
          <w:bCs/>
          <w:u w:val="single"/>
        </w:rPr>
        <w:t>:2020</w:t>
      </w:r>
    </w:p>
    <w:p w14:paraId="395E699D" w14:textId="1C92B5AA" w:rsidR="00193421" w:rsidRPr="00E33565" w:rsidRDefault="00193421" w:rsidP="00CC2CB9">
      <w:pPr>
        <w:pStyle w:val="SingleTxtG"/>
      </w:pPr>
      <w:r w:rsidRPr="00E33565">
        <w:t>6.2.4.1</w:t>
      </w:r>
      <w:r>
        <w:tab/>
      </w:r>
      <w:r>
        <w:tab/>
      </w:r>
      <w:r w:rsidRPr="00E33565">
        <w:t>Amend the Table, under “</w:t>
      </w:r>
      <w:r w:rsidR="0091597A">
        <w:t>for closures</w:t>
      </w:r>
      <w:r w:rsidRPr="00E33565">
        <w:t>”, as follows:</w:t>
      </w:r>
    </w:p>
    <w:p w14:paraId="56571E8D" w14:textId="3B582C22" w:rsidR="008330FC" w:rsidRPr="00F01354" w:rsidRDefault="008330FC" w:rsidP="008330FC">
      <w:pPr>
        <w:pStyle w:val="Bullet1G"/>
        <w:numPr>
          <w:ilvl w:val="0"/>
          <w:numId w:val="29"/>
        </w:numPr>
        <w:tabs>
          <w:tab w:val="left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7A4384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7A4384">
        <w:t>21</w:t>
      </w:r>
      <w:r w:rsidRPr="00F01354">
        <w:t xml:space="preserve"> and 31 December 20</w:t>
      </w:r>
      <w:r w:rsidR="007A4384">
        <w:t>24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118"/>
        <w:gridCol w:w="1276"/>
        <w:gridCol w:w="851"/>
        <w:gridCol w:w="283"/>
      </w:tblGrid>
      <w:tr w:rsidR="008330FC" w:rsidRPr="002E3365" w14:paraId="2AC4956A" w14:textId="77777777" w:rsidTr="00955410">
        <w:trPr>
          <w:cantSplit/>
        </w:trPr>
        <w:tc>
          <w:tcPr>
            <w:tcW w:w="1949" w:type="dxa"/>
          </w:tcPr>
          <w:p w14:paraId="00B1636B" w14:textId="7B8A19C4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118" w:type="dxa"/>
          </w:tcPr>
          <w:p w14:paraId="303FAC01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</w:tcPr>
          <w:p w14:paraId="15B67BAF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6.2.3.1 and 6.2.3.3</w:t>
            </w:r>
          </w:p>
        </w:tc>
        <w:tc>
          <w:tcPr>
            <w:tcW w:w="851" w:type="dxa"/>
          </w:tcPr>
          <w:p w14:paraId="14B394F9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</w:tcPr>
          <w:p w14:paraId="4866CC9E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2684E6DD" w14:textId="77777777" w:rsidR="00F5361D" w:rsidRDefault="00F5361D" w:rsidP="00F5361D">
      <w:pPr>
        <w:pStyle w:val="Bullet1G"/>
        <w:tabs>
          <w:tab w:val="left" w:pos="1418"/>
        </w:tabs>
        <w:suppressAutoHyphens/>
        <w:spacing w:before="120" w:line="240" w:lineRule="atLeast"/>
      </w:pPr>
    </w:p>
    <w:p w14:paraId="29941A98" w14:textId="187C29E2" w:rsidR="008330FC" w:rsidRPr="008330FC" w:rsidRDefault="00F5361D" w:rsidP="008330FC">
      <w:pPr>
        <w:pStyle w:val="Bullet1G"/>
        <w:tabs>
          <w:tab w:val="left" w:pos="1418"/>
        </w:tabs>
        <w:suppressAutoHyphens/>
        <w:spacing w:before="120" w:line="240" w:lineRule="atLeast"/>
        <w:ind w:left="1134"/>
      </w:pPr>
      <w:r>
        <w:lastRenderedPageBreak/>
        <w:t>(ADR</w:t>
      </w:r>
      <w:r w:rsidR="009A16C9">
        <w:t xml:space="preserve"> only</w:t>
      </w:r>
      <w:r>
        <w:t xml:space="preserve">) </w:t>
      </w:r>
      <w:r w:rsidR="008330FC">
        <w:t>6.8.2.6.1</w:t>
      </w:r>
      <w:r w:rsidR="008330FC">
        <w:tab/>
        <w:t xml:space="preserve">Amend the table under “for </w:t>
      </w:r>
      <w:r w:rsidR="00322DEC">
        <w:t>equipment”</w:t>
      </w:r>
      <w:r w:rsidR="00322DEC" w:rsidRPr="00322DEC">
        <w:t xml:space="preserve"> </w:t>
      </w:r>
      <w:r w:rsidR="00322DEC">
        <w:t>as follows:</w:t>
      </w:r>
    </w:p>
    <w:p w14:paraId="35069ADF" w14:textId="548284DC" w:rsidR="008330FC" w:rsidRPr="00F01354" w:rsidRDefault="008330FC" w:rsidP="008330F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955410">
        <w:t>21</w:t>
      </w:r>
      <w:r w:rsidRPr="00F01354">
        <w:t xml:space="preserve"> and 31 December 202</w:t>
      </w:r>
      <w:r w:rsidR="00955410">
        <w:t>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95541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402"/>
        <w:gridCol w:w="1276"/>
        <w:gridCol w:w="851"/>
        <w:gridCol w:w="283"/>
      </w:tblGrid>
      <w:tr w:rsidR="008330FC" w:rsidRPr="002E3365" w14:paraId="39DF6841" w14:textId="77777777" w:rsidTr="0034572A">
        <w:tc>
          <w:tcPr>
            <w:tcW w:w="1665" w:type="dxa"/>
            <w:vAlign w:val="center"/>
          </w:tcPr>
          <w:p w14:paraId="3CEA496D" w14:textId="5ED1AF2F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402" w:type="dxa"/>
          </w:tcPr>
          <w:p w14:paraId="030FA767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  <w:vAlign w:val="center"/>
          </w:tcPr>
          <w:p w14:paraId="0A95D4DE" w14:textId="602FB4CC" w:rsidR="008330FC" w:rsidRPr="002E3365" w:rsidRDefault="00BE49ED" w:rsidP="00EB43C8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851" w:type="dxa"/>
            <w:vAlign w:val="center"/>
          </w:tcPr>
          <w:p w14:paraId="3113EFD7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  <w:vAlign w:val="center"/>
          </w:tcPr>
          <w:p w14:paraId="64E4D57F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4C2AB8DE" w14:textId="6BBB0026" w:rsidR="0094444F" w:rsidRDefault="0094444F" w:rsidP="00F52987">
      <w:pPr>
        <w:pStyle w:val="Bullet1G"/>
        <w:spacing w:before="120"/>
        <w:ind w:left="1701" w:hanging="567"/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3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>17339:2020</w:t>
      </w:r>
    </w:p>
    <w:p w14:paraId="1E02FFC8" w14:textId="65F1439D" w:rsidR="0094444F" w:rsidRDefault="0094444F" w:rsidP="0094444F">
      <w:pPr>
        <w:pStyle w:val="SingleTxtG"/>
      </w:pPr>
      <w:r>
        <w:t>6.4.2.</w:t>
      </w:r>
      <w:r w:rsidR="001361B9">
        <w:t>1</w:t>
      </w:r>
      <w:r>
        <w:tab/>
      </w:r>
      <w:r>
        <w:tab/>
      </w:r>
      <w:r w:rsidR="00297AC5">
        <w:t>In the table “for design and construction”, i</w:t>
      </w:r>
      <w:r w:rsidR="001361B9">
        <w:t>nsert the following new row after the row beginning EN 14638-3:2010 +A1:2012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43"/>
        <w:gridCol w:w="1134"/>
        <w:gridCol w:w="851"/>
        <w:gridCol w:w="425"/>
      </w:tblGrid>
      <w:tr w:rsidR="001361B9" w:rsidRPr="00564F4E" w14:paraId="3E0C9EB9" w14:textId="77777777" w:rsidTr="0034572A">
        <w:tc>
          <w:tcPr>
            <w:tcW w:w="1524" w:type="dxa"/>
            <w:vAlign w:val="center"/>
          </w:tcPr>
          <w:p w14:paraId="40986EC9" w14:textId="1853CBE6" w:rsidR="001361B9" w:rsidRPr="00564F4E" w:rsidRDefault="001361B9" w:rsidP="0009095F">
            <w:pPr>
              <w:widowControl w:val="0"/>
              <w:spacing w:before="60" w:after="60"/>
            </w:pPr>
            <w:r w:rsidRPr="00F01354">
              <w:rPr>
                <w:bCs/>
              </w:rPr>
              <w:t>EN</w:t>
            </w:r>
            <w:r w:rsidR="0034572A">
              <w:rPr>
                <w:bCs/>
              </w:rPr>
              <w:t xml:space="preserve"> </w:t>
            </w:r>
            <w:r>
              <w:rPr>
                <w:bCs/>
              </w:rPr>
              <w:t>17339:</w:t>
            </w:r>
            <w:r w:rsidRPr="00F01354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3543" w:type="dxa"/>
          </w:tcPr>
          <w:p w14:paraId="32DEE053" w14:textId="0913588E" w:rsidR="001361B9" w:rsidRPr="00564F4E" w:rsidRDefault="001361B9" w:rsidP="0009095F">
            <w:pPr>
              <w:widowControl w:val="0"/>
              <w:spacing w:before="60" w:after="120"/>
            </w:pPr>
            <w:r>
              <w:rPr>
                <w:bCs/>
              </w:rPr>
              <w:t>Transportable g</w:t>
            </w:r>
            <w:r w:rsidRPr="00F01354">
              <w:rPr>
                <w:bCs/>
              </w:rPr>
              <w:t xml:space="preserve">as cylinders </w:t>
            </w:r>
            <w:r w:rsidRPr="00F01354">
              <w:t>–</w:t>
            </w:r>
            <w:r w:rsidRPr="00F01354">
              <w:rPr>
                <w:bCs/>
              </w:rPr>
              <w:t xml:space="preserve"> </w:t>
            </w:r>
            <w:r>
              <w:rPr>
                <w:bCs/>
              </w:rPr>
              <w:t>Fully wrapped carbon composite cylinders and tubes for hydrogen.</w:t>
            </w:r>
          </w:p>
        </w:tc>
        <w:tc>
          <w:tcPr>
            <w:tcW w:w="1134" w:type="dxa"/>
            <w:vAlign w:val="center"/>
          </w:tcPr>
          <w:p w14:paraId="2B5098AF" w14:textId="77777777" w:rsidR="001361B9" w:rsidRPr="00564F4E" w:rsidRDefault="001361B9" w:rsidP="0009095F">
            <w:pPr>
              <w:widowControl w:val="0"/>
              <w:spacing w:before="60" w:after="60"/>
            </w:pPr>
            <w:r>
              <w:t>6.2.3.1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4DFE44D2" w14:textId="77777777" w:rsidR="001361B9" w:rsidRPr="00564F4E" w:rsidRDefault="001361B9" w:rsidP="0009095F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EA2FE90" w14:textId="77777777" w:rsidR="001361B9" w:rsidRPr="00564F4E" w:rsidRDefault="001361B9" w:rsidP="0009095F">
            <w:pPr>
              <w:widowControl w:val="0"/>
              <w:spacing w:before="60" w:after="60"/>
            </w:pPr>
          </w:p>
        </w:tc>
      </w:tr>
    </w:tbl>
    <w:p w14:paraId="403E3ED0" w14:textId="614906EF" w:rsidR="0094444F" w:rsidRP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4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94444F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 xml:space="preserve">ISO </w:t>
      </w:r>
      <w:r w:rsidRPr="0094444F">
        <w:rPr>
          <w:b/>
          <w:bCs/>
          <w:u w:val="single"/>
        </w:rPr>
        <w:t>1</w:t>
      </w:r>
      <w:r w:rsidR="001361B9">
        <w:rPr>
          <w:b/>
          <w:bCs/>
          <w:u w:val="single"/>
        </w:rPr>
        <w:t>111</w:t>
      </w:r>
      <w:r w:rsidRPr="0094444F">
        <w:rPr>
          <w:b/>
          <w:bCs/>
          <w:u w:val="single"/>
        </w:rPr>
        <w:t>4</w:t>
      </w:r>
      <w:r w:rsidR="009A16C9">
        <w:rPr>
          <w:b/>
          <w:bCs/>
          <w:u w:val="single"/>
        </w:rPr>
        <w:t>-1</w:t>
      </w:r>
      <w:r w:rsidRPr="0094444F">
        <w:rPr>
          <w:b/>
          <w:bCs/>
          <w:u w:val="single"/>
        </w:rPr>
        <w:t>:20</w:t>
      </w:r>
      <w:r w:rsidR="001361B9">
        <w:rPr>
          <w:b/>
          <w:bCs/>
          <w:u w:val="single"/>
        </w:rPr>
        <w:t>20</w:t>
      </w:r>
    </w:p>
    <w:p w14:paraId="272F7A9A" w14:textId="20699864" w:rsidR="0094444F" w:rsidRDefault="0094444F" w:rsidP="001361B9">
      <w:pPr>
        <w:pStyle w:val="SingleTxtG"/>
      </w:pPr>
      <w:r>
        <w:t>4.</w:t>
      </w:r>
      <w:r w:rsidR="001361B9">
        <w:t>1.6.15</w:t>
      </w:r>
      <w:r>
        <w:tab/>
      </w:r>
      <w:r w:rsidR="001361B9">
        <w:t xml:space="preserve">In the first row </w:t>
      </w:r>
      <w:r w:rsidR="0034572A">
        <w:t>of the table replace “EN ISO 11114-1:2012 + A1:2017</w:t>
      </w:r>
      <w:r w:rsidR="006F6363">
        <w:t>”</w:t>
      </w:r>
      <w:r w:rsidR="0034572A">
        <w:t xml:space="preserve"> by “EN ISO 11114-1:2020</w:t>
      </w:r>
      <w:r w:rsidR="00E30E8C">
        <w:t>”</w:t>
      </w:r>
    </w:p>
    <w:p w14:paraId="0DB1F3D2" w14:textId="5B753E31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5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34572A">
        <w:rPr>
          <w:b/>
          <w:bCs/>
          <w:u w:val="single"/>
        </w:rPr>
        <w:t>13953:2020</w:t>
      </w:r>
    </w:p>
    <w:p w14:paraId="7EE3778F" w14:textId="3A5865DB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6.2.4.</w:t>
      </w:r>
      <w:r w:rsidR="00322DEC"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 xml:space="preserve">Amend the </w:t>
      </w:r>
      <w:r w:rsidR="00322DEC">
        <w:rPr>
          <w:bCs/>
        </w:rPr>
        <w:t>t</w:t>
      </w:r>
      <w:r w:rsidRPr="00E33565">
        <w:rPr>
          <w:bCs/>
        </w:rPr>
        <w:t>able, under “</w:t>
      </w:r>
      <w:r w:rsidR="00322DEC">
        <w:rPr>
          <w:bCs/>
        </w:rPr>
        <w:t>for design and construction</w:t>
      </w:r>
      <w:r w:rsidRPr="00E33565">
        <w:rPr>
          <w:bCs/>
        </w:rPr>
        <w:t>”, as follows:</w:t>
      </w:r>
    </w:p>
    <w:p w14:paraId="6E0AA998" w14:textId="0E902129" w:rsidR="00322DEC" w:rsidRDefault="00322DEC" w:rsidP="00322DE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 w:rsidRPr="00917A82">
        <w:t>For “</w:t>
      </w:r>
      <w:r w:rsidRPr="00917A82">
        <w:rPr>
          <w:bCs/>
        </w:rPr>
        <w:t xml:space="preserve">EN </w:t>
      </w:r>
      <w:r w:rsidR="00E30E8C">
        <w:rPr>
          <w:bCs/>
        </w:rPr>
        <w:t>13953</w:t>
      </w:r>
      <w:r w:rsidRPr="00917A82">
        <w:rPr>
          <w:bCs/>
        </w:rPr>
        <w:t>:201</w:t>
      </w:r>
      <w:r w:rsidR="00E30E8C">
        <w:rPr>
          <w:bCs/>
        </w:rPr>
        <w:t>5</w:t>
      </w:r>
      <w:r w:rsidRPr="00917A82">
        <w:t>”, in column (4), replace “Until further notice” by “Between 1 January 201</w:t>
      </w:r>
      <w:r w:rsidR="00E30E8C">
        <w:t>7</w:t>
      </w:r>
      <w:r w:rsidRPr="00917A82">
        <w:t xml:space="preserve"> and 31 December 202</w:t>
      </w:r>
      <w:r w:rsidR="00E30E8C">
        <w:t>4</w:t>
      </w:r>
      <w:r w:rsidRPr="00917A82">
        <w:t>”. After the row for “</w:t>
      </w:r>
      <w:r w:rsidRPr="00917A82">
        <w:rPr>
          <w:bCs/>
        </w:rPr>
        <w:t xml:space="preserve">EN </w:t>
      </w:r>
      <w:r>
        <w:rPr>
          <w:bCs/>
        </w:rPr>
        <w:t>1</w:t>
      </w:r>
      <w:r w:rsidR="00E30E8C">
        <w:rPr>
          <w:bCs/>
        </w:rPr>
        <w:t>3094:</w:t>
      </w:r>
      <w:r w:rsidRPr="00917A82">
        <w:rPr>
          <w:bCs/>
        </w:rPr>
        <w:t>201</w:t>
      </w:r>
      <w:r w:rsidR="00E30E8C">
        <w:rPr>
          <w:bCs/>
        </w:rPr>
        <w:t>5</w:t>
      </w:r>
      <w:r w:rsidRPr="00917A82">
        <w:t>”, insert the following row: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752"/>
        <w:gridCol w:w="1134"/>
        <w:gridCol w:w="851"/>
        <w:gridCol w:w="425"/>
      </w:tblGrid>
      <w:tr w:rsidR="00322DEC" w:rsidRPr="00564F4E" w14:paraId="3C1D5D43" w14:textId="77777777" w:rsidTr="009F6961">
        <w:tc>
          <w:tcPr>
            <w:tcW w:w="1315" w:type="dxa"/>
            <w:vAlign w:val="center"/>
          </w:tcPr>
          <w:p w14:paraId="2A191592" w14:textId="2284ED09" w:rsidR="00322DEC" w:rsidRPr="00564F4E" w:rsidRDefault="00322DEC" w:rsidP="00EB43C8">
            <w:pPr>
              <w:widowControl w:val="0"/>
              <w:spacing w:before="60" w:after="60"/>
            </w:pPr>
            <w:r w:rsidRPr="00F01354">
              <w:rPr>
                <w:bCs/>
              </w:rPr>
              <w:t xml:space="preserve">EN </w:t>
            </w:r>
            <w:r w:rsidR="00E30E8C">
              <w:rPr>
                <w:bCs/>
              </w:rPr>
              <w:t>13953</w:t>
            </w:r>
            <w:r w:rsidRPr="00F01354">
              <w:rPr>
                <w:bCs/>
              </w:rPr>
              <w:t>:20</w:t>
            </w:r>
            <w:r w:rsidR="00E30E8C">
              <w:rPr>
                <w:bCs/>
              </w:rPr>
              <w:t>20</w:t>
            </w:r>
          </w:p>
        </w:tc>
        <w:tc>
          <w:tcPr>
            <w:tcW w:w="3752" w:type="dxa"/>
          </w:tcPr>
          <w:p w14:paraId="1F5D4481" w14:textId="61B2F3FB" w:rsidR="00322DEC" w:rsidRPr="00564F4E" w:rsidRDefault="00E30E8C" w:rsidP="00EB43C8">
            <w:pPr>
              <w:widowControl w:val="0"/>
              <w:spacing w:before="60" w:after="120"/>
            </w:pPr>
            <w:r>
              <w:rPr>
                <w:bCs/>
              </w:rPr>
              <w:t>LPG equipment and accessories – Pressure relief valves for transportable refillable cylinders for Liquefied Petroleum Gas (LPG)</w:t>
            </w:r>
          </w:p>
        </w:tc>
        <w:tc>
          <w:tcPr>
            <w:tcW w:w="1134" w:type="dxa"/>
            <w:vAlign w:val="center"/>
          </w:tcPr>
          <w:p w14:paraId="5819C0C2" w14:textId="17FE98A6" w:rsidR="00322DEC" w:rsidRPr="00564F4E" w:rsidRDefault="00322DEC" w:rsidP="00EB43C8">
            <w:pPr>
              <w:widowControl w:val="0"/>
              <w:spacing w:before="60" w:after="60"/>
            </w:pPr>
            <w:r>
              <w:t>6.2.3.1</w:t>
            </w:r>
            <w:r w:rsidR="00E30E8C">
              <w:t>, 6.2.3.3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6F04BFA5" w14:textId="77777777" w:rsidR="00322DEC" w:rsidRPr="00564F4E" w:rsidRDefault="00322DEC" w:rsidP="00EB43C8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4390FBC" w14:textId="77777777" w:rsidR="00322DEC" w:rsidRPr="00564F4E" w:rsidRDefault="00322DEC" w:rsidP="00EB43C8">
            <w:pPr>
              <w:widowControl w:val="0"/>
              <w:spacing w:before="60" w:after="60"/>
            </w:pPr>
          </w:p>
        </w:tc>
      </w:tr>
    </w:tbl>
    <w:p w14:paraId="531AE212" w14:textId="5FD94921" w:rsidR="0094444F" w:rsidRPr="001E1A82" w:rsidRDefault="0094444F" w:rsidP="00F52987">
      <w:pPr>
        <w:pStyle w:val="Bullet1G"/>
        <w:spacing w:before="120"/>
        <w:ind w:left="1701" w:hanging="567"/>
        <w:rPr>
          <w:b/>
          <w:bCs/>
        </w:rPr>
      </w:pPr>
      <w:r w:rsidRPr="00614D10">
        <w:rPr>
          <w:b/>
          <w:bCs/>
        </w:rPr>
        <w:t>4.</w:t>
      </w:r>
      <w:r w:rsidR="001E1A82">
        <w:rPr>
          <w:b/>
          <w:bCs/>
        </w:rPr>
        <w:t>6</w:t>
      </w:r>
      <w:r w:rsidR="00D42FE3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 w:rsidR="00E30E8C">
        <w:rPr>
          <w:b/>
          <w:bCs/>
          <w:u w:val="single"/>
        </w:rPr>
        <w:t>7866</w:t>
      </w:r>
      <w:r>
        <w:rPr>
          <w:b/>
          <w:bCs/>
          <w:u w:val="single"/>
        </w:rPr>
        <w:t>:201</w:t>
      </w:r>
      <w:r w:rsidR="001E1A82">
        <w:rPr>
          <w:b/>
          <w:bCs/>
          <w:u w:val="single"/>
        </w:rPr>
        <w:t>2 +AC:2014</w:t>
      </w:r>
      <w:r>
        <w:rPr>
          <w:b/>
          <w:bCs/>
          <w:u w:val="single"/>
        </w:rPr>
        <w:t xml:space="preserve"> </w:t>
      </w:r>
      <w:r w:rsidR="001E1A82">
        <w:rPr>
          <w:b/>
          <w:bCs/>
          <w:u w:val="single"/>
        </w:rPr>
        <w:t>which has superseded</w:t>
      </w:r>
      <w:r>
        <w:rPr>
          <w:b/>
          <w:bCs/>
          <w:u w:val="single"/>
        </w:rPr>
        <w:t xml:space="preserve"> </w:t>
      </w:r>
      <w:r w:rsidRPr="00F04571">
        <w:rPr>
          <w:b/>
          <w:bCs/>
          <w:u w:val="single"/>
        </w:rPr>
        <w:t>EN 19</w:t>
      </w:r>
      <w:r w:rsidR="001E1A82">
        <w:rPr>
          <w:b/>
          <w:bCs/>
          <w:u w:val="single"/>
        </w:rPr>
        <w:t>7</w:t>
      </w:r>
      <w:r w:rsidRPr="00F04571">
        <w:rPr>
          <w:b/>
          <w:bCs/>
          <w:u w:val="single"/>
        </w:rPr>
        <w:t>5:19</w:t>
      </w:r>
      <w:r w:rsidR="001E1A82">
        <w:rPr>
          <w:b/>
          <w:bCs/>
          <w:u w:val="single"/>
        </w:rPr>
        <w:t>99</w:t>
      </w:r>
      <w:r w:rsidR="00C82AD8">
        <w:rPr>
          <w:b/>
          <w:bCs/>
          <w:u w:val="single"/>
        </w:rPr>
        <w:t>+</w:t>
      </w:r>
      <w:r w:rsidR="001E1A82">
        <w:rPr>
          <w:b/>
          <w:bCs/>
          <w:u w:val="single"/>
        </w:rPr>
        <w:t>A1:2003</w:t>
      </w:r>
    </w:p>
    <w:p w14:paraId="495FB417" w14:textId="790C3B7D" w:rsidR="0094444F" w:rsidRPr="00297AC5" w:rsidRDefault="001E1A82" w:rsidP="0094444F">
      <w:pPr>
        <w:spacing w:before="120" w:after="120"/>
        <w:ind w:left="1134" w:right="1134"/>
        <w:rPr>
          <w:bCs/>
        </w:rPr>
      </w:pPr>
      <w:r>
        <w:rPr>
          <w:bCs/>
        </w:rPr>
        <w:t>6.2.5.4.2</w:t>
      </w:r>
      <w:r>
        <w:rPr>
          <w:bCs/>
        </w:rPr>
        <w:tab/>
        <w:t>At the end of the sentence replace “(see also</w:t>
      </w:r>
      <w:r w:rsidR="00297AC5">
        <w:rPr>
          <w:bCs/>
        </w:rPr>
        <w:t xml:space="preserve"> EN </w:t>
      </w:r>
      <w:r w:rsidR="00297AC5" w:rsidRPr="00297AC5">
        <w:rPr>
          <w:bCs/>
        </w:rPr>
        <w:t xml:space="preserve">1975:1999 </w:t>
      </w:r>
      <w:r w:rsidR="0042633E">
        <w:rPr>
          <w:bCs/>
        </w:rPr>
        <w:t xml:space="preserve">+ </w:t>
      </w:r>
      <w:r w:rsidR="00297AC5" w:rsidRPr="00297AC5">
        <w:rPr>
          <w:bCs/>
        </w:rPr>
        <w:t>A1:2003</w:t>
      </w:r>
      <w:r w:rsidR="00297AC5">
        <w:rPr>
          <w:bCs/>
        </w:rPr>
        <w:t xml:space="preserve">)” by </w:t>
      </w:r>
      <w:r w:rsidR="00297AC5" w:rsidRPr="00297AC5">
        <w:rPr>
          <w:bCs/>
        </w:rPr>
        <w:t>“(see also EN ISO 7866:2012 +AC:2014</w:t>
      </w:r>
      <w:r w:rsidR="00297AC5">
        <w:rPr>
          <w:bCs/>
        </w:rPr>
        <w:t>)”.</w:t>
      </w:r>
    </w:p>
    <w:p w14:paraId="38078564" w14:textId="75F3727F" w:rsidR="001108F0" w:rsidRDefault="00297AC5" w:rsidP="00297AC5">
      <w:pPr>
        <w:pStyle w:val="Bullet1G"/>
        <w:tabs>
          <w:tab w:val="left" w:pos="1701"/>
        </w:tabs>
        <w:suppressAutoHyphens/>
        <w:spacing w:before="120" w:line="240" w:lineRule="atLeast"/>
        <w:ind w:left="1134"/>
        <w:rPr>
          <w:b/>
        </w:rPr>
      </w:pPr>
      <w:r>
        <w:rPr>
          <w:b/>
        </w:rPr>
        <w:t>5.</w:t>
      </w:r>
      <w:r>
        <w:rPr>
          <w:b/>
        </w:rPr>
        <w:tab/>
        <w:t>General remark</w:t>
      </w:r>
    </w:p>
    <w:p w14:paraId="2DE475EC" w14:textId="591E322D" w:rsidR="0061645F" w:rsidRPr="0061645F" w:rsidRDefault="0061645F" w:rsidP="00C149B1">
      <w:pPr>
        <w:pStyle w:val="Bullet1G"/>
        <w:tabs>
          <w:tab w:val="left" w:pos="1701"/>
        </w:tabs>
        <w:suppressAutoHyphens/>
        <w:spacing w:before="120" w:line="240" w:lineRule="atLeast"/>
        <w:ind w:left="1134"/>
      </w:pPr>
      <w:r w:rsidRPr="0061645F">
        <w:t>5.1</w:t>
      </w:r>
      <w:r>
        <w:tab/>
      </w:r>
      <w:r w:rsidR="00C149B1">
        <w:t xml:space="preserve">The </w:t>
      </w:r>
      <w:r w:rsidR="00D42FE3">
        <w:t>a</w:t>
      </w:r>
      <w:r w:rsidR="00C149B1">
        <w:t xml:space="preserve">nnex to this report presents the </w:t>
      </w:r>
      <w:r w:rsidR="002136D7">
        <w:t xml:space="preserve">above proposed </w:t>
      </w:r>
      <w:r w:rsidR="00C149B1">
        <w:t xml:space="preserve">amendments in the format </w:t>
      </w:r>
      <w:r w:rsidR="002136D7">
        <w:t xml:space="preserve">used by the </w:t>
      </w:r>
      <w:r w:rsidR="00D42FE3">
        <w:t>s</w:t>
      </w:r>
      <w:r w:rsidR="002136D7">
        <w:t xml:space="preserve">ecretariats of </w:t>
      </w:r>
      <w:r w:rsidR="00D42FE3">
        <w:t xml:space="preserve">the </w:t>
      </w:r>
      <w:r w:rsidR="002136D7">
        <w:t>Joint Meeting.</w:t>
      </w:r>
    </w:p>
    <w:p w14:paraId="30539806" w14:textId="77777777" w:rsidR="001108F0" w:rsidRPr="001108F0" w:rsidRDefault="001108F0" w:rsidP="001108F0">
      <w:pPr>
        <w:pStyle w:val="Bullet1G"/>
        <w:tabs>
          <w:tab w:val="num" w:pos="2581"/>
        </w:tabs>
        <w:suppressAutoHyphens/>
        <w:spacing w:before="120" w:line="240" w:lineRule="atLeast"/>
        <w:ind w:left="1701" w:hanging="170"/>
      </w:pPr>
    </w:p>
    <w:p w14:paraId="21B0C82E" w14:textId="77777777" w:rsidR="00245DD6" w:rsidRDefault="00245DD6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652FE905" w14:textId="79429536" w:rsidR="00193421" w:rsidRDefault="001100E6" w:rsidP="001100E6">
      <w:pPr>
        <w:pStyle w:val="HChG"/>
      </w:pPr>
      <w:r>
        <w:lastRenderedPageBreak/>
        <w:tab/>
      </w:r>
      <w:r>
        <w:tab/>
      </w:r>
      <w:r w:rsidR="00245DD6" w:rsidRPr="00245DD6">
        <w:t>Annex</w:t>
      </w:r>
    </w:p>
    <w:p w14:paraId="2AC70619" w14:textId="4C58A0BE" w:rsidR="00245DD6" w:rsidRDefault="00245DD6" w:rsidP="009E0AE4">
      <w:pPr>
        <w:pStyle w:val="H1G"/>
        <w:ind w:right="283"/>
      </w:pPr>
      <w:r>
        <w:tab/>
      </w:r>
      <w:r>
        <w:tab/>
        <w:t xml:space="preserve">Amendments proposed by the Working Group on </w:t>
      </w:r>
      <w:proofErr w:type="gramStart"/>
      <w:r>
        <w:t>Standards</w:t>
      </w:r>
      <w:r w:rsidR="009E0AE4">
        <w:t xml:space="preserve">  [</w:t>
      </w:r>
      <w:proofErr w:type="gramEnd"/>
      <w:r w:rsidR="009E0AE4">
        <w:t>ENGLISH]</w:t>
      </w:r>
    </w:p>
    <w:p w14:paraId="0A05D4D5" w14:textId="77777777" w:rsidR="00245DD6" w:rsidRDefault="00245DD6" w:rsidP="001A7A74">
      <w:pPr>
        <w:pStyle w:val="H1G"/>
      </w:pPr>
      <w:r w:rsidRPr="00A11E49">
        <w:tab/>
      </w:r>
      <w:r>
        <w:tab/>
      </w:r>
      <w:r w:rsidRPr="00A11E49">
        <w:t>Chapter 4.1</w:t>
      </w:r>
    </w:p>
    <w:p w14:paraId="75D9F500" w14:textId="551A412B" w:rsidR="0042633E" w:rsidRDefault="00245DD6" w:rsidP="0042633E">
      <w:pPr>
        <w:pStyle w:val="SingleTxtG"/>
        <w:spacing w:after="240"/>
        <w:ind w:left="2259" w:hanging="1125"/>
      </w:pPr>
      <w:r>
        <w:t>4.1.</w:t>
      </w:r>
      <w:r w:rsidR="00155BE7">
        <w:t>6</w:t>
      </w:r>
      <w:r>
        <w:t>.1</w:t>
      </w:r>
      <w:r w:rsidR="002136D7">
        <w:t>5</w:t>
      </w:r>
      <w:r w:rsidRPr="00A11E49">
        <w:tab/>
      </w:r>
      <w:r w:rsidR="0042633E">
        <w:rPr>
          <w:bCs/>
        </w:rPr>
        <w:t xml:space="preserve">In the table for “4.1.6.2”, first row, second column, replace </w:t>
      </w:r>
      <w:bookmarkStart w:id="1" w:name="_Hlk515970433"/>
      <w:r w:rsidR="0042633E">
        <w:rPr>
          <w:bCs/>
        </w:rPr>
        <w:t xml:space="preserve">“EN </w:t>
      </w:r>
      <w:r w:rsidR="0042633E">
        <w:t>ISO</w:t>
      </w:r>
      <w:bookmarkEnd w:id="1"/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 xml:space="preserve">2012 + A1:2017” by “EN </w:t>
      </w:r>
      <w:r w:rsidR="0042633E">
        <w:t>ISO</w:t>
      </w:r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>2020”.</w:t>
      </w:r>
    </w:p>
    <w:p w14:paraId="4598FC1B" w14:textId="77777777" w:rsidR="0042633E" w:rsidRPr="00F01354" w:rsidRDefault="0042633E" w:rsidP="0042633E">
      <w:pPr>
        <w:pStyle w:val="SingleTxtG"/>
        <w:spacing w:after="240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190C826F" w14:textId="16CD6306" w:rsidR="0042633E" w:rsidRPr="00E33565" w:rsidRDefault="0042633E" w:rsidP="0042633E">
      <w:pPr>
        <w:pStyle w:val="SingleTxtG"/>
      </w:pPr>
      <w:r w:rsidRPr="00E33565">
        <w:t>6.2.4.1</w:t>
      </w:r>
      <w:r>
        <w:tab/>
      </w:r>
      <w:r>
        <w:tab/>
        <w:t>In</w:t>
      </w:r>
      <w:r w:rsidRPr="00E33565">
        <w:t xml:space="preserve"> the </w:t>
      </w:r>
      <w:r>
        <w:t>t</w:t>
      </w:r>
      <w:r w:rsidRPr="00E33565">
        <w:t>able, under “</w:t>
      </w:r>
      <w:r>
        <w:t>for design and construction</w:t>
      </w:r>
      <w:r w:rsidRPr="00E33565">
        <w:t xml:space="preserve">”, </w:t>
      </w:r>
      <w:r>
        <w:t>add the following new row</w:t>
      </w:r>
      <w:r w:rsidRPr="00E33565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55C4C89D" w14:textId="77777777" w:rsidTr="0009095F">
        <w:tc>
          <w:tcPr>
            <w:tcW w:w="1701" w:type="dxa"/>
            <w:vAlign w:val="center"/>
          </w:tcPr>
          <w:p w14:paraId="0FF4A203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</w:t>
            </w:r>
            <w:r>
              <w:t>7339</w:t>
            </w:r>
            <w:r w:rsidRPr="002E3365">
              <w:t>:20</w:t>
            </w:r>
            <w:r>
              <w:t>20</w:t>
            </w:r>
            <w:r w:rsidRPr="002E3365">
              <w:t xml:space="preserve"> </w:t>
            </w:r>
          </w:p>
          <w:p w14:paraId="36F7FDB8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  <w:tc>
          <w:tcPr>
            <w:tcW w:w="3686" w:type="dxa"/>
          </w:tcPr>
          <w:p w14:paraId="62CD5143" w14:textId="77777777" w:rsidR="0042633E" w:rsidRPr="002E3365" w:rsidRDefault="0042633E" w:rsidP="0009095F">
            <w:pPr>
              <w:widowControl w:val="0"/>
              <w:spacing w:before="60" w:after="120"/>
            </w:pPr>
            <w:r>
              <w:t>Transportable gas cylinders – Fully wrapped carbon composite cylinders and tubes for hydrogen</w:t>
            </w:r>
          </w:p>
        </w:tc>
        <w:tc>
          <w:tcPr>
            <w:tcW w:w="1417" w:type="dxa"/>
            <w:vAlign w:val="center"/>
          </w:tcPr>
          <w:p w14:paraId="79B353E0" w14:textId="469BBF8C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6.2.3.1 and 6.2.3.</w:t>
            </w:r>
            <w:r w:rsidR="009C500D">
              <w:t>4</w:t>
            </w:r>
          </w:p>
        </w:tc>
        <w:tc>
          <w:tcPr>
            <w:tcW w:w="992" w:type="dxa"/>
            <w:vAlign w:val="center"/>
          </w:tcPr>
          <w:p w14:paraId="6FA59EB9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3FC72435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7951142F" w14:textId="77777777" w:rsidR="0042633E" w:rsidRPr="008F7821" w:rsidRDefault="0042633E" w:rsidP="0042633E">
      <w:pPr>
        <w:pStyle w:val="SingleTxtG"/>
        <w:tabs>
          <w:tab w:val="left" w:pos="2268"/>
        </w:tabs>
        <w:spacing w:before="120"/>
      </w:pPr>
      <w:r w:rsidRPr="008F7821">
        <w:t>6.2.4.1</w:t>
      </w:r>
      <w:r w:rsidRPr="008F7821">
        <w:tab/>
        <w:t>In the table, under “for closures”:</w:t>
      </w:r>
    </w:p>
    <w:p w14:paraId="36805785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2DF84A14" w14:textId="77777777" w:rsidTr="0009095F">
        <w:tc>
          <w:tcPr>
            <w:tcW w:w="1701" w:type="dxa"/>
            <w:vAlign w:val="center"/>
          </w:tcPr>
          <w:p w14:paraId="74AA5A50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46579677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2934202F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 and 6.2.3.3</w:t>
            </w:r>
          </w:p>
        </w:tc>
        <w:tc>
          <w:tcPr>
            <w:tcW w:w="992" w:type="dxa"/>
            <w:vAlign w:val="center"/>
          </w:tcPr>
          <w:p w14:paraId="4FC3737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183114D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93EA4ED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17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1402102A" w14:textId="77777777" w:rsidTr="0009095F">
        <w:tc>
          <w:tcPr>
            <w:tcW w:w="1701" w:type="dxa"/>
            <w:vAlign w:val="center"/>
          </w:tcPr>
          <w:p w14:paraId="6349F2C2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</w:t>
            </w:r>
            <w:r>
              <w:t>953</w:t>
            </w:r>
            <w:r w:rsidRPr="002E3365">
              <w:t>:20</w:t>
            </w:r>
            <w:r>
              <w:t>20</w:t>
            </w:r>
          </w:p>
        </w:tc>
        <w:tc>
          <w:tcPr>
            <w:tcW w:w="3686" w:type="dxa"/>
          </w:tcPr>
          <w:p w14:paraId="26F2F470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 xml:space="preserve">LPG Equipment and accessories – </w:t>
            </w:r>
            <w:r>
              <w:t xml:space="preserve">Pressure relief valves for transportable refillable cylinders for </w:t>
            </w:r>
            <w:r w:rsidRPr="002E3365">
              <w:t xml:space="preserve">Liquefied Petroleum Gas (LPG) </w:t>
            </w:r>
          </w:p>
        </w:tc>
        <w:tc>
          <w:tcPr>
            <w:tcW w:w="1417" w:type="dxa"/>
            <w:vAlign w:val="center"/>
          </w:tcPr>
          <w:p w14:paraId="51983F1C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6.2.3.1, 6.2.3.3 and 6.2.3.4</w:t>
            </w:r>
          </w:p>
        </w:tc>
        <w:tc>
          <w:tcPr>
            <w:tcW w:w="992" w:type="dxa"/>
            <w:vAlign w:val="center"/>
          </w:tcPr>
          <w:p w14:paraId="58B9E78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6EF3A4B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E32EA75" w14:textId="77777777" w:rsidR="0042633E" w:rsidRDefault="0042633E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>6.2.5.4.2</w:t>
      </w:r>
      <w:r>
        <w:tab/>
        <w:t>Replace “EN 1975:1999 + A1:2003” by “</w:t>
      </w:r>
      <w:r w:rsidRPr="00AE735B">
        <w:t>EN ISO 7866:2012 + AC:2014</w:t>
      </w:r>
      <w:r>
        <w:t>”.</w:t>
      </w:r>
    </w:p>
    <w:p w14:paraId="7259641E" w14:textId="719D770B" w:rsidR="0042633E" w:rsidRPr="008330FC" w:rsidRDefault="00AC1453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 xml:space="preserve">(ADR) </w:t>
      </w:r>
      <w:r w:rsidR="0042633E">
        <w:t>6.8.2.6.1</w:t>
      </w:r>
      <w:r w:rsidR="0042633E">
        <w:tab/>
        <w:t>In the table, under “for equipment”:</w:t>
      </w:r>
    </w:p>
    <w:p w14:paraId="6A62B607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7C73CCC2" w14:textId="77777777" w:rsidTr="0009095F">
        <w:tc>
          <w:tcPr>
            <w:tcW w:w="1701" w:type="dxa"/>
            <w:vAlign w:val="center"/>
          </w:tcPr>
          <w:p w14:paraId="67EE105E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32F6E095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44128653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992" w:type="dxa"/>
            <w:vAlign w:val="center"/>
          </w:tcPr>
          <w:p w14:paraId="15B801F6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4F2FEBBF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44F6BEA1" w14:textId="77777777" w:rsidR="009E0AE4" w:rsidRDefault="009E0AE4" w:rsidP="009E0AE4">
      <w:pPr>
        <w:spacing w:before="240" w:after="0" w:line="240" w:lineRule="atLeast"/>
        <w:rPr>
          <w:u w:val="single"/>
        </w:rPr>
      </w:pPr>
    </w:p>
    <w:p w14:paraId="046F21AB" w14:textId="366B565E" w:rsidR="009E0AE4" w:rsidRDefault="009E0AE4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2B8A1480" w14:textId="77777777" w:rsidR="009E0AE4" w:rsidRDefault="009E0AE4" w:rsidP="009E0AE4">
      <w:pPr>
        <w:tabs>
          <w:tab w:val="left" w:pos="426"/>
        </w:tabs>
        <w:spacing w:before="120" w:after="120"/>
        <w:ind w:left="1134" w:right="1134"/>
        <w:rPr>
          <w:b/>
          <w:bCs/>
          <w:u w:val="single"/>
          <w:lang w:val="fr-FR"/>
        </w:rPr>
      </w:pPr>
    </w:p>
    <w:p w14:paraId="14ECA396" w14:textId="3298FB37" w:rsidR="009E0AE4" w:rsidRPr="00536FA2" w:rsidRDefault="009E0AE4" w:rsidP="009E0AE4">
      <w:pPr>
        <w:tabs>
          <w:tab w:val="left" w:pos="426"/>
        </w:tabs>
        <w:spacing w:before="120" w:after="120"/>
        <w:ind w:left="1134" w:right="567"/>
        <w:rPr>
          <w:b/>
          <w:bCs/>
          <w:u w:val="single"/>
          <w:lang w:val="fr-FR"/>
        </w:rPr>
      </w:pPr>
      <w:r w:rsidRPr="00536FA2">
        <w:rPr>
          <w:b/>
          <w:bCs/>
          <w:u w:val="single"/>
          <w:lang w:val="fr-FR"/>
        </w:rPr>
        <w:t xml:space="preserve">Projet d’amendements proposés par le Groupe de travail sur les </w:t>
      </w:r>
      <w:proofErr w:type="gramStart"/>
      <w:r w:rsidRPr="00536FA2">
        <w:rPr>
          <w:b/>
          <w:bCs/>
          <w:u w:val="single"/>
          <w:lang w:val="fr-FR"/>
        </w:rPr>
        <w:t xml:space="preserve">normes </w:t>
      </w:r>
      <w:r>
        <w:rPr>
          <w:b/>
          <w:bCs/>
          <w:u w:val="single"/>
          <w:lang w:val="fr-FR"/>
        </w:rPr>
        <w:t xml:space="preserve"> [</w:t>
      </w:r>
      <w:proofErr w:type="gramEnd"/>
      <w:r>
        <w:rPr>
          <w:b/>
          <w:bCs/>
          <w:u w:val="single"/>
          <w:lang w:val="fr-FR"/>
        </w:rPr>
        <w:t>FRANCAIS]</w:t>
      </w:r>
    </w:p>
    <w:p w14:paraId="554C7633" w14:textId="77777777" w:rsidR="009E0AE4" w:rsidRPr="00536FA2" w:rsidRDefault="009E0AE4" w:rsidP="009E0AE4">
      <w:pPr>
        <w:tabs>
          <w:tab w:val="left" w:pos="426"/>
        </w:tabs>
        <w:spacing w:before="120" w:after="120"/>
        <w:ind w:left="1134"/>
        <w:rPr>
          <w:b/>
          <w:bCs/>
          <w:u w:val="single"/>
          <w:lang w:val="fr-FR"/>
        </w:rPr>
      </w:pPr>
    </w:p>
    <w:p w14:paraId="715F7205" w14:textId="77777777" w:rsidR="009E0AE4" w:rsidRPr="00536FA2" w:rsidRDefault="009E0AE4" w:rsidP="009E0AE4">
      <w:pPr>
        <w:pStyle w:val="SingleTxtG"/>
        <w:spacing w:after="240"/>
        <w:ind w:left="2259" w:hanging="1125"/>
        <w:rPr>
          <w:lang w:val="fr-FR"/>
        </w:rPr>
      </w:pPr>
      <w:r w:rsidRPr="00536FA2">
        <w:rPr>
          <w:bCs/>
          <w:lang w:val="fr-FR"/>
        </w:rPr>
        <w:t>4.1.6.15</w:t>
      </w:r>
      <w:r w:rsidRPr="00536FA2">
        <w:rPr>
          <w:bCs/>
          <w:lang w:val="fr-FR"/>
        </w:rPr>
        <w:tab/>
        <w:t>Dans le tableau, pour</w:t>
      </w:r>
      <w:r>
        <w:rPr>
          <w:bCs/>
          <w:lang w:val="fr-FR"/>
        </w:rPr>
        <w:t xml:space="preserve"> « </w:t>
      </w:r>
      <w:r w:rsidRPr="00536FA2">
        <w:rPr>
          <w:bCs/>
          <w:lang w:val="fr-FR"/>
        </w:rPr>
        <w:t>4.1.6.2</w:t>
      </w:r>
      <w:r>
        <w:rPr>
          <w:bCs/>
          <w:lang w:val="fr-FR"/>
        </w:rPr>
        <w:t> »</w:t>
      </w:r>
      <w:r w:rsidRPr="00536FA2">
        <w:rPr>
          <w:bCs/>
          <w:lang w:val="fr-FR"/>
        </w:rPr>
        <w:t>, dans la deuxième colonne, 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bCs/>
          <w:lang w:val="fr-FR"/>
        </w:rPr>
        <w:t xml:space="preserve"> </w:t>
      </w:r>
      <w:r>
        <w:rPr>
          <w:bCs/>
          <w:lang w:val="fr-FR"/>
        </w:rPr>
        <w:t>« </w:t>
      </w:r>
      <w:r w:rsidRPr="00536FA2">
        <w:rPr>
          <w:bCs/>
          <w:lang w:val="fr-FR"/>
        </w:rPr>
        <w:t xml:space="preserve">EN </w:t>
      </w:r>
      <w:r w:rsidRPr="00536FA2">
        <w:rPr>
          <w:lang w:val="fr-FR"/>
        </w:rPr>
        <w:t>ISO</w:t>
      </w:r>
      <w:r w:rsidRPr="00536FA2">
        <w:rPr>
          <w:bCs/>
          <w:lang w:val="fr-FR"/>
        </w:rPr>
        <w:t xml:space="preserve"> 11114-</w:t>
      </w:r>
      <w:proofErr w:type="gramStart"/>
      <w:r w:rsidRPr="00536FA2">
        <w:rPr>
          <w:bCs/>
          <w:lang w:val="fr-FR"/>
        </w:rPr>
        <w:t>1:</w:t>
      </w:r>
      <w:proofErr w:type="gramEnd"/>
      <w:r w:rsidRPr="00536FA2">
        <w:rPr>
          <w:bCs/>
          <w:lang w:val="fr-FR"/>
        </w:rPr>
        <w:t>2012 + A1:2017</w:t>
      </w:r>
      <w:r>
        <w:rPr>
          <w:bCs/>
          <w:lang w:val="fr-FR"/>
        </w:rPr>
        <w:t> » par « </w:t>
      </w:r>
      <w:r w:rsidRPr="00536FA2">
        <w:rPr>
          <w:bCs/>
          <w:lang w:val="fr-FR"/>
        </w:rPr>
        <w:t xml:space="preserve">EN </w:t>
      </w:r>
      <w:r w:rsidRPr="00536FA2">
        <w:rPr>
          <w:lang w:val="fr-FR"/>
        </w:rPr>
        <w:t>ISO</w:t>
      </w:r>
      <w:r w:rsidRPr="00536FA2">
        <w:rPr>
          <w:bCs/>
          <w:lang w:val="fr-FR"/>
        </w:rPr>
        <w:t xml:space="preserve"> 11114-1:2020</w:t>
      </w:r>
      <w:r>
        <w:rPr>
          <w:bCs/>
          <w:lang w:val="fr-FR"/>
        </w:rPr>
        <w:t> »</w:t>
      </w:r>
      <w:r w:rsidRPr="00536FA2">
        <w:rPr>
          <w:bCs/>
          <w:lang w:val="fr-FR"/>
        </w:rPr>
        <w:t>.</w:t>
      </w:r>
    </w:p>
    <w:p w14:paraId="75A60E71" w14:textId="77777777" w:rsidR="009E0AE4" w:rsidRPr="00536FA2" w:rsidRDefault="009E0AE4" w:rsidP="009E0AE4">
      <w:pPr>
        <w:pStyle w:val="SingleTxtG"/>
        <w:spacing w:after="240"/>
        <w:ind w:left="2259" w:hanging="1125"/>
        <w:rPr>
          <w:lang w:val="fr-FR"/>
        </w:rPr>
      </w:pPr>
      <w:r w:rsidRPr="00536FA2">
        <w:rPr>
          <w:lang w:val="fr-FR"/>
        </w:rPr>
        <w:t>6.2.3.5.1</w:t>
      </w:r>
      <w:r w:rsidRPr="00536FA2">
        <w:rPr>
          <w:lang w:val="fr-FR"/>
        </w:rPr>
        <w:tab/>
      </w:r>
      <w:r>
        <w:rPr>
          <w:lang w:val="fr-FR"/>
        </w:rPr>
        <w:t>Au</w:t>
      </w:r>
      <w:r w:rsidRPr="00536FA2">
        <w:rPr>
          <w:lang w:val="fr-FR"/>
        </w:rPr>
        <w:t xml:space="preserve"> NOT</w:t>
      </w:r>
      <w:r>
        <w:rPr>
          <w:lang w:val="fr-FR"/>
        </w:rPr>
        <w:t>A</w:t>
      </w:r>
      <w:r w:rsidRPr="00536FA2">
        <w:rPr>
          <w:lang w:val="fr-FR"/>
        </w:rPr>
        <w:t xml:space="preserve"> 2, re</w:t>
      </w:r>
      <w:r>
        <w:rPr>
          <w:lang w:val="fr-FR"/>
        </w:rPr>
        <w:t>m</w:t>
      </w:r>
      <w:r w:rsidRPr="00536FA2">
        <w:rPr>
          <w:lang w:val="fr-FR"/>
        </w:rPr>
        <w:t>place</w:t>
      </w:r>
      <w:r>
        <w:rPr>
          <w:lang w:val="fr-FR"/>
        </w:rPr>
        <w:t>r « </w:t>
      </w:r>
      <w:r w:rsidRPr="00536FA2">
        <w:rPr>
          <w:lang w:val="fr-FR"/>
        </w:rPr>
        <w:t xml:space="preserve">EN ISO </w:t>
      </w:r>
      <w:proofErr w:type="gramStart"/>
      <w:r w:rsidRPr="00536FA2">
        <w:rPr>
          <w:lang w:val="fr-FR"/>
        </w:rPr>
        <w:t>16148:</w:t>
      </w:r>
      <w:proofErr w:type="gramEnd"/>
      <w:r w:rsidRPr="00536FA2">
        <w:rPr>
          <w:lang w:val="fr-FR"/>
        </w:rPr>
        <w:t>2016</w:t>
      </w:r>
      <w:r>
        <w:rPr>
          <w:lang w:val="fr-FR"/>
        </w:rPr>
        <w:t> » par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>EN ISO 16148:2016 + A1:2020</w:t>
      </w:r>
      <w:r>
        <w:rPr>
          <w:lang w:val="fr-FR"/>
        </w:rPr>
        <w:t> »</w:t>
      </w:r>
      <w:r w:rsidRPr="00536FA2">
        <w:rPr>
          <w:lang w:val="fr-FR"/>
        </w:rPr>
        <w:t>.</w:t>
      </w:r>
    </w:p>
    <w:p w14:paraId="7E850327" w14:textId="77777777" w:rsidR="009E0AE4" w:rsidRPr="00536FA2" w:rsidRDefault="009E0AE4" w:rsidP="009E0AE4">
      <w:pPr>
        <w:pStyle w:val="SingleTxtG"/>
        <w:ind w:left="2268" w:hanging="1134"/>
        <w:rPr>
          <w:lang w:val="fr-FR"/>
        </w:rPr>
      </w:pPr>
      <w:r w:rsidRPr="00536FA2">
        <w:rPr>
          <w:lang w:val="fr-FR"/>
        </w:rPr>
        <w:t>6.2.4.1</w:t>
      </w:r>
      <w:r w:rsidRPr="00536FA2">
        <w:rPr>
          <w:lang w:val="fr-FR"/>
        </w:rPr>
        <w:tab/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la construction et la fabrication</w:t>
      </w:r>
      <w:r w:rsidRPr="00536FA2">
        <w:rPr>
          <w:lang w:val="fr-FR"/>
        </w:rPr>
        <w:t>”, a</w:t>
      </w:r>
      <w:r>
        <w:rPr>
          <w:lang w:val="fr-FR"/>
        </w:rPr>
        <w:t xml:space="preserve">jouter la nouvelle ligne </w:t>
      </w:r>
      <w:proofErr w:type="gramStart"/>
      <w:r>
        <w:rPr>
          <w:lang w:val="fr-FR"/>
        </w:rPr>
        <w:t>suivante:</w:t>
      </w:r>
      <w:proofErr w:type="gramEnd"/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1D2DC063" w14:textId="77777777" w:rsidTr="00DF6420">
        <w:tc>
          <w:tcPr>
            <w:tcW w:w="1701" w:type="dxa"/>
            <w:vAlign w:val="center"/>
          </w:tcPr>
          <w:p w14:paraId="4FD6E3FB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17339:</w:t>
            </w:r>
            <w:proofErr w:type="gramEnd"/>
            <w:r w:rsidRPr="00536FA2">
              <w:rPr>
                <w:lang w:val="fr-FR"/>
              </w:rPr>
              <w:t xml:space="preserve">2020 </w:t>
            </w:r>
          </w:p>
          <w:p w14:paraId="01F4F4EC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  <w:tc>
          <w:tcPr>
            <w:tcW w:w="3686" w:type="dxa"/>
          </w:tcPr>
          <w:p w14:paraId="2D64A1F4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proofErr w:type="spellStart"/>
            <w:r>
              <w:t>Bouteilles</w:t>
            </w:r>
            <w:proofErr w:type="spellEnd"/>
            <w:r>
              <w:t xml:space="preserve"> à </w:t>
            </w:r>
            <w:proofErr w:type="spellStart"/>
            <w:r>
              <w:t>gaz</w:t>
            </w:r>
            <w:proofErr w:type="spellEnd"/>
            <w:r>
              <w:t xml:space="preserve"> </w:t>
            </w:r>
            <w:proofErr w:type="spellStart"/>
            <w:r>
              <w:t>transportables</w:t>
            </w:r>
            <w:proofErr w:type="spellEnd"/>
            <w:r>
              <w:t xml:space="preserve"> - </w:t>
            </w:r>
            <w:proofErr w:type="spellStart"/>
            <w:r>
              <w:t>Bouteilles</w:t>
            </w:r>
            <w:proofErr w:type="spellEnd"/>
            <w:r>
              <w:t xml:space="preserve"> et tubes </w:t>
            </w:r>
            <w:proofErr w:type="spellStart"/>
            <w:r>
              <w:t>entièrement</w:t>
            </w:r>
            <w:proofErr w:type="spellEnd"/>
            <w:r>
              <w:t xml:space="preserve"> </w:t>
            </w:r>
            <w:proofErr w:type="spellStart"/>
            <w:r>
              <w:t>bobinées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matériaux</w:t>
            </w:r>
            <w:proofErr w:type="spellEnd"/>
            <w:r>
              <w:t xml:space="preserve"> composites </w:t>
            </w:r>
            <w:proofErr w:type="spellStart"/>
            <w:r>
              <w:t>carbones</w:t>
            </w:r>
            <w:proofErr w:type="spellEnd"/>
            <w:r>
              <w:t xml:space="preserve"> pour </w:t>
            </w:r>
            <w:proofErr w:type="spellStart"/>
            <w:r>
              <w:t>l'hydrogène</w:t>
            </w:r>
            <w:proofErr w:type="spellEnd"/>
          </w:p>
        </w:tc>
        <w:tc>
          <w:tcPr>
            <w:tcW w:w="1417" w:type="dxa"/>
            <w:vAlign w:val="center"/>
          </w:tcPr>
          <w:p w14:paraId="08A5EB88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6.2.3.3</w:t>
            </w:r>
          </w:p>
        </w:tc>
        <w:tc>
          <w:tcPr>
            <w:tcW w:w="992" w:type="dxa"/>
            <w:vAlign w:val="center"/>
          </w:tcPr>
          <w:p w14:paraId="60497B6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7E0EE9D6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7F3A635D" w14:textId="77777777" w:rsidR="009E0AE4" w:rsidRPr="00536FA2" w:rsidRDefault="009E0AE4" w:rsidP="009E0AE4">
      <w:pPr>
        <w:pStyle w:val="SingleTxtG"/>
        <w:tabs>
          <w:tab w:val="left" w:pos="2268"/>
        </w:tabs>
        <w:spacing w:before="120"/>
        <w:rPr>
          <w:lang w:val="fr-FR"/>
        </w:rPr>
      </w:pPr>
      <w:r w:rsidRPr="00536FA2">
        <w:rPr>
          <w:lang w:val="fr-FR"/>
        </w:rPr>
        <w:t>6.2.4.1</w:t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les fermetures </w:t>
      </w:r>
      <w:proofErr w:type="gramStart"/>
      <w:r>
        <w:rPr>
          <w:lang w:val="fr-FR"/>
        </w:rPr>
        <w:t>»</w:t>
      </w:r>
      <w:r w:rsidRPr="00536FA2">
        <w:rPr>
          <w:lang w:val="fr-FR"/>
        </w:rPr>
        <w:t>:</w:t>
      </w:r>
      <w:proofErr w:type="gramEnd"/>
    </w:p>
    <w:p w14:paraId="7E02D8F9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</w:t>
      </w:r>
      <w:r w:rsidRPr="00536FA2">
        <w:rPr>
          <w:lang w:val="fr-FR"/>
        </w:rPr>
        <w:t xml:space="preserve"> </w:t>
      </w:r>
      <w:r>
        <w:rPr>
          <w:lang w:val="fr-FR"/>
        </w:rPr>
        <w:t>par « Entre le</w:t>
      </w:r>
      <w:r w:rsidRPr="00536FA2">
        <w:rPr>
          <w:lang w:val="fr-FR"/>
        </w:rPr>
        <w:t xml:space="preserve"> 1</w:t>
      </w:r>
      <w:r>
        <w:rPr>
          <w:lang w:val="fr-FR"/>
        </w:rPr>
        <w:t>er j</w:t>
      </w:r>
      <w:r w:rsidRPr="00536FA2">
        <w:rPr>
          <w:lang w:val="fr-FR"/>
        </w:rPr>
        <w:t>an</w:t>
      </w:r>
      <w:r>
        <w:rPr>
          <w:lang w:val="fr-FR"/>
        </w:rPr>
        <w:t>vier</w:t>
      </w:r>
      <w:r w:rsidRPr="00536FA2">
        <w:rPr>
          <w:lang w:val="fr-FR"/>
        </w:rPr>
        <w:t xml:space="preserve"> 2021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</w:t>
      </w:r>
      <w:r w:rsidRPr="00536FA2">
        <w:rPr>
          <w:lang w:val="fr-FR"/>
        </w:rPr>
        <w:t>cemb</w:t>
      </w:r>
      <w:r>
        <w:rPr>
          <w:lang w:val="fr-FR"/>
        </w:rPr>
        <w:t>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>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11B2A171" w14:textId="77777777" w:rsidTr="00DF6420">
        <w:tc>
          <w:tcPr>
            <w:tcW w:w="1701" w:type="dxa"/>
            <w:vAlign w:val="center"/>
          </w:tcPr>
          <w:p w14:paraId="4E4AC1C4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13175:</w:t>
            </w:r>
            <w:proofErr w:type="gramEnd"/>
            <w:r w:rsidRPr="00536FA2">
              <w:rPr>
                <w:lang w:val="fr-FR"/>
              </w:rPr>
              <w:t>2019 + A1:2020</w:t>
            </w:r>
          </w:p>
        </w:tc>
        <w:tc>
          <w:tcPr>
            <w:tcW w:w="3686" w:type="dxa"/>
          </w:tcPr>
          <w:p w14:paraId="24F8590B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proofErr w:type="spellStart"/>
            <w:r>
              <w:t>Équipements</w:t>
            </w:r>
            <w:proofErr w:type="spellEnd"/>
            <w:r>
              <w:t xml:space="preserve"> pour GPL et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accessoires</w:t>
            </w:r>
            <w:proofErr w:type="spellEnd"/>
            <w:r>
              <w:t xml:space="preserve"> - </w:t>
            </w:r>
            <w:proofErr w:type="spellStart"/>
            <w:r>
              <w:t>Spécifications</w:t>
            </w:r>
            <w:proofErr w:type="spellEnd"/>
            <w:r>
              <w:t xml:space="preserve"> et </w:t>
            </w:r>
            <w:proofErr w:type="spellStart"/>
            <w:r>
              <w:t>essais</w:t>
            </w:r>
            <w:proofErr w:type="spellEnd"/>
            <w:r>
              <w:t xml:space="preserve"> des </w:t>
            </w:r>
            <w:proofErr w:type="spellStart"/>
            <w:r>
              <w:t>équipements</w:t>
            </w:r>
            <w:proofErr w:type="spellEnd"/>
            <w:r>
              <w:t xml:space="preserve"> et </w:t>
            </w:r>
            <w:proofErr w:type="spellStart"/>
            <w:r>
              <w:t>accessoires</w:t>
            </w:r>
            <w:proofErr w:type="spellEnd"/>
            <w:r>
              <w:t xml:space="preserve"> des </w:t>
            </w:r>
            <w:proofErr w:type="spellStart"/>
            <w:r>
              <w:t>réservoirs</w:t>
            </w:r>
            <w:proofErr w:type="spellEnd"/>
            <w:r>
              <w:t xml:space="preserve"> pour </w:t>
            </w:r>
            <w:proofErr w:type="spellStart"/>
            <w:r>
              <w:t>gaz</w:t>
            </w:r>
            <w:proofErr w:type="spellEnd"/>
            <w:r>
              <w:t xml:space="preserve"> de </w:t>
            </w:r>
            <w:proofErr w:type="spellStart"/>
            <w:r>
              <w:t>pétrole</w:t>
            </w:r>
            <w:proofErr w:type="spellEnd"/>
            <w:r>
              <w:t xml:space="preserve"> </w:t>
            </w:r>
            <w:proofErr w:type="spellStart"/>
            <w:r>
              <w:t>liquéfié</w:t>
            </w:r>
            <w:proofErr w:type="spellEnd"/>
          </w:p>
        </w:tc>
        <w:tc>
          <w:tcPr>
            <w:tcW w:w="1417" w:type="dxa"/>
            <w:vAlign w:val="center"/>
          </w:tcPr>
          <w:p w14:paraId="667CB07E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6.2.3.3</w:t>
            </w:r>
          </w:p>
        </w:tc>
        <w:tc>
          <w:tcPr>
            <w:tcW w:w="992" w:type="dxa"/>
            <w:vAlign w:val="center"/>
          </w:tcPr>
          <w:p w14:paraId="588BC623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053D09EE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0CE82573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13953:</w:t>
      </w:r>
      <w:proofErr w:type="gramEnd"/>
      <w:r w:rsidRPr="00536FA2">
        <w:rPr>
          <w:lang w:val="fr-FR"/>
        </w:rPr>
        <w:t>2015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 par</w:t>
      </w:r>
      <w:r w:rsidRPr="00536FA2">
        <w:rPr>
          <w:lang w:val="fr-FR"/>
        </w:rPr>
        <w:t xml:space="preserve"> </w:t>
      </w:r>
      <w:r>
        <w:rPr>
          <w:lang w:val="fr-FR"/>
        </w:rPr>
        <w:t>« Entre le 1er janvier</w:t>
      </w:r>
      <w:r w:rsidRPr="00536FA2">
        <w:rPr>
          <w:lang w:val="fr-FR"/>
        </w:rPr>
        <w:t xml:space="preserve"> 2017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décembre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13953:</w:t>
      </w:r>
      <w:proofErr w:type="gramEnd"/>
      <w:r w:rsidRPr="00536FA2">
        <w:rPr>
          <w:lang w:val="fr-FR"/>
        </w:rPr>
        <w:t>2015</w:t>
      </w:r>
      <w:r>
        <w:rPr>
          <w:lang w:val="fr-FR"/>
        </w:rPr>
        <w:t> »</w:t>
      </w:r>
      <w:r w:rsidRPr="00536FA2">
        <w:rPr>
          <w:lang w:val="fr-FR"/>
        </w:rPr>
        <w:t>,</w:t>
      </w:r>
      <w:r>
        <w:rPr>
          <w:lang w:val="fr-FR"/>
        </w:rPr>
        <w:t xml:space="preserve"> 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78A618B4" w14:textId="77777777" w:rsidTr="00DF6420">
        <w:tc>
          <w:tcPr>
            <w:tcW w:w="1701" w:type="dxa"/>
            <w:vAlign w:val="center"/>
          </w:tcPr>
          <w:p w14:paraId="40F1658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13953:</w:t>
            </w:r>
            <w:proofErr w:type="gramEnd"/>
            <w:r w:rsidRPr="00536FA2">
              <w:rPr>
                <w:lang w:val="fr-FR"/>
              </w:rPr>
              <w:t>2020</w:t>
            </w:r>
          </w:p>
        </w:tc>
        <w:tc>
          <w:tcPr>
            <w:tcW w:w="3686" w:type="dxa"/>
          </w:tcPr>
          <w:p w14:paraId="07CFA63C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proofErr w:type="spellStart"/>
            <w:r>
              <w:t>Équipements</w:t>
            </w:r>
            <w:proofErr w:type="spellEnd"/>
            <w:r>
              <w:t xml:space="preserve"> et </w:t>
            </w:r>
            <w:proofErr w:type="spellStart"/>
            <w:r>
              <w:t>accessoires</w:t>
            </w:r>
            <w:proofErr w:type="spellEnd"/>
            <w:r>
              <w:t xml:space="preserve"> GPL - </w:t>
            </w:r>
            <w:proofErr w:type="spellStart"/>
            <w:r>
              <w:t>Soupapes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  <w:r>
              <w:t xml:space="preserve"> des </w:t>
            </w:r>
            <w:proofErr w:type="spellStart"/>
            <w:r>
              <w:t>bouteilles</w:t>
            </w:r>
            <w:proofErr w:type="spellEnd"/>
            <w:r>
              <w:t xml:space="preserve"> </w:t>
            </w:r>
            <w:proofErr w:type="spellStart"/>
            <w:r>
              <w:t>transportables</w:t>
            </w:r>
            <w:proofErr w:type="spellEnd"/>
            <w:r>
              <w:t xml:space="preserve"> et </w:t>
            </w:r>
            <w:proofErr w:type="spellStart"/>
            <w:r>
              <w:t>rechargeables</w:t>
            </w:r>
            <w:proofErr w:type="spellEnd"/>
            <w:r>
              <w:t xml:space="preserve"> pour </w:t>
            </w:r>
            <w:proofErr w:type="spellStart"/>
            <w:r>
              <w:t>gaz</w:t>
            </w:r>
            <w:proofErr w:type="spellEnd"/>
            <w:r>
              <w:t xml:space="preserve"> de </w:t>
            </w:r>
            <w:proofErr w:type="spellStart"/>
            <w:r>
              <w:t>pétrole</w:t>
            </w:r>
            <w:proofErr w:type="spellEnd"/>
            <w:r>
              <w:t xml:space="preserve"> </w:t>
            </w:r>
            <w:proofErr w:type="spellStart"/>
            <w:r>
              <w:t>liquéfiés</w:t>
            </w:r>
            <w:proofErr w:type="spellEnd"/>
            <w:r>
              <w:t xml:space="preserve"> (GPL)</w:t>
            </w:r>
          </w:p>
        </w:tc>
        <w:tc>
          <w:tcPr>
            <w:tcW w:w="1417" w:type="dxa"/>
            <w:vAlign w:val="center"/>
          </w:tcPr>
          <w:p w14:paraId="44291141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6.2.3.1, 6.2.3.3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6.2.3.4</w:t>
            </w:r>
          </w:p>
        </w:tc>
        <w:tc>
          <w:tcPr>
            <w:tcW w:w="992" w:type="dxa"/>
            <w:vAlign w:val="center"/>
          </w:tcPr>
          <w:p w14:paraId="7687D30F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53B8EE98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170EA947" w14:textId="77777777" w:rsidR="009E0AE4" w:rsidRPr="00536FA2" w:rsidRDefault="009E0AE4" w:rsidP="009E0AE4">
      <w:pPr>
        <w:pStyle w:val="Bullet1G"/>
        <w:tabs>
          <w:tab w:val="left" w:pos="1418"/>
        </w:tabs>
        <w:suppressAutoHyphens/>
        <w:spacing w:before="240" w:line="240" w:lineRule="atLeast"/>
        <w:ind w:left="2268" w:hanging="1134"/>
        <w:rPr>
          <w:lang w:val="fr-FR"/>
        </w:rPr>
      </w:pPr>
      <w:r w:rsidRPr="00536FA2">
        <w:rPr>
          <w:lang w:val="fr-FR"/>
        </w:rPr>
        <w:t>6.2.5.4.2</w:t>
      </w:r>
      <w:r w:rsidRPr="00536FA2">
        <w:rPr>
          <w:lang w:val="fr-FR"/>
        </w:rPr>
        <w:tab/>
        <w:t>Re</w:t>
      </w:r>
      <w:r>
        <w:rPr>
          <w:lang w:val="fr-FR"/>
        </w:rPr>
        <w:t>m</w:t>
      </w:r>
      <w:r w:rsidRPr="00536FA2">
        <w:rPr>
          <w:lang w:val="fr-FR"/>
        </w:rPr>
        <w:t>place</w:t>
      </w:r>
      <w:r>
        <w:rPr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1975:</w:t>
      </w:r>
      <w:proofErr w:type="gramEnd"/>
      <w:r w:rsidRPr="00536FA2">
        <w:rPr>
          <w:lang w:val="fr-FR"/>
        </w:rPr>
        <w:t>1999 + A1:2003</w:t>
      </w:r>
      <w:r>
        <w:rPr>
          <w:lang w:val="fr-FR"/>
        </w:rPr>
        <w:t> »</w:t>
      </w:r>
      <w:r w:rsidRPr="00536FA2">
        <w:rPr>
          <w:lang w:val="fr-FR"/>
        </w:rPr>
        <w:t xml:space="preserve"> </w:t>
      </w:r>
      <w:r>
        <w:rPr>
          <w:lang w:val="fr-FR"/>
        </w:rPr>
        <w:t>par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>EN ISO 7866:2012 + AC:2014</w:t>
      </w:r>
      <w:r>
        <w:rPr>
          <w:lang w:val="fr-FR"/>
        </w:rPr>
        <w:t> »</w:t>
      </w:r>
      <w:r w:rsidRPr="00536FA2">
        <w:rPr>
          <w:lang w:val="fr-FR"/>
        </w:rPr>
        <w:t>.</w:t>
      </w:r>
    </w:p>
    <w:p w14:paraId="2880D43F" w14:textId="77777777" w:rsidR="009E0AE4" w:rsidRPr="00536FA2" w:rsidRDefault="009E0AE4" w:rsidP="009E0AE4">
      <w:pPr>
        <w:pStyle w:val="Bullet1G"/>
        <w:tabs>
          <w:tab w:val="left" w:pos="1418"/>
        </w:tabs>
        <w:suppressAutoHyphens/>
        <w:spacing w:before="240" w:line="240" w:lineRule="atLeast"/>
        <w:ind w:left="1134"/>
        <w:rPr>
          <w:lang w:val="fr-FR"/>
        </w:rPr>
      </w:pPr>
      <w:r>
        <w:rPr>
          <w:lang w:val="fr-FR"/>
        </w:rPr>
        <w:t xml:space="preserve">(ADR) </w:t>
      </w:r>
      <w:r w:rsidRPr="00536FA2">
        <w:rPr>
          <w:lang w:val="fr-FR"/>
        </w:rPr>
        <w:t>6.8.2.6.1</w:t>
      </w:r>
      <w:r w:rsidRPr="00536FA2">
        <w:rPr>
          <w:lang w:val="fr-FR"/>
        </w:rPr>
        <w:tab/>
      </w:r>
      <w:r>
        <w:rPr>
          <w:lang w:val="fr-FR"/>
        </w:rPr>
        <w:t>Dans le tableau</w:t>
      </w:r>
      <w:r w:rsidRPr="00536FA2">
        <w:rPr>
          <w:lang w:val="fr-FR"/>
        </w:rPr>
        <w:t xml:space="preserve">, </w:t>
      </w:r>
      <w:r>
        <w:rPr>
          <w:lang w:val="fr-FR"/>
        </w:rPr>
        <w:t>sous « Pour les é</w:t>
      </w:r>
      <w:r w:rsidRPr="00536FA2">
        <w:rPr>
          <w:lang w:val="fr-FR"/>
        </w:rPr>
        <w:t>quip</w:t>
      </w:r>
      <w:r>
        <w:rPr>
          <w:lang w:val="fr-FR"/>
        </w:rPr>
        <w:t>e</w:t>
      </w:r>
      <w:r w:rsidRPr="00536FA2">
        <w:rPr>
          <w:lang w:val="fr-FR"/>
        </w:rPr>
        <w:t>ment</w:t>
      </w:r>
      <w:r>
        <w:rPr>
          <w:lang w:val="fr-FR"/>
        </w:rPr>
        <w:t>s </w:t>
      </w:r>
      <w:proofErr w:type="gramStart"/>
      <w:r>
        <w:rPr>
          <w:lang w:val="fr-FR"/>
        </w:rPr>
        <w:t>»</w:t>
      </w:r>
      <w:r w:rsidRPr="00536FA2">
        <w:rPr>
          <w:lang w:val="fr-FR"/>
        </w:rPr>
        <w:t>:</w:t>
      </w:r>
      <w:proofErr w:type="gramEnd"/>
    </w:p>
    <w:p w14:paraId="715B4B5A" w14:textId="77777777" w:rsidR="009E0AE4" w:rsidRPr="00536FA2" w:rsidRDefault="009E0AE4" w:rsidP="009E0AE4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  <w:rPr>
          <w:lang w:val="fr-FR"/>
        </w:rPr>
      </w:pPr>
      <w:r>
        <w:rPr>
          <w:lang w:val="fr-FR"/>
        </w:rPr>
        <w:t>Pour</w:t>
      </w:r>
      <w:r w:rsidRPr="00536FA2">
        <w:rPr>
          <w:lang w:val="fr-FR"/>
        </w:rPr>
        <w:t xml:space="preserve"> </w:t>
      </w:r>
      <w:r>
        <w:rPr>
          <w:lang w:val="fr-FR"/>
        </w:rPr>
        <w:t>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 xml:space="preserve">dans la </w:t>
      </w:r>
      <w:r w:rsidRPr="00536FA2">
        <w:rPr>
          <w:lang w:val="fr-FR"/>
        </w:rPr>
        <w:t>col</w:t>
      </w:r>
      <w:r>
        <w:rPr>
          <w:lang w:val="fr-FR"/>
        </w:rPr>
        <w:t>onne</w:t>
      </w:r>
      <w:r w:rsidRPr="00536FA2">
        <w:rPr>
          <w:lang w:val="fr-FR"/>
        </w:rPr>
        <w:t xml:space="preserve"> 4), </w:t>
      </w:r>
      <w:r w:rsidRPr="00536FA2">
        <w:rPr>
          <w:bCs/>
          <w:lang w:val="fr-FR"/>
        </w:rPr>
        <w:t>re</w:t>
      </w:r>
      <w:r>
        <w:rPr>
          <w:bCs/>
          <w:lang w:val="fr-FR"/>
        </w:rPr>
        <w:t>m</w:t>
      </w:r>
      <w:r w:rsidRPr="00536FA2">
        <w:rPr>
          <w:bCs/>
          <w:lang w:val="fr-FR"/>
        </w:rPr>
        <w:t>place</w:t>
      </w:r>
      <w:r>
        <w:rPr>
          <w:bCs/>
          <w:lang w:val="fr-FR"/>
        </w:rPr>
        <w:t>r</w:t>
      </w:r>
      <w:r w:rsidRPr="00536FA2">
        <w:rPr>
          <w:lang w:val="fr-FR"/>
        </w:rPr>
        <w:t xml:space="preserve"> </w:t>
      </w:r>
      <w:r>
        <w:rPr>
          <w:lang w:val="fr-FR"/>
        </w:rPr>
        <w:t>« Jusqu’à nouvel ordre » par « Entre le</w:t>
      </w:r>
      <w:r w:rsidRPr="00536FA2">
        <w:rPr>
          <w:lang w:val="fr-FR"/>
        </w:rPr>
        <w:t xml:space="preserve"> 1</w:t>
      </w:r>
      <w:r>
        <w:rPr>
          <w:lang w:val="fr-FR"/>
        </w:rPr>
        <w:t>er j</w:t>
      </w:r>
      <w:r w:rsidRPr="00536FA2">
        <w:rPr>
          <w:lang w:val="fr-FR"/>
        </w:rPr>
        <w:t>an</w:t>
      </w:r>
      <w:r>
        <w:rPr>
          <w:lang w:val="fr-FR"/>
        </w:rPr>
        <w:t>vier</w:t>
      </w:r>
      <w:r w:rsidRPr="00536FA2">
        <w:rPr>
          <w:lang w:val="fr-FR"/>
        </w:rPr>
        <w:t xml:space="preserve"> 2021 </w:t>
      </w:r>
      <w:r>
        <w:rPr>
          <w:lang w:val="fr-FR"/>
        </w:rPr>
        <w:t>et le</w:t>
      </w:r>
      <w:r w:rsidRPr="00536FA2">
        <w:rPr>
          <w:lang w:val="fr-FR"/>
        </w:rPr>
        <w:t xml:space="preserve"> 31 </w:t>
      </w:r>
      <w:r>
        <w:rPr>
          <w:lang w:val="fr-FR"/>
        </w:rPr>
        <w:t>dé</w:t>
      </w:r>
      <w:r w:rsidRPr="00536FA2">
        <w:rPr>
          <w:lang w:val="fr-FR"/>
        </w:rPr>
        <w:t>cemb</w:t>
      </w:r>
      <w:r>
        <w:rPr>
          <w:lang w:val="fr-FR"/>
        </w:rPr>
        <w:t>re</w:t>
      </w:r>
      <w:r w:rsidRPr="00536FA2">
        <w:rPr>
          <w:lang w:val="fr-FR"/>
        </w:rPr>
        <w:t xml:space="preserve"> 2024</w:t>
      </w:r>
      <w:r>
        <w:rPr>
          <w:lang w:val="fr-FR"/>
        </w:rPr>
        <w:t> »</w:t>
      </w:r>
      <w:r w:rsidRPr="00536FA2">
        <w:rPr>
          <w:lang w:val="fr-FR"/>
        </w:rPr>
        <w:t xml:space="preserve">. </w:t>
      </w:r>
      <w:r>
        <w:rPr>
          <w:lang w:val="fr-FR"/>
        </w:rPr>
        <w:t>Après la ligne pour « </w:t>
      </w:r>
      <w:r w:rsidRPr="00536FA2">
        <w:rPr>
          <w:lang w:val="fr-FR"/>
        </w:rPr>
        <w:t xml:space="preserve">EN </w:t>
      </w:r>
      <w:proofErr w:type="gramStart"/>
      <w:r w:rsidRPr="00536FA2">
        <w:rPr>
          <w:lang w:val="fr-FR"/>
        </w:rPr>
        <w:t>13175:</w:t>
      </w:r>
      <w:proofErr w:type="gramEnd"/>
      <w:r w:rsidRPr="00536FA2">
        <w:rPr>
          <w:lang w:val="fr-FR"/>
        </w:rPr>
        <w:t>2019 (</w:t>
      </w:r>
      <w:r>
        <w:rPr>
          <w:lang w:val="fr-FR"/>
        </w:rPr>
        <w:t>sauf article</w:t>
      </w:r>
      <w:r w:rsidRPr="00536FA2">
        <w:rPr>
          <w:lang w:val="fr-FR"/>
        </w:rPr>
        <w:t xml:space="preserve"> 6.1.6)</w:t>
      </w:r>
      <w:r>
        <w:rPr>
          <w:lang w:val="fr-FR"/>
        </w:rPr>
        <w:t> »</w:t>
      </w:r>
      <w:r w:rsidRPr="00536FA2">
        <w:rPr>
          <w:lang w:val="fr-FR"/>
        </w:rPr>
        <w:t xml:space="preserve">, </w:t>
      </w:r>
      <w:r>
        <w:rPr>
          <w:lang w:val="fr-FR"/>
        </w:rPr>
        <w:t>ajouter la ligne suivante</w:t>
      </w:r>
      <w:r w:rsidRPr="00536FA2">
        <w:rPr>
          <w:lang w:val="fr-FR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9E0AE4" w:rsidRPr="00536FA2" w14:paraId="7051E8D3" w14:textId="77777777" w:rsidTr="00DF6420">
        <w:tc>
          <w:tcPr>
            <w:tcW w:w="1701" w:type="dxa"/>
            <w:vAlign w:val="center"/>
          </w:tcPr>
          <w:p w14:paraId="5666AD10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EN </w:t>
            </w:r>
            <w:proofErr w:type="gramStart"/>
            <w:r w:rsidRPr="00536FA2">
              <w:rPr>
                <w:lang w:val="fr-FR"/>
              </w:rPr>
              <w:t>13175:</w:t>
            </w:r>
            <w:proofErr w:type="gramEnd"/>
            <w:r w:rsidRPr="00536FA2">
              <w:rPr>
                <w:lang w:val="fr-FR"/>
              </w:rPr>
              <w:t>2019 + A1:2020</w:t>
            </w:r>
          </w:p>
        </w:tc>
        <w:tc>
          <w:tcPr>
            <w:tcW w:w="3686" w:type="dxa"/>
          </w:tcPr>
          <w:p w14:paraId="3C0A11E9" w14:textId="77777777" w:rsidR="009E0AE4" w:rsidRPr="00536FA2" w:rsidRDefault="009E0AE4" w:rsidP="00DF6420">
            <w:pPr>
              <w:widowControl w:val="0"/>
              <w:spacing w:before="60" w:after="120"/>
              <w:rPr>
                <w:lang w:val="fr-FR"/>
              </w:rPr>
            </w:pPr>
            <w:proofErr w:type="spellStart"/>
            <w:r>
              <w:t>Équipements</w:t>
            </w:r>
            <w:proofErr w:type="spellEnd"/>
            <w:r>
              <w:t xml:space="preserve"> pour GPL et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accessoires</w:t>
            </w:r>
            <w:proofErr w:type="spellEnd"/>
            <w:r>
              <w:t xml:space="preserve"> - </w:t>
            </w:r>
            <w:proofErr w:type="spellStart"/>
            <w:r>
              <w:t>Spécifications</w:t>
            </w:r>
            <w:proofErr w:type="spellEnd"/>
            <w:r>
              <w:t xml:space="preserve"> et </w:t>
            </w:r>
            <w:proofErr w:type="spellStart"/>
            <w:r>
              <w:t>essais</w:t>
            </w:r>
            <w:proofErr w:type="spellEnd"/>
            <w:r>
              <w:t xml:space="preserve"> des </w:t>
            </w:r>
            <w:proofErr w:type="spellStart"/>
            <w:r>
              <w:t>équipements</w:t>
            </w:r>
            <w:proofErr w:type="spellEnd"/>
            <w:r>
              <w:t xml:space="preserve"> et </w:t>
            </w:r>
            <w:proofErr w:type="spellStart"/>
            <w:r>
              <w:t>accessoires</w:t>
            </w:r>
            <w:proofErr w:type="spellEnd"/>
            <w:r>
              <w:t xml:space="preserve"> des </w:t>
            </w:r>
            <w:proofErr w:type="spellStart"/>
            <w:r>
              <w:t>réservoirs</w:t>
            </w:r>
            <w:proofErr w:type="spellEnd"/>
            <w:r>
              <w:t xml:space="preserve"> pour </w:t>
            </w:r>
            <w:proofErr w:type="spellStart"/>
            <w:r>
              <w:t>gaz</w:t>
            </w:r>
            <w:proofErr w:type="spellEnd"/>
            <w:r>
              <w:t xml:space="preserve"> de </w:t>
            </w:r>
            <w:proofErr w:type="spellStart"/>
            <w:r>
              <w:t>pétrole</w:t>
            </w:r>
            <w:proofErr w:type="spellEnd"/>
            <w:r>
              <w:t xml:space="preserve"> </w:t>
            </w:r>
            <w:proofErr w:type="spellStart"/>
            <w:r>
              <w:t>liquéfié</w:t>
            </w:r>
            <w:proofErr w:type="spellEnd"/>
            <w:r>
              <w:t xml:space="preserve"> (GPL) </w:t>
            </w:r>
          </w:p>
        </w:tc>
        <w:tc>
          <w:tcPr>
            <w:tcW w:w="1417" w:type="dxa"/>
            <w:vAlign w:val="center"/>
          </w:tcPr>
          <w:p w14:paraId="695DDBFA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 w:rsidRPr="00536FA2">
              <w:rPr>
                <w:lang w:val="fr-FR"/>
              </w:rPr>
              <w:t xml:space="preserve">6.8.2.1.1, 6.8.2.2, 6.8.2.4.1 </w:t>
            </w:r>
            <w:r>
              <w:rPr>
                <w:lang w:val="fr-FR"/>
              </w:rPr>
              <w:t>et</w:t>
            </w:r>
            <w:r w:rsidRPr="00536FA2">
              <w:rPr>
                <w:lang w:val="fr-FR"/>
              </w:rPr>
              <w:t xml:space="preserve"> 6.8.3.2.3</w:t>
            </w:r>
          </w:p>
        </w:tc>
        <w:tc>
          <w:tcPr>
            <w:tcW w:w="992" w:type="dxa"/>
            <w:vAlign w:val="center"/>
          </w:tcPr>
          <w:p w14:paraId="50CCF8D6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851" w:type="dxa"/>
            <w:vAlign w:val="center"/>
          </w:tcPr>
          <w:p w14:paraId="6272FC9C" w14:textId="77777777" w:rsidR="009E0AE4" w:rsidRPr="00536FA2" w:rsidRDefault="009E0AE4" w:rsidP="00DF6420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115DE609" w14:textId="77777777" w:rsidR="009E0AE4" w:rsidRPr="00536FA2" w:rsidRDefault="009E0AE4" w:rsidP="009E0AE4">
      <w:pPr>
        <w:pStyle w:val="SingleTxtG"/>
        <w:rPr>
          <w:b/>
          <w:bCs/>
          <w:lang w:val="fr-FR"/>
        </w:rPr>
      </w:pPr>
    </w:p>
    <w:p w14:paraId="01832E88" w14:textId="48FBF191" w:rsidR="0042633E" w:rsidRPr="001100E6" w:rsidRDefault="001100E6" w:rsidP="001100E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633E" w:rsidRPr="001100E6" w:rsidSect="001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FFF3" w14:textId="77777777" w:rsidR="00755298" w:rsidRDefault="00755298"/>
  </w:endnote>
  <w:endnote w:type="continuationSeparator" w:id="0">
    <w:p w14:paraId="3ACA78AB" w14:textId="77777777" w:rsidR="00755298" w:rsidRDefault="00755298"/>
  </w:endnote>
  <w:endnote w:type="continuationNotice" w:id="1">
    <w:p w14:paraId="5A9ABF33" w14:textId="77777777" w:rsidR="00755298" w:rsidRDefault="00755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698A" w14:textId="5A38A01A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2DB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8C0" w14:textId="7957D7EE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2DB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DDAB" w14:textId="77777777" w:rsidR="00755298" w:rsidRPr="000B175B" w:rsidRDefault="007552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DEAE8" w14:textId="77777777" w:rsidR="00755298" w:rsidRPr="00FC68B7" w:rsidRDefault="007552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439A7" w14:textId="77777777" w:rsidR="00755298" w:rsidRDefault="00755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C50" w14:textId="1FDF8E4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950823">
      <w:rPr>
        <w:lang w:val="fr-CH"/>
      </w:rPr>
      <w:t>53</w:t>
    </w:r>
    <w:r w:rsidR="009E0AE4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D6B" w14:textId="1167EAE0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950823">
      <w:t>53</w:t>
    </w:r>
    <w:r w:rsidR="009E0AE4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F03" w14:textId="6197D367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950823">
      <w:rPr>
        <w:sz w:val="28"/>
        <w:szCs w:val="28"/>
      </w:rPr>
      <w:t>53</w:t>
    </w:r>
    <w:r w:rsidR="009E0AE4">
      <w:rPr>
        <w:sz w:val="28"/>
        <w:szCs w:val="28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590"/>
    <w:multiLevelType w:val="hybridMultilevel"/>
    <w:tmpl w:val="C9402B86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28"/>
  </w:num>
  <w:num w:numId="18">
    <w:abstractNumId w:val="31"/>
  </w:num>
  <w:num w:numId="19">
    <w:abstractNumId w:val="26"/>
  </w:num>
  <w:num w:numId="20">
    <w:abstractNumId w:val="13"/>
  </w:num>
  <w:num w:numId="21">
    <w:abstractNumId w:val="20"/>
  </w:num>
  <w:num w:numId="22">
    <w:abstractNumId w:val="32"/>
  </w:num>
  <w:num w:numId="23">
    <w:abstractNumId w:val="19"/>
  </w:num>
  <w:num w:numId="24">
    <w:abstractNumId w:val="22"/>
  </w:num>
  <w:num w:numId="25">
    <w:abstractNumId w:val="30"/>
  </w:num>
  <w:num w:numId="26">
    <w:abstractNumId w:val="21"/>
  </w:num>
  <w:num w:numId="27">
    <w:abstractNumId w:val="11"/>
  </w:num>
  <w:num w:numId="28">
    <w:abstractNumId w:val="29"/>
  </w:num>
  <w:num w:numId="29">
    <w:abstractNumId w:val="24"/>
  </w:num>
  <w:num w:numId="30">
    <w:abstractNumId w:val="25"/>
  </w:num>
  <w:num w:numId="31">
    <w:abstractNumId w:val="28"/>
  </w:num>
  <w:num w:numId="32">
    <w:abstractNumId w:val="27"/>
  </w:num>
  <w:num w:numId="33">
    <w:abstractNumId w:val="23"/>
  </w:num>
  <w:num w:numId="34">
    <w:abstractNumId w:val="28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A8A"/>
    <w:rsid w:val="00017C14"/>
    <w:rsid w:val="00027624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5D2C"/>
    <w:rsid w:val="000F7715"/>
    <w:rsid w:val="001022EF"/>
    <w:rsid w:val="00103E99"/>
    <w:rsid w:val="001100E6"/>
    <w:rsid w:val="001108F0"/>
    <w:rsid w:val="00111B25"/>
    <w:rsid w:val="00116363"/>
    <w:rsid w:val="001179A1"/>
    <w:rsid w:val="00125674"/>
    <w:rsid w:val="00126BAB"/>
    <w:rsid w:val="00130515"/>
    <w:rsid w:val="001361B9"/>
    <w:rsid w:val="00140040"/>
    <w:rsid w:val="0014401A"/>
    <w:rsid w:val="00155BE7"/>
    <w:rsid w:val="00156B99"/>
    <w:rsid w:val="0015713B"/>
    <w:rsid w:val="001573E4"/>
    <w:rsid w:val="00161037"/>
    <w:rsid w:val="00166124"/>
    <w:rsid w:val="00167F20"/>
    <w:rsid w:val="0017009E"/>
    <w:rsid w:val="00172600"/>
    <w:rsid w:val="001765D7"/>
    <w:rsid w:val="00176739"/>
    <w:rsid w:val="00180643"/>
    <w:rsid w:val="00184DDA"/>
    <w:rsid w:val="001874B4"/>
    <w:rsid w:val="001900CD"/>
    <w:rsid w:val="00193421"/>
    <w:rsid w:val="00193D85"/>
    <w:rsid w:val="0019444B"/>
    <w:rsid w:val="001A0452"/>
    <w:rsid w:val="001A3481"/>
    <w:rsid w:val="001A3EDC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5A0"/>
    <w:rsid w:val="001C7895"/>
    <w:rsid w:val="001D15C4"/>
    <w:rsid w:val="001D26DF"/>
    <w:rsid w:val="001D312D"/>
    <w:rsid w:val="001E0DF6"/>
    <w:rsid w:val="001E1A82"/>
    <w:rsid w:val="001E583F"/>
    <w:rsid w:val="001F12DF"/>
    <w:rsid w:val="001F1599"/>
    <w:rsid w:val="001F1961"/>
    <w:rsid w:val="001F19C4"/>
    <w:rsid w:val="001F6980"/>
    <w:rsid w:val="001F6B91"/>
    <w:rsid w:val="001F7A8B"/>
    <w:rsid w:val="002043F0"/>
    <w:rsid w:val="002060B9"/>
    <w:rsid w:val="00211E0B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42F8B"/>
    <w:rsid w:val="00245DD6"/>
    <w:rsid w:val="00247258"/>
    <w:rsid w:val="00250356"/>
    <w:rsid w:val="002547F2"/>
    <w:rsid w:val="002565C8"/>
    <w:rsid w:val="002574B9"/>
    <w:rsid w:val="00257CAC"/>
    <w:rsid w:val="00264807"/>
    <w:rsid w:val="00273433"/>
    <w:rsid w:val="002815FC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6DB4"/>
    <w:rsid w:val="002F024B"/>
    <w:rsid w:val="002F046D"/>
    <w:rsid w:val="002F272B"/>
    <w:rsid w:val="003007E7"/>
    <w:rsid w:val="00300A65"/>
    <w:rsid w:val="00301764"/>
    <w:rsid w:val="00302B3E"/>
    <w:rsid w:val="00321665"/>
    <w:rsid w:val="003229D8"/>
    <w:rsid w:val="00322DEC"/>
    <w:rsid w:val="0032343D"/>
    <w:rsid w:val="00323AD2"/>
    <w:rsid w:val="0032508A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724"/>
    <w:rsid w:val="00354CED"/>
    <w:rsid w:val="0035638C"/>
    <w:rsid w:val="003564DC"/>
    <w:rsid w:val="003645B0"/>
    <w:rsid w:val="00365611"/>
    <w:rsid w:val="00370928"/>
    <w:rsid w:val="00373041"/>
    <w:rsid w:val="00377A83"/>
    <w:rsid w:val="003806F0"/>
    <w:rsid w:val="00382512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0B55"/>
    <w:rsid w:val="003E278A"/>
    <w:rsid w:val="003E3D94"/>
    <w:rsid w:val="003F07CB"/>
    <w:rsid w:val="003F1887"/>
    <w:rsid w:val="004019C8"/>
    <w:rsid w:val="0040292E"/>
    <w:rsid w:val="004032CF"/>
    <w:rsid w:val="00413520"/>
    <w:rsid w:val="00414F7A"/>
    <w:rsid w:val="00415221"/>
    <w:rsid w:val="00423002"/>
    <w:rsid w:val="0042633E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B38"/>
    <w:rsid w:val="0048402E"/>
    <w:rsid w:val="004840DC"/>
    <w:rsid w:val="00490954"/>
    <w:rsid w:val="004909E7"/>
    <w:rsid w:val="0049311D"/>
    <w:rsid w:val="004B2A91"/>
    <w:rsid w:val="004B45B0"/>
    <w:rsid w:val="004B536D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7A88"/>
    <w:rsid w:val="005546FD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4D10"/>
    <w:rsid w:val="0061645F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3F0E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2407"/>
    <w:rsid w:val="006853B3"/>
    <w:rsid w:val="006940E1"/>
    <w:rsid w:val="006955B0"/>
    <w:rsid w:val="006A1D39"/>
    <w:rsid w:val="006A3C72"/>
    <w:rsid w:val="006A57DC"/>
    <w:rsid w:val="006A7392"/>
    <w:rsid w:val="006B03A1"/>
    <w:rsid w:val="006B44AD"/>
    <w:rsid w:val="006B67D9"/>
    <w:rsid w:val="006B6FE3"/>
    <w:rsid w:val="006C5535"/>
    <w:rsid w:val="006D0589"/>
    <w:rsid w:val="006D087A"/>
    <w:rsid w:val="006D513E"/>
    <w:rsid w:val="006E2CC1"/>
    <w:rsid w:val="006E564B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5DE0"/>
    <w:rsid w:val="00810BAC"/>
    <w:rsid w:val="0081100B"/>
    <w:rsid w:val="008153BB"/>
    <w:rsid w:val="008175E9"/>
    <w:rsid w:val="008203B2"/>
    <w:rsid w:val="0082405C"/>
    <w:rsid w:val="008242D7"/>
    <w:rsid w:val="00825578"/>
    <w:rsid w:val="008256D7"/>
    <w:rsid w:val="0082577B"/>
    <w:rsid w:val="00830D15"/>
    <w:rsid w:val="008330FC"/>
    <w:rsid w:val="0083344C"/>
    <w:rsid w:val="00834DF7"/>
    <w:rsid w:val="00835C0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D63"/>
    <w:rsid w:val="00906BFE"/>
    <w:rsid w:val="00913504"/>
    <w:rsid w:val="00914DC3"/>
    <w:rsid w:val="0091597A"/>
    <w:rsid w:val="00915C95"/>
    <w:rsid w:val="00916B9C"/>
    <w:rsid w:val="00924CF0"/>
    <w:rsid w:val="00926E47"/>
    <w:rsid w:val="009324AE"/>
    <w:rsid w:val="009335D5"/>
    <w:rsid w:val="0094444F"/>
    <w:rsid w:val="00945B24"/>
    <w:rsid w:val="00946D3D"/>
    <w:rsid w:val="00946EAC"/>
    <w:rsid w:val="00947162"/>
    <w:rsid w:val="009479C1"/>
    <w:rsid w:val="00950823"/>
    <w:rsid w:val="00953163"/>
    <w:rsid w:val="00955410"/>
    <w:rsid w:val="009601FF"/>
    <w:rsid w:val="0096068B"/>
    <w:rsid w:val="00960D5D"/>
    <w:rsid w:val="009610D0"/>
    <w:rsid w:val="0096375C"/>
    <w:rsid w:val="009662E6"/>
    <w:rsid w:val="0097095E"/>
    <w:rsid w:val="00971E4D"/>
    <w:rsid w:val="00974F7C"/>
    <w:rsid w:val="00980F57"/>
    <w:rsid w:val="009826E8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16C9"/>
    <w:rsid w:val="009A6B7B"/>
    <w:rsid w:val="009A7B81"/>
    <w:rsid w:val="009B29EA"/>
    <w:rsid w:val="009B6116"/>
    <w:rsid w:val="009C144C"/>
    <w:rsid w:val="009C500D"/>
    <w:rsid w:val="009C59B9"/>
    <w:rsid w:val="009D01C0"/>
    <w:rsid w:val="009D0FD7"/>
    <w:rsid w:val="009D6A08"/>
    <w:rsid w:val="009E0A16"/>
    <w:rsid w:val="009E0AE4"/>
    <w:rsid w:val="009E7970"/>
    <w:rsid w:val="009F2EAC"/>
    <w:rsid w:val="009F57E3"/>
    <w:rsid w:val="009F6961"/>
    <w:rsid w:val="00A00D3D"/>
    <w:rsid w:val="00A07EBB"/>
    <w:rsid w:val="00A10F4F"/>
    <w:rsid w:val="00A11067"/>
    <w:rsid w:val="00A13229"/>
    <w:rsid w:val="00A138AB"/>
    <w:rsid w:val="00A1704A"/>
    <w:rsid w:val="00A23E9E"/>
    <w:rsid w:val="00A370D7"/>
    <w:rsid w:val="00A400D3"/>
    <w:rsid w:val="00A41BB8"/>
    <w:rsid w:val="00A425EB"/>
    <w:rsid w:val="00A430C8"/>
    <w:rsid w:val="00A45CB7"/>
    <w:rsid w:val="00A4743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5935"/>
    <w:rsid w:val="00A95E35"/>
    <w:rsid w:val="00A96696"/>
    <w:rsid w:val="00A976DD"/>
    <w:rsid w:val="00AA0FF8"/>
    <w:rsid w:val="00AA3567"/>
    <w:rsid w:val="00AB2CE7"/>
    <w:rsid w:val="00AB2D13"/>
    <w:rsid w:val="00AB5169"/>
    <w:rsid w:val="00AC0F2C"/>
    <w:rsid w:val="00AC1453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14AA"/>
    <w:rsid w:val="00B4482F"/>
    <w:rsid w:val="00B45C02"/>
    <w:rsid w:val="00B4691D"/>
    <w:rsid w:val="00B46AB9"/>
    <w:rsid w:val="00B47667"/>
    <w:rsid w:val="00B609E7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0587"/>
    <w:rsid w:val="00BA339B"/>
    <w:rsid w:val="00BB0E72"/>
    <w:rsid w:val="00BB2862"/>
    <w:rsid w:val="00BB3D9E"/>
    <w:rsid w:val="00BC1E7E"/>
    <w:rsid w:val="00BC24E4"/>
    <w:rsid w:val="00BC2E45"/>
    <w:rsid w:val="00BC3E26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49B1"/>
    <w:rsid w:val="00C15DC2"/>
    <w:rsid w:val="00C2098C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9213B"/>
    <w:rsid w:val="00C9346D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5B04"/>
    <w:rsid w:val="00D2031B"/>
    <w:rsid w:val="00D22806"/>
    <w:rsid w:val="00D231B0"/>
    <w:rsid w:val="00D23EAC"/>
    <w:rsid w:val="00D23F0F"/>
    <w:rsid w:val="00D25EC1"/>
    <w:rsid w:val="00D25FE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689"/>
    <w:rsid w:val="00D72727"/>
    <w:rsid w:val="00D731DD"/>
    <w:rsid w:val="00D73D7E"/>
    <w:rsid w:val="00D74114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D50EB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2660"/>
    <w:rsid w:val="00E11BB2"/>
    <w:rsid w:val="00E1773B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5B1B"/>
    <w:rsid w:val="00EC10B9"/>
    <w:rsid w:val="00EC2DB3"/>
    <w:rsid w:val="00ED044A"/>
    <w:rsid w:val="00ED18DC"/>
    <w:rsid w:val="00ED2FA9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5AF"/>
    <w:rsid w:val="00FD0A90"/>
    <w:rsid w:val="00FD55B1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2AEB-F83F-4964-8019-7FAF7C48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7359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Manager/>
  <Company>UNECE</Company>
  <LinksUpToDate>false</LinksUpToDate>
  <CharactersWithSpaces>8633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Christine Barrio-Champeau</cp:lastModifiedBy>
  <cp:revision>2</cp:revision>
  <cp:lastPrinted>2020-03-12T11:59:00Z</cp:lastPrinted>
  <dcterms:created xsi:type="dcterms:W3CDTF">2020-09-09T14:20:00Z</dcterms:created>
  <dcterms:modified xsi:type="dcterms:W3CDTF">2020-09-09T14:20:00Z</dcterms:modified>
  <cp:category/>
</cp:coreProperties>
</file>