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1B" w:rsidRDefault="00BA6A6D">
      <w:pPr>
        <w:spacing w:before="120"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A1431B" w:rsidRDefault="00BA6A6D">
      <w:pPr>
        <w:spacing w:before="120" w:after="0" w:line="240" w:lineRule="atLeast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A1431B" w:rsidRDefault="00BA6A6D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>
        <w:rPr>
          <w:b/>
          <w:szCs w:val="24"/>
        </w:rPr>
        <w:t>Working Party on the Transport of Dangerous Goods</w:t>
      </w:r>
      <w:r>
        <w:rPr>
          <w:b/>
          <w:szCs w:val="24"/>
        </w:rPr>
        <w:tab/>
      </w:r>
      <w:r w:rsidR="005D40D8">
        <w:rPr>
          <w:b/>
        </w:rPr>
        <w:t>27</w:t>
      </w:r>
      <w:r>
        <w:rPr>
          <w:b/>
        </w:rPr>
        <w:t xml:space="preserve"> </w:t>
      </w:r>
      <w:r w:rsidR="00207D1A">
        <w:rPr>
          <w:b/>
        </w:rPr>
        <w:t>August</w:t>
      </w:r>
      <w:r>
        <w:rPr>
          <w:b/>
        </w:rPr>
        <w:t xml:space="preserve"> 2020</w:t>
      </w:r>
    </w:p>
    <w:p w:rsidR="00A1431B" w:rsidRDefault="00BA6A6D">
      <w:pPr>
        <w:spacing w:before="120" w:after="120" w:line="240" w:lineRule="atLeast"/>
        <w:rPr>
          <w:b/>
        </w:rPr>
      </w:pPr>
      <w:r>
        <w:rPr>
          <w:b/>
        </w:rPr>
        <w:t xml:space="preserve">Joint Meeting of the RID Committee of Experts and the </w:t>
      </w:r>
      <w:r>
        <w:rPr>
          <w:b/>
        </w:rPr>
        <w:br/>
        <w:t>Working Party on the Transport of Dangerous Goods</w:t>
      </w:r>
    </w:p>
    <w:p w:rsidR="00A1431B" w:rsidRDefault="00BA6A6D">
      <w:pPr>
        <w:spacing w:after="0" w:line="240" w:lineRule="atLeast"/>
        <w:rPr>
          <w:b/>
          <w:bCs/>
        </w:rPr>
      </w:pPr>
      <w:r>
        <w:t>Bern, 10-11 September 2020 and Geneva, 14–18 September 2020</w:t>
      </w:r>
      <w:r>
        <w:br/>
        <w:t>Item 1 of the provisional agenda:</w:t>
      </w:r>
      <w:r>
        <w:br/>
      </w:r>
      <w:r>
        <w:rPr>
          <w:b/>
        </w:rPr>
        <w:t>Adoption of the agenda</w:t>
      </w:r>
    </w:p>
    <w:p w:rsidR="00A1431B" w:rsidRDefault="00BA6A6D">
      <w:pPr>
        <w:pStyle w:val="HChG"/>
      </w:pPr>
      <w:r>
        <w:tab/>
      </w:r>
      <w:r>
        <w:tab/>
        <w:t>Provisional timetable for the Autumn 2020 session</w:t>
      </w:r>
    </w:p>
    <w:p w:rsidR="00A1431B" w:rsidRDefault="00BA6A6D">
      <w:pPr>
        <w:pStyle w:val="H1G"/>
      </w:pPr>
      <w:r>
        <w:tab/>
      </w:r>
      <w:r>
        <w:tab/>
        <w:t>Note by the secretariat</w:t>
      </w:r>
    </w:p>
    <w:p w:rsidR="00A1431B" w:rsidRDefault="00BA6A6D">
      <w:pPr>
        <w:spacing w:after="120"/>
      </w:pPr>
      <w:r>
        <w:tab/>
      </w:r>
      <w:r>
        <w:tab/>
        <w:t>The 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A1431B"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Thursday, 10 September (starting at 10:00)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Items 1, 2</w:t>
            </w:r>
            <w:r>
              <w:rPr>
                <w:rStyle w:val="Ancredenotedebasdepage"/>
              </w:rPr>
              <w:footnoteReference w:id="1"/>
              <w:t>*</w:t>
            </w:r>
            <w:r>
              <w:t xml:space="preserve"> </w:t>
            </w:r>
            <w:r>
              <w:rPr>
                <w:rStyle w:val="FootnoteCharacters"/>
                <w:vertAlign w:val="baseline"/>
              </w:rPr>
              <w:t>and</w:t>
            </w:r>
            <w:r>
              <w:t xml:space="preserve"> 5</w:t>
            </w:r>
          </w:p>
        </w:tc>
      </w:tr>
      <w:tr w:rsidR="00A1431B"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Friday, 11 September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 xml:space="preserve">Item 5 following the order in the agenda </w:t>
            </w:r>
          </w:p>
        </w:tc>
      </w:tr>
      <w:tr w:rsidR="00A1431B"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Monday, 14 September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Recap of item 5 and item 6 following the order in the agenda</w:t>
            </w:r>
          </w:p>
        </w:tc>
      </w:tr>
      <w:tr w:rsidR="00A1431B"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Tuesday, 15 September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 xml:space="preserve">Recap of item 6 and item 4 following the order in the agenda </w:t>
            </w:r>
          </w:p>
        </w:tc>
      </w:tr>
      <w:tr w:rsidR="00A1431B">
        <w:trPr>
          <w:trHeight w:val="507"/>
        </w:trPr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Wednesday, 16 September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 xml:space="preserve">Recap of item 4 and </w:t>
            </w:r>
          </w:p>
          <w:p w:rsidR="00A1431B" w:rsidRDefault="00BA6A6D">
            <w:pPr>
              <w:spacing w:before="60" w:after="60"/>
            </w:pPr>
            <w:r>
              <w:t>item 3 (Report of the Working Group on Standards) and item 7</w:t>
            </w:r>
          </w:p>
        </w:tc>
      </w:tr>
      <w:tr w:rsidR="00A1431B"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Thursday, 17 September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Item 2 (Report of the Working Group on Tanks), and</w:t>
            </w:r>
          </w:p>
          <w:p w:rsidR="00A1431B" w:rsidRDefault="00BA6A6D">
            <w:pPr>
              <w:spacing w:before="60" w:after="60"/>
            </w:pPr>
            <w:r>
              <w:t>remaining issues of item 8 to 10</w:t>
            </w:r>
          </w:p>
        </w:tc>
      </w:tr>
      <w:tr w:rsidR="00A1431B">
        <w:tc>
          <w:tcPr>
            <w:tcW w:w="2693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Friday, 18 September</w:t>
            </w:r>
          </w:p>
        </w:tc>
        <w:tc>
          <w:tcPr>
            <w:tcW w:w="5562" w:type="dxa"/>
            <w:shd w:val="clear" w:color="auto" w:fill="auto"/>
          </w:tcPr>
          <w:p w:rsidR="00A1431B" w:rsidRDefault="00BA6A6D">
            <w:pPr>
              <w:spacing w:before="60" w:after="60"/>
            </w:pPr>
            <w:r>
              <w:t>Item 11 (with interpretation)</w:t>
            </w:r>
          </w:p>
        </w:tc>
      </w:tr>
    </w:tbl>
    <w:p w:rsidR="00A1431B" w:rsidRDefault="00A1431B">
      <w:pPr>
        <w:pStyle w:val="SingleTxtG"/>
      </w:pPr>
    </w:p>
    <w:p w:rsidR="00A1431B" w:rsidRDefault="00BA6A6D">
      <w:pPr>
        <w:pStyle w:val="SingleTxtG"/>
        <w:spacing w:after="0"/>
      </w:pPr>
      <w:r>
        <w:t>1.</w:t>
      </w:r>
      <w:r>
        <w:tab/>
        <w:t>Adoption of the agenda.</w:t>
      </w:r>
    </w:p>
    <w:p w:rsidR="00A1431B" w:rsidRDefault="00BA6A6D">
      <w:pPr>
        <w:pStyle w:val="SingleTxtG"/>
        <w:spacing w:after="0"/>
      </w:pPr>
      <w:r>
        <w:t>2.</w:t>
      </w:r>
      <w:r>
        <w:tab/>
        <w:t>Tanks.</w:t>
      </w:r>
    </w:p>
    <w:p w:rsidR="00A1431B" w:rsidRDefault="00BA6A6D">
      <w:pPr>
        <w:pStyle w:val="SingleTxtG"/>
        <w:spacing w:after="0"/>
      </w:pPr>
      <w:r>
        <w:t>3.</w:t>
      </w:r>
      <w:r>
        <w:tab/>
        <w:t>Standards.</w:t>
      </w:r>
    </w:p>
    <w:p w:rsidR="00A1431B" w:rsidRDefault="00BA6A6D">
      <w:pPr>
        <w:pStyle w:val="SingleTxtG"/>
        <w:spacing w:after="0"/>
      </w:pPr>
      <w:r>
        <w:t>4.</w:t>
      </w:r>
      <w:r>
        <w:tab/>
        <w:t>Interpretation of RID/ADR/ADN.</w:t>
      </w:r>
    </w:p>
    <w:p w:rsidR="00A1431B" w:rsidRDefault="00BA6A6D">
      <w:pPr>
        <w:pStyle w:val="SingleTxtG"/>
        <w:spacing w:after="0"/>
      </w:pPr>
      <w:r>
        <w:t>5.</w:t>
      </w:r>
      <w:r>
        <w:tab/>
        <w:t>Proposals for amendments to RID/ADR/ADN.</w:t>
      </w:r>
    </w:p>
    <w:p w:rsidR="00A1431B" w:rsidRDefault="00BA6A6D">
      <w:pPr>
        <w:pStyle w:val="SingleTxtG"/>
        <w:spacing w:after="0"/>
      </w:pPr>
      <w:r>
        <w:t>6.</w:t>
      </w:r>
      <w:r>
        <w:tab/>
        <w:t>Reports of informal working groups.</w:t>
      </w:r>
    </w:p>
    <w:p w:rsidR="00A1431B" w:rsidRDefault="00BA6A6D">
      <w:pPr>
        <w:pStyle w:val="SingleTxtG"/>
        <w:spacing w:after="0"/>
      </w:pPr>
      <w:r>
        <w:t>7.</w:t>
      </w:r>
      <w:r>
        <w:tab/>
        <w:t>Accidents and risk management.</w:t>
      </w:r>
    </w:p>
    <w:p w:rsidR="00A1431B" w:rsidRDefault="00BA6A6D">
      <w:pPr>
        <w:pStyle w:val="SingleTxtG"/>
        <w:spacing w:after="0"/>
      </w:pPr>
      <w:r>
        <w:t>8.</w:t>
      </w:r>
      <w:r>
        <w:tab/>
        <w:t>Future work</w:t>
      </w:r>
      <w:r w:rsidR="00A565FA">
        <w:t>.</w:t>
      </w:r>
      <w:bookmarkStart w:id="0" w:name="_GoBack"/>
      <w:bookmarkEnd w:id="0"/>
    </w:p>
    <w:p w:rsidR="00A1431B" w:rsidRDefault="00BA6A6D">
      <w:pPr>
        <w:pStyle w:val="SingleTxtG"/>
        <w:spacing w:after="0"/>
      </w:pPr>
      <w:r>
        <w:t>9.</w:t>
      </w:r>
      <w:r>
        <w:tab/>
        <w:t>Election of officers for 2021.</w:t>
      </w:r>
    </w:p>
    <w:p w:rsidR="00A1431B" w:rsidRDefault="00BA6A6D">
      <w:pPr>
        <w:pStyle w:val="SingleTxtG"/>
        <w:spacing w:after="0"/>
      </w:pPr>
      <w:r>
        <w:t>10.</w:t>
      </w:r>
      <w:r>
        <w:tab/>
        <w:t>Any other business.</w:t>
      </w:r>
    </w:p>
    <w:p w:rsidR="00A1431B" w:rsidRDefault="00BA6A6D">
      <w:pPr>
        <w:pStyle w:val="SingleTxtG"/>
        <w:spacing w:after="0"/>
      </w:pPr>
      <w:r>
        <w:t>11.</w:t>
      </w:r>
      <w:r>
        <w:tab/>
        <w:t>Adoption of the report</w:t>
      </w:r>
      <w:r w:rsidR="005D40D8">
        <w:t>.</w:t>
      </w:r>
    </w:p>
    <w:p w:rsidR="00A1431B" w:rsidRDefault="00BA6A6D">
      <w:pPr>
        <w:spacing w:before="240" w:after="0" w:line="240" w:lineRule="atLeast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4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134" w:left="1134" w:header="851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0A" w:rsidRDefault="00BA6A6D">
      <w:pPr>
        <w:spacing w:after="0"/>
      </w:pPr>
      <w:r>
        <w:separator/>
      </w:r>
    </w:p>
  </w:endnote>
  <w:endnote w:type="continuationSeparator" w:id="0">
    <w:p w:rsidR="002A400A" w:rsidRDefault="00BA6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1B" w:rsidRDefault="00BA6A6D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1B" w:rsidRDefault="00BA6A6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>
      <w:rPr>
        <w:rStyle w:val="Numrodepage"/>
      </w:rPr>
      <w:t>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1B" w:rsidRDefault="00A1431B"/>
  </w:footnote>
  <w:footnote w:type="continuationSeparator" w:id="0">
    <w:p w:rsidR="00A1431B" w:rsidRDefault="00BA6A6D">
      <w:r>
        <w:continuationSeparator/>
      </w:r>
    </w:p>
  </w:footnote>
  <w:footnote w:id="1">
    <w:p w:rsidR="00A1431B" w:rsidRDefault="00BA6A6D">
      <w:pPr>
        <w:pStyle w:val="Notedebasdepage"/>
      </w:pPr>
      <w:r>
        <w:rPr>
          <w:u w:val="single"/>
        </w:rPr>
        <w:tab/>
      </w:r>
      <w:r>
        <w:tab/>
      </w:r>
      <w:r>
        <w:rPr>
          <w:rStyle w:val="FootnoteCharacters"/>
          <w:sz w:val="20"/>
        </w:rPr>
        <w:t>*</w:t>
      </w:r>
      <w:r w:rsidR="005D40D8">
        <w:t xml:space="preserve"> </w:t>
      </w:r>
      <w:r>
        <w:t xml:space="preserve">Working </w:t>
      </w:r>
      <w:r w:rsidR="005D40D8">
        <w:t>G</w:t>
      </w:r>
      <w:r>
        <w:t xml:space="preserve">roup session </w:t>
      </w:r>
      <w:r w:rsidR="005D40D8">
        <w:t xml:space="preserve">will be held </w:t>
      </w:r>
      <w:r>
        <w:t>in parallel from 10-16 September.</w:t>
      </w:r>
      <w:r w:rsidR="005D40D8">
        <w:t xml:space="preserve"> </w:t>
      </w:r>
      <w:r w:rsidR="005D40D8" w:rsidRPr="005D40D8">
        <w:t>Delegates wishing to participate in the Working Group on Tanks are requested to inform the Secretary of the Working Group, Mr</w:t>
      </w:r>
      <w:r w:rsidR="005D40D8">
        <w:t>.</w:t>
      </w:r>
      <w:r w:rsidR="005D40D8" w:rsidRPr="005D40D8">
        <w:t xml:space="preserve"> Cees de Putter (e-mail: cdeputter@rdw.nl).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1B" w:rsidRDefault="00BA6A6D">
    <w:pPr>
      <w:pStyle w:val="En-tte"/>
      <w:rPr>
        <w:lang w:val="fr-CH"/>
      </w:rPr>
    </w:pPr>
    <w:r>
      <w:rPr>
        <w:lang w:val="fr-CH"/>
      </w:rPr>
      <w:t>INF.22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1B" w:rsidRDefault="00BA6A6D">
    <w:pPr>
      <w:pStyle w:val="En-tte"/>
      <w:jc w:val="right"/>
    </w:pPr>
    <w:r>
      <w:t>INF.XX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1B" w:rsidRDefault="00BA6A6D">
    <w:pPr>
      <w:pStyle w:val="En-tte"/>
      <w:pBdr>
        <w:bottom w:val="single" w:sz="4" w:space="1" w:color="000000"/>
      </w:pBdr>
      <w:jc w:val="right"/>
      <w:rPr>
        <w:sz w:val="28"/>
        <w:szCs w:val="28"/>
      </w:rPr>
    </w:pPr>
    <w:r>
      <w:rPr>
        <w:sz w:val="28"/>
        <w:szCs w:val="28"/>
      </w:rPr>
      <w:t>INF.</w:t>
    </w:r>
    <w:r w:rsidR="00207D1A">
      <w:rPr>
        <w:sz w:val="28"/>
        <w:szCs w:val="28"/>
      </w:rPr>
      <w:t>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1B"/>
    <w:rsid w:val="00207D1A"/>
    <w:rsid w:val="002A400A"/>
    <w:rsid w:val="005D40D8"/>
    <w:rsid w:val="00A1431B"/>
    <w:rsid w:val="00A565FA"/>
    <w:rsid w:val="00B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AD19"/>
  <w15:docId w15:val="{90773F9E-6F73-4AFE-AE8A-C6A8602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Titre1">
    <w:name w:val="heading 1"/>
    <w:next w:val="SingleTxtG"/>
    <w:qFormat/>
    <w:rsid w:val="00ED7A2A"/>
    <w:pPr>
      <w:widowControl w:val="0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qFormat/>
    <w:rsid w:val="008979B1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character" w:customStyle="1" w:styleId="FootnoteCharacters">
    <w:name w:val="Foot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semiHidden/>
    <w:rsid w:val="00A23E9E"/>
    <w:rPr>
      <w:color w:val="auto"/>
      <w:u w:val="none"/>
    </w:rPr>
  </w:style>
  <w:style w:type="character" w:customStyle="1" w:styleId="En-tteCar">
    <w:name w:val="En-tête Car"/>
    <w:qFormat/>
    <w:rsid w:val="006643C6"/>
    <w:rPr>
      <w:b/>
      <w:sz w:val="18"/>
      <w:lang w:val="en-GB" w:eastAsia="en-US" w:bidi="ar-SA"/>
    </w:rPr>
  </w:style>
  <w:style w:type="character" w:styleId="Lienhypertextesuivivisit">
    <w:name w:val="FollowedHyperlink"/>
    <w:semiHidden/>
    <w:qFormat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character" w:customStyle="1" w:styleId="TextedebullesCar">
    <w:name w:val="Texte de bulles Car"/>
    <w:link w:val="Textedebulles"/>
    <w:qFormat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qFormat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03A88"/>
    <w:rPr>
      <w:color w:val="605E5C"/>
      <w:shd w:val="clear" w:color="auto" w:fill="E1DFDD"/>
    </w:rPr>
  </w:style>
  <w:style w:type="character" w:customStyle="1" w:styleId="H23GChar">
    <w:name w:val="_ H_2/3_G Char"/>
    <w:link w:val="H23G"/>
    <w:qFormat/>
    <w:locked/>
    <w:rsid w:val="008E4437"/>
    <w:rPr>
      <w:b/>
      <w:lang w:val="en-GB"/>
    </w:rPr>
  </w:style>
  <w:style w:type="character" w:customStyle="1" w:styleId="NotedebasdepageCar">
    <w:name w:val="Note de bas de page Car"/>
    <w:link w:val="Notedebasdepage"/>
    <w:qFormat/>
    <w:rsid w:val="00857A4B"/>
    <w:rPr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Arial"/>
      <w:color w:val="00000A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styleId="Notedebasdepage">
    <w:name w:val="footnote text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AF3A98"/>
    <w:pPr>
      <w:spacing w:after="120"/>
      <w:ind w:right="1134"/>
      <w:jc w:val="both"/>
    </w:pPr>
  </w:style>
  <w:style w:type="paragraph" w:styleId="Notedefin">
    <w:name w:val="endnote text"/>
    <w:basedOn w:val="Notedebasdepage"/>
    <w:rsid w:val="007B6BA5"/>
  </w:style>
  <w:style w:type="paragraph" w:customStyle="1" w:styleId="Bullet2G">
    <w:name w:val="_Bullet 2_G"/>
    <w:basedOn w:val="Normal"/>
    <w:qFormat/>
    <w:rsid w:val="00AF3A98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ieddepage">
    <w:name w:val="footer"/>
    <w:basedOn w:val="Normal"/>
    <w:rsid w:val="009F2EAC"/>
    <w:rPr>
      <w:sz w:val="16"/>
    </w:rPr>
  </w:style>
  <w:style w:type="paragraph" w:styleId="En-tte">
    <w:name w:val="header"/>
    <w:basedOn w:val="Normal"/>
    <w:rsid w:val="00050F6B"/>
    <w:pPr>
      <w:pBdr>
        <w:bottom w:val="single" w:sz="4" w:space="4" w:color="000000"/>
      </w:pBdr>
    </w:pPr>
    <w:rPr>
      <w:b/>
      <w:sz w:val="18"/>
    </w:rPr>
  </w:style>
  <w:style w:type="paragraph" w:customStyle="1" w:styleId="Standardowy">
    <w:name w:val="Standardowy"/>
    <w:qFormat/>
    <w:rsid w:val="001F12DF"/>
    <w:rPr>
      <w:rFonts w:ascii="Arial" w:hAnsi="Arial"/>
      <w:sz w:val="24"/>
      <w:lang w:val="en-GB"/>
    </w:rPr>
  </w:style>
  <w:style w:type="paragraph" w:styleId="Textedebulles">
    <w:name w:val="Balloon Text"/>
    <w:basedOn w:val="Normal"/>
    <w:link w:val="TextedebullesCar"/>
    <w:qFormat/>
    <w:rsid w:val="00D22806"/>
    <w:pPr>
      <w:spacing w:after="0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table" w:styleId="Grilledutableau">
    <w:name w:val="Table Grid"/>
    <w:basedOn w:val="TableauNormal"/>
    <w:semiHidden/>
    <w:rsid w:val="00A45CB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auNormal"/>
    <w:rsid w:val="002574B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17C5-6D9A-4E44-9D4A-FE72A8D7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</vt:lpstr>
    </vt:vector>
  </TitlesOfParts>
  <Company>UNECE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Romain Hubert</dc:creator>
  <dc:description/>
  <cp:lastModifiedBy>Romain Hubert</cp:lastModifiedBy>
  <cp:revision>3</cp:revision>
  <dcterms:created xsi:type="dcterms:W3CDTF">2020-08-27T14:04:00Z</dcterms:created>
  <dcterms:modified xsi:type="dcterms:W3CDTF">2020-08-27T14:05:00Z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