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57" w:rsidRPr="00A62F57" w:rsidRDefault="00A62F57" w:rsidP="00CA4562">
      <w:pPr>
        <w:pStyle w:val="H1G"/>
        <w:keepNext w:val="0"/>
        <w:keepLines w:val="0"/>
        <w:widowControl w:val="0"/>
        <w:adjustRightInd w:val="0"/>
        <w:snapToGrid w:val="0"/>
        <w:spacing w:before="240" w:after="120" w:line="223" w:lineRule="auto"/>
        <w:ind w:right="-6"/>
        <w:rPr>
          <w:sz w:val="28"/>
          <w:szCs w:val="28"/>
        </w:rPr>
      </w:pPr>
      <w:bookmarkStart w:id="0" w:name="_GoBack"/>
      <w:bookmarkEnd w:id="0"/>
      <w:r w:rsidRPr="00A62F57">
        <w:rPr>
          <w:sz w:val="28"/>
          <w:szCs w:val="28"/>
        </w:rPr>
        <w:t>Economic Commission for Europe</w:t>
      </w:r>
    </w:p>
    <w:p w:rsidR="00A62F57" w:rsidRPr="00B22FCB" w:rsidRDefault="00A62F57" w:rsidP="00CA4562">
      <w:pPr>
        <w:pStyle w:val="H1G"/>
        <w:keepNext w:val="0"/>
        <w:keepLines w:val="0"/>
        <w:widowControl w:val="0"/>
        <w:adjustRightInd w:val="0"/>
        <w:snapToGrid w:val="0"/>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CA4562">
      <w:pPr>
        <w:pStyle w:val="H1G"/>
        <w:keepNext w:val="0"/>
        <w:keepLines w:val="0"/>
        <w:widowControl w:val="0"/>
        <w:tabs>
          <w:tab w:val="left" w:pos="7938"/>
        </w:tabs>
        <w:adjustRightInd w:val="0"/>
        <w:snapToGrid w:val="0"/>
        <w:spacing w:before="120" w:after="0" w:line="223" w:lineRule="auto"/>
        <w:ind w:right="-6"/>
        <w:rPr>
          <w:sz w:val="20"/>
        </w:rPr>
      </w:pPr>
      <w:r w:rsidRPr="00B22FCB">
        <w:rPr>
          <w:sz w:val="20"/>
        </w:rPr>
        <w:t>Working Party on the Transport of Dangerous Goods</w:t>
      </w:r>
      <w:r w:rsidR="00B22FCB">
        <w:rPr>
          <w:sz w:val="20"/>
        </w:rPr>
        <w:tab/>
      </w:r>
      <w:r w:rsidR="00C56780">
        <w:rPr>
          <w:sz w:val="20"/>
        </w:rPr>
        <w:t>16 March</w:t>
      </w:r>
      <w:r w:rsidR="00D92E8B">
        <w:rPr>
          <w:sz w:val="20"/>
        </w:rPr>
        <w:t xml:space="preserve"> 20</w:t>
      </w:r>
      <w:r w:rsidR="00BA4009">
        <w:rPr>
          <w:sz w:val="20"/>
        </w:rPr>
        <w:t>20</w:t>
      </w:r>
    </w:p>
    <w:p w:rsidR="00CA4562" w:rsidRDefault="00A62F57" w:rsidP="00CA4562">
      <w:pPr>
        <w:pStyle w:val="H1G"/>
        <w:keepNext w:val="0"/>
        <w:keepLines w:val="0"/>
        <w:widowControl w:val="0"/>
        <w:adjustRightInd w:val="0"/>
        <w:snapToGrid w:val="0"/>
        <w:spacing w:before="120" w:after="0" w:line="240" w:lineRule="auto"/>
        <w:ind w:left="0" w:right="-6" w:firstLine="0"/>
        <w:rPr>
          <w:sz w:val="20"/>
        </w:rPr>
      </w:pPr>
      <w:r w:rsidRPr="00B22FCB">
        <w:rPr>
          <w:sz w:val="20"/>
        </w:rPr>
        <w:t>Joint Meeting of the RID Committee of Experts and the</w:t>
      </w:r>
    </w:p>
    <w:p w:rsidR="00A62F57" w:rsidRPr="00B22FCB" w:rsidRDefault="00A62F57" w:rsidP="00CA4562">
      <w:pPr>
        <w:pStyle w:val="H1G"/>
        <w:keepNext w:val="0"/>
        <w:keepLines w:val="0"/>
        <w:widowControl w:val="0"/>
        <w:adjustRightInd w:val="0"/>
        <w:snapToGrid w:val="0"/>
        <w:spacing w:before="0" w:after="0" w:line="240" w:lineRule="auto"/>
        <w:ind w:left="0" w:right="-6" w:firstLine="0"/>
        <w:rPr>
          <w:sz w:val="20"/>
        </w:rPr>
      </w:pP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A4562">
      <w:pPr>
        <w:widowControl w:val="0"/>
        <w:adjustRightInd w:val="0"/>
        <w:snapToGrid w:val="0"/>
        <w:spacing w:after="0"/>
      </w:pPr>
      <w:r w:rsidRPr="00B22FCB">
        <w:t>Geneva, 1</w:t>
      </w:r>
      <w:r w:rsidR="00DB147E">
        <w:t>6</w:t>
      </w:r>
      <w:r w:rsidRPr="00B22FCB">
        <w:t>–2</w:t>
      </w:r>
      <w:r w:rsidR="00DB147E">
        <w:t>0</w:t>
      </w:r>
      <w:r w:rsidRPr="00B22FCB">
        <w:t xml:space="preserve"> </w:t>
      </w:r>
      <w:r w:rsidR="00B97F62">
        <w:t>March</w:t>
      </w:r>
      <w:r w:rsidRPr="00B22FCB">
        <w:t xml:space="preserve"> 20</w:t>
      </w:r>
      <w:r w:rsidR="00B97F62">
        <w:t>20</w:t>
      </w:r>
    </w:p>
    <w:p w:rsidR="00C461FD" w:rsidRDefault="00C461FD" w:rsidP="00C461FD">
      <w:pPr>
        <w:pStyle w:val="Default"/>
        <w:rPr>
          <w:sz w:val="20"/>
          <w:szCs w:val="20"/>
        </w:rPr>
      </w:pPr>
      <w:r>
        <w:rPr>
          <w:sz w:val="20"/>
          <w:szCs w:val="20"/>
        </w:rPr>
        <w:t xml:space="preserve">Item </w:t>
      </w:r>
      <w:r w:rsidR="001008FA">
        <w:rPr>
          <w:sz w:val="20"/>
          <w:szCs w:val="20"/>
        </w:rPr>
        <w:t>2</w:t>
      </w:r>
      <w:r>
        <w:rPr>
          <w:sz w:val="20"/>
          <w:szCs w:val="20"/>
        </w:rPr>
        <w:t xml:space="preserve"> of the </w:t>
      </w:r>
      <w:proofErr w:type="spellStart"/>
      <w:r>
        <w:rPr>
          <w:sz w:val="20"/>
          <w:szCs w:val="20"/>
        </w:rPr>
        <w:t>provisional</w:t>
      </w:r>
      <w:proofErr w:type="spellEnd"/>
      <w:r>
        <w:rPr>
          <w:sz w:val="20"/>
          <w:szCs w:val="20"/>
        </w:rPr>
        <w:t xml:space="preserve"> agenda </w:t>
      </w:r>
    </w:p>
    <w:p w:rsidR="00A62F57" w:rsidRPr="00CD3425" w:rsidRDefault="001008FA" w:rsidP="00C461FD">
      <w:pPr>
        <w:widowControl w:val="0"/>
        <w:adjustRightInd w:val="0"/>
        <w:snapToGrid w:val="0"/>
        <w:spacing w:after="0"/>
        <w:rPr>
          <w:b/>
        </w:rPr>
      </w:pPr>
      <w:r>
        <w:rPr>
          <w:b/>
        </w:rPr>
        <w:t>Tanks</w:t>
      </w:r>
    </w:p>
    <w:p w:rsidR="00C56780" w:rsidRPr="00C353A0" w:rsidRDefault="00C461FD" w:rsidP="00C56780">
      <w:pPr>
        <w:tabs>
          <w:tab w:val="right" w:pos="851"/>
        </w:tabs>
        <w:adjustRightInd w:val="0"/>
        <w:snapToGrid w:val="0"/>
        <w:spacing w:before="360" w:line="300" w:lineRule="exact"/>
        <w:ind w:left="1134" w:right="1134" w:hanging="1134"/>
        <w:rPr>
          <w:b/>
          <w:sz w:val="28"/>
        </w:rPr>
      </w:pPr>
      <w:r>
        <w:rPr>
          <w:lang w:val="en-US"/>
        </w:rPr>
        <w:tab/>
      </w:r>
      <w:r>
        <w:rPr>
          <w:lang w:val="en-US"/>
        </w:rPr>
        <w:tab/>
      </w:r>
      <w:r w:rsidR="00C56780" w:rsidRPr="000C5273">
        <w:rPr>
          <w:b/>
          <w:sz w:val="28"/>
        </w:rPr>
        <w:t xml:space="preserve">Inspection of tanks whose deadlines for intermediate </w:t>
      </w:r>
      <w:r w:rsidR="00C56780">
        <w:rPr>
          <w:b/>
          <w:sz w:val="28"/>
        </w:rPr>
        <w:t>(</w:t>
      </w:r>
      <w:r w:rsidR="00C56780" w:rsidRPr="000C5273">
        <w:rPr>
          <w:b/>
          <w:sz w:val="28"/>
        </w:rPr>
        <w:t>and p</w:t>
      </w:r>
      <w:r w:rsidR="00C56780">
        <w:rPr>
          <w:b/>
          <w:sz w:val="28"/>
        </w:rPr>
        <w:t>eriodic) inspections have expired</w:t>
      </w:r>
    </w:p>
    <w:p w:rsidR="00C56780" w:rsidRPr="009067E3" w:rsidRDefault="00C56780" w:rsidP="00C56780">
      <w:pPr>
        <w:keepNext/>
        <w:keepLines/>
        <w:tabs>
          <w:tab w:val="right" w:pos="851"/>
        </w:tabs>
        <w:spacing w:before="360" w:line="270" w:lineRule="exact"/>
        <w:ind w:left="1134" w:right="1134" w:hanging="1134"/>
        <w:rPr>
          <w:b/>
          <w:lang w:val="en-US" w:eastAsia="ru-RU"/>
        </w:rPr>
      </w:pPr>
      <w:r w:rsidRPr="00C353A0">
        <w:rPr>
          <w:b/>
          <w:lang w:val="en-US" w:eastAsia="ru-RU"/>
        </w:rPr>
        <w:tab/>
      </w:r>
      <w:r w:rsidRPr="00C353A0">
        <w:rPr>
          <w:b/>
          <w:lang w:val="en-US" w:eastAsia="ru-RU"/>
        </w:rPr>
        <w:tab/>
        <w:t xml:space="preserve">Transmitted by the Government of the United Kingdom </w:t>
      </w:r>
    </w:p>
    <w:tbl>
      <w:tblPr>
        <w:tblW w:w="9815" w:type="dxa"/>
        <w:jc w:val="center"/>
        <w:tblLayout w:type="fixed"/>
        <w:tblCellMar>
          <w:left w:w="0" w:type="dxa"/>
          <w:right w:w="0" w:type="dxa"/>
        </w:tblCellMar>
        <w:tblLook w:val="01E0" w:firstRow="1" w:lastRow="1" w:firstColumn="1" w:lastColumn="1" w:noHBand="0" w:noVBand="0"/>
      </w:tblPr>
      <w:tblGrid>
        <w:gridCol w:w="3980"/>
        <w:gridCol w:w="5835"/>
      </w:tblGrid>
      <w:tr w:rsidR="00C56780" w:rsidRPr="00C353A0" w:rsidTr="008354CE">
        <w:trPr>
          <w:trHeight w:val="620"/>
          <w:jc w:val="center"/>
        </w:trPr>
        <w:tc>
          <w:tcPr>
            <w:tcW w:w="9815" w:type="dxa"/>
            <w:gridSpan w:val="2"/>
            <w:tcBorders>
              <w:top w:val="single" w:sz="4" w:space="0" w:color="000000"/>
              <w:left w:val="single" w:sz="4" w:space="0" w:color="000000"/>
              <w:right w:val="single" w:sz="4" w:space="0" w:color="auto"/>
            </w:tcBorders>
            <w:shd w:val="clear" w:color="auto" w:fill="auto"/>
          </w:tcPr>
          <w:p w:rsidR="00C56780" w:rsidRPr="00C353A0" w:rsidRDefault="00C56780" w:rsidP="008354CE">
            <w:pPr>
              <w:tabs>
                <w:tab w:val="left" w:pos="255"/>
              </w:tabs>
              <w:spacing w:before="240" w:after="120"/>
            </w:pPr>
            <w:r w:rsidRPr="00C353A0">
              <w:rPr>
                <w:b/>
              </w:rPr>
              <w:br w:type="page"/>
            </w:r>
            <w:r w:rsidRPr="00C353A0">
              <w:tab/>
            </w:r>
            <w:r w:rsidRPr="00C353A0">
              <w:rPr>
                <w:i/>
              </w:rPr>
              <w:t>Summary</w:t>
            </w:r>
          </w:p>
        </w:tc>
      </w:tr>
      <w:tr w:rsidR="00C56780" w:rsidRPr="00C353A0" w:rsidTr="008354CE">
        <w:trPr>
          <w:trHeight w:val="1454"/>
          <w:jc w:val="center"/>
        </w:trPr>
        <w:tc>
          <w:tcPr>
            <w:tcW w:w="3980" w:type="dxa"/>
            <w:tcBorders>
              <w:left w:val="single" w:sz="4" w:space="0" w:color="auto"/>
            </w:tcBorders>
            <w:shd w:val="clear" w:color="auto" w:fill="auto"/>
          </w:tcPr>
          <w:p w:rsidR="00C56780" w:rsidRPr="00C353A0" w:rsidRDefault="00C56780" w:rsidP="008354CE">
            <w:pPr>
              <w:spacing w:after="120"/>
              <w:ind w:left="567" w:right="1133"/>
              <w:jc w:val="center"/>
            </w:pPr>
            <w:r w:rsidRPr="00C353A0">
              <w:rPr>
                <w:b/>
                <w:szCs w:val="22"/>
              </w:rPr>
              <w:t>Executive summary</w:t>
            </w:r>
            <w:r w:rsidRPr="00C353A0">
              <w:rPr>
                <w:szCs w:val="22"/>
              </w:rPr>
              <w:t>:</w:t>
            </w:r>
          </w:p>
        </w:tc>
        <w:tc>
          <w:tcPr>
            <w:tcW w:w="5835" w:type="dxa"/>
            <w:tcBorders>
              <w:right w:val="single" w:sz="4" w:space="0" w:color="auto"/>
            </w:tcBorders>
            <w:shd w:val="clear" w:color="auto" w:fill="auto"/>
          </w:tcPr>
          <w:p w:rsidR="00C56780" w:rsidRPr="00C353A0" w:rsidRDefault="00C56780" w:rsidP="008354CE">
            <w:pPr>
              <w:spacing w:after="120"/>
              <w:ind w:right="1133"/>
              <w:jc w:val="both"/>
            </w:pPr>
            <w:r w:rsidRPr="00C353A0">
              <w:t xml:space="preserve">This paper is to inform the Joint Meeting </w:t>
            </w:r>
            <w:r>
              <w:t xml:space="preserve">of the inspections to be used in </w:t>
            </w:r>
            <w:r w:rsidRPr="00C353A0">
              <w:t xml:space="preserve">the United Kingdom </w:t>
            </w:r>
            <w:r>
              <w:t xml:space="preserve">when a tank is accepted </w:t>
            </w:r>
            <w:r w:rsidRPr="00C3486A">
              <w:t xml:space="preserve">back into service </w:t>
            </w:r>
            <w:r>
              <w:t>after the deadlines for inspections have expired and proposes that those inspections be clearly established in RID/ADR to clarify the inspections that must be performed when a tank re-enters into service.</w:t>
            </w:r>
          </w:p>
        </w:tc>
      </w:tr>
      <w:tr w:rsidR="00C56780" w:rsidRPr="00C353A0" w:rsidTr="008354CE">
        <w:trPr>
          <w:trHeight w:val="339"/>
          <w:jc w:val="center"/>
        </w:trPr>
        <w:tc>
          <w:tcPr>
            <w:tcW w:w="3980" w:type="dxa"/>
            <w:tcBorders>
              <w:left w:val="single" w:sz="4" w:space="0" w:color="auto"/>
            </w:tcBorders>
            <w:shd w:val="clear" w:color="auto" w:fill="auto"/>
          </w:tcPr>
          <w:p w:rsidR="00C56780" w:rsidRPr="00C353A0" w:rsidRDefault="00C56780" w:rsidP="00C56780">
            <w:pPr>
              <w:spacing w:after="120"/>
              <w:ind w:left="567" w:right="1133"/>
              <w:jc w:val="center"/>
              <w:rPr>
                <w:b/>
              </w:rPr>
            </w:pPr>
            <w:r w:rsidRPr="00C353A0">
              <w:rPr>
                <w:b/>
              </w:rPr>
              <w:t>Action to be taken:</w:t>
            </w:r>
          </w:p>
        </w:tc>
        <w:tc>
          <w:tcPr>
            <w:tcW w:w="5835" w:type="dxa"/>
            <w:tcBorders>
              <w:right w:val="single" w:sz="4" w:space="0" w:color="auto"/>
            </w:tcBorders>
            <w:shd w:val="clear" w:color="auto" w:fill="auto"/>
          </w:tcPr>
          <w:p w:rsidR="00C56780" w:rsidRPr="00C353A0" w:rsidRDefault="00C56780" w:rsidP="00C56780">
            <w:pPr>
              <w:spacing w:after="120"/>
              <w:ind w:right="1133" w:firstLine="5"/>
              <w:jc w:val="both"/>
            </w:pPr>
            <w:r w:rsidRPr="00C353A0">
              <w:t>Amend RID/ADR 6.8.2.4</w:t>
            </w:r>
          </w:p>
        </w:tc>
      </w:tr>
      <w:tr w:rsidR="00C56780" w:rsidRPr="00C353A0" w:rsidTr="008354CE">
        <w:trPr>
          <w:trHeight w:val="177"/>
          <w:jc w:val="center"/>
        </w:trPr>
        <w:tc>
          <w:tcPr>
            <w:tcW w:w="3980" w:type="dxa"/>
            <w:tcBorders>
              <w:left w:val="single" w:sz="4" w:space="0" w:color="auto"/>
            </w:tcBorders>
            <w:shd w:val="clear" w:color="auto" w:fill="auto"/>
          </w:tcPr>
          <w:p w:rsidR="00C56780" w:rsidRPr="00C353A0" w:rsidRDefault="00C56780" w:rsidP="00C56780">
            <w:pPr>
              <w:spacing w:after="120"/>
              <w:ind w:left="567" w:right="1133"/>
              <w:jc w:val="center"/>
            </w:pPr>
            <w:r w:rsidRPr="00C353A0">
              <w:rPr>
                <w:b/>
              </w:rPr>
              <w:t>Related documents:</w:t>
            </w:r>
          </w:p>
        </w:tc>
        <w:tc>
          <w:tcPr>
            <w:tcW w:w="5835" w:type="dxa"/>
            <w:tcBorders>
              <w:right w:val="single" w:sz="4" w:space="0" w:color="auto"/>
            </w:tcBorders>
            <w:shd w:val="clear" w:color="auto" w:fill="auto"/>
          </w:tcPr>
          <w:p w:rsidR="00C56780" w:rsidRPr="00C353A0" w:rsidRDefault="008A4C83" w:rsidP="008354CE">
            <w:pPr>
              <w:spacing w:after="120"/>
              <w:ind w:right="1133"/>
              <w:jc w:val="both"/>
            </w:pPr>
            <w:r>
              <w:t>ECE/TRANS/WP.15/AC.1/</w:t>
            </w:r>
            <w:r w:rsidR="00C56780" w:rsidRPr="00C353A0">
              <w:t>2020/18</w:t>
            </w:r>
            <w:r w:rsidR="00C56780">
              <w:t xml:space="preserve"> and informal document INF.34 from this session.</w:t>
            </w:r>
          </w:p>
        </w:tc>
      </w:tr>
      <w:tr w:rsidR="00C56780" w:rsidRPr="00C353A0" w:rsidTr="008354CE">
        <w:trPr>
          <w:trHeight w:val="112"/>
          <w:jc w:val="center"/>
        </w:trPr>
        <w:tc>
          <w:tcPr>
            <w:tcW w:w="3980" w:type="dxa"/>
            <w:tcBorders>
              <w:left w:val="single" w:sz="4" w:space="0" w:color="auto"/>
              <w:bottom w:val="single" w:sz="4" w:space="0" w:color="000000"/>
            </w:tcBorders>
            <w:shd w:val="clear" w:color="auto" w:fill="auto"/>
          </w:tcPr>
          <w:p w:rsidR="00C56780" w:rsidRPr="00C353A0" w:rsidRDefault="00C56780" w:rsidP="008354CE">
            <w:pPr>
              <w:rPr>
                <w:b/>
              </w:rPr>
            </w:pPr>
          </w:p>
        </w:tc>
        <w:tc>
          <w:tcPr>
            <w:tcW w:w="5835" w:type="dxa"/>
            <w:tcBorders>
              <w:bottom w:val="single" w:sz="4" w:space="0" w:color="000000"/>
              <w:right w:val="single" w:sz="4" w:space="0" w:color="000000"/>
            </w:tcBorders>
            <w:shd w:val="clear" w:color="auto" w:fill="auto"/>
          </w:tcPr>
          <w:p w:rsidR="00C56780" w:rsidRPr="00C353A0" w:rsidRDefault="00C56780" w:rsidP="008354CE"/>
        </w:tc>
      </w:tr>
    </w:tbl>
    <w:p w:rsidR="00C56780" w:rsidRDefault="00C56780" w:rsidP="00C56780">
      <w:pPr>
        <w:rPr>
          <w:lang w:val="en-US" w:eastAsia="ru-RU"/>
        </w:rPr>
      </w:pPr>
    </w:p>
    <w:p w:rsidR="00C56780" w:rsidRPr="00C353A0" w:rsidRDefault="00C56780" w:rsidP="00C56780">
      <w:pPr>
        <w:ind w:left="1134"/>
        <w:rPr>
          <w:b/>
          <w:sz w:val="28"/>
          <w:lang w:val="en-US" w:eastAsia="ru-RU"/>
        </w:rPr>
      </w:pPr>
      <w:r w:rsidRPr="00C353A0">
        <w:rPr>
          <w:b/>
          <w:sz w:val="28"/>
          <w:lang w:val="en-US" w:eastAsia="ru-RU"/>
        </w:rPr>
        <w:t>Introduction</w:t>
      </w:r>
    </w:p>
    <w:p w:rsidR="00C56780" w:rsidRPr="00B86E16" w:rsidRDefault="00C56780" w:rsidP="00C56780">
      <w:pPr>
        <w:pStyle w:val="SingleTxtG"/>
      </w:pPr>
      <w:r>
        <w:t>1.</w:t>
      </w:r>
      <w:r>
        <w:tab/>
      </w:r>
      <w:r w:rsidRPr="00C353A0">
        <w:t xml:space="preserve">Tanks for the carriage of dangerous goods will normally be inspected at regular intervals in accordance </w:t>
      </w:r>
      <w:r w:rsidRPr="00C3486A">
        <w:t xml:space="preserve">with the provisions of 6.8.2.4 in RID/ADR. These provisions assume </w:t>
      </w:r>
      <w:r w:rsidR="008A4C83">
        <w:t xml:space="preserve">that </w:t>
      </w:r>
      <w:r w:rsidRPr="00C3486A">
        <w:t xml:space="preserve">inspections are performed on a continuous cycle but do not consider the consequences should one or more scheduled inspections be missed. </w:t>
      </w:r>
    </w:p>
    <w:p w:rsidR="00C56780" w:rsidRDefault="00C56780" w:rsidP="00C56780">
      <w:pPr>
        <w:pStyle w:val="SingleTxtG"/>
      </w:pPr>
      <w:r w:rsidRPr="00C56780">
        <w:t>2.</w:t>
      </w:r>
      <w:r w:rsidRPr="00C56780">
        <w:tab/>
        <w:t>To ensure consistency in the implementation of RID/ADR in such circumstances, the Competent Authority of the United Kingdom has produced guidance for inspection bodies and users on the inspections to be performed when tanks have missed a scheduled inspection.</w:t>
      </w:r>
    </w:p>
    <w:p w:rsidR="00C56780" w:rsidRPr="00C56780" w:rsidRDefault="00C56780" w:rsidP="00C56780">
      <w:pPr>
        <w:pStyle w:val="SingleTxtG"/>
      </w:pPr>
      <w:r w:rsidRPr="00C56780">
        <w:t>3.</w:t>
      </w:r>
      <w:r w:rsidRPr="00C56780">
        <w:tab/>
        <w:t xml:space="preserve">The approach taken by the United Kingdom is </w:t>
      </w:r>
      <w:proofErr w:type="gramStart"/>
      <w:r w:rsidRPr="00C56780">
        <w:t>similar to</w:t>
      </w:r>
      <w:proofErr w:type="gramEnd"/>
      <w:r w:rsidRPr="00C56780">
        <w:t xml:space="preserve"> that proposed by France in </w:t>
      </w:r>
      <w:r w:rsidR="008A4C83">
        <w:t>document</w:t>
      </w:r>
      <w:r w:rsidR="008A4C83" w:rsidRPr="00C56780">
        <w:t xml:space="preserve"> </w:t>
      </w:r>
      <w:r w:rsidRPr="00C56780">
        <w:t>2020/18. However, whilst the United Kingdom supports the proposal tabled in 2020/18 when deadlines for intermediate inspections have expired, we believe it would be beneficial to extend the scope of the proposal to situations where deadlines for periodic inspections have expired.</w:t>
      </w:r>
    </w:p>
    <w:p w:rsidR="00C56780" w:rsidRPr="00B86E16" w:rsidRDefault="00C56780" w:rsidP="00C56780">
      <w:pPr>
        <w:pStyle w:val="SingleTxtG"/>
      </w:pPr>
      <w:r w:rsidRPr="00C56780">
        <w:t>4.</w:t>
      </w:r>
      <w:r w:rsidRPr="00C56780">
        <w:tab/>
        <w:t>The</w:t>
      </w:r>
      <w:r>
        <w:t xml:space="preserve"> United Kingdom is of the view that if an intermediate inspection is overdue by more than 3 months but not more than 3 years (or 2.5 years for tank containers, swap bodies etc.), or a periodic inspection is overdue by no more than 3 (2.5) years, an exceptional inspection fulfilling the requirements of a periodic inspection, shall be performed by a suitably accredited inspection body. The inspection shall include a full internal examination and hydraulic pressure test. The alternative provisions for tanks intended to carry certain Class 2 substances shall not be applied. The next intermediate inspection will then be due no later than 3 (2.5) years after the exceptional inspection noted above and the next periodic </w:t>
      </w:r>
      <w:r>
        <w:lastRenderedPageBreak/>
        <w:t>inspection will then be due no later than 6 (5) years after the previous scheduled periodic inspection, i.e. the date of periodic inspection is not reset.</w:t>
      </w:r>
    </w:p>
    <w:p w:rsidR="00C56780" w:rsidRDefault="00C56780" w:rsidP="00C56780">
      <w:pPr>
        <w:pStyle w:val="SingleTxtG"/>
      </w:pPr>
      <w:r>
        <w:rPr>
          <w:lang w:eastAsia="ru-RU"/>
        </w:rPr>
        <w:t>5.</w:t>
      </w:r>
      <w:r>
        <w:rPr>
          <w:lang w:eastAsia="ru-RU"/>
        </w:rPr>
        <w:tab/>
        <w:t xml:space="preserve">Also, when </w:t>
      </w:r>
      <w:r>
        <w:t>an inspection is overdue by more than 3 (2.5) years, i.e. two or more inspections have been missed, an exceptional inspection fulfilling the requirements of an initial inspection, insofar as is possible, shall be performed by an inspection body accredited for initial inspection. The inspection shall include a check of conformity to the type approval and to RID/ADR of the tank and its service equipment, measurement of thicknesses, internal examination and hydraulic pressure test(s). The next intermediate inspection will then be due no later than 3 (2.5) years, and the next periodic inspection shall be no later than 6 (5) years, after the exceptional inspection noted above, i.e. the date of periodic inspection is reset</w:t>
      </w:r>
      <w:r>
        <w:rPr>
          <w:lang w:eastAsia="ru-RU"/>
        </w:rPr>
        <w:t>.</w:t>
      </w:r>
    </w:p>
    <w:p w:rsidR="00C56780" w:rsidRDefault="00C56780" w:rsidP="00C56780">
      <w:pPr>
        <w:pStyle w:val="SingleTxtG"/>
      </w:pPr>
      <w:r>
        <w:rPr>
          <w:lang w:eastAsia="ru-RU"/>
        </w:rPr>
        <w:t>6.</w:t>
      </w:r>
      <w:r>
        <w:rPr>
          <w:lang w:eastAsia="ru-RU"/>
        </w:rPr>
        <w:tab/>
        <w:t xml:space="preserve">An </w:t>
      </w:r>
      <w:r>
        <w:t>exceptional inspection fulfilling the requirements of an initial inspection, insofar as is possible, may be performed as an alternative to an exceptional inspection fulfilling the requirements of a periodic inspection. In such cases the next intermediate inspection will then be due no later than 3 (2.5) years, and the next periodic inspection shall be no later than 6 (5) years, after the exceptional inspection noted above, i.e. the date of periodic inspection is reset.</w:t>
      </w:r>
    </w:p>
    <w:p w:rsidR="00C56780" w:rsidRDefault="00C56780" w:rsidP="00C56780">
      <w:pPr>
        <w:pStyle w:val="SingleTxtG"/>
      </w:pPr>
      <w:r>
        <w:rPr>
          <w:lang w:eastAsia="ru-RU"/>
        </w:rPr>
        <w:t>7.</w:t>
      </w:r>
      <w:r>
        <w:rPr>
          <w:lang w:eastAsia="ru-RU"/>
        </w:rPr>
        <w:tab/>
        <w:t>In addition, the United Kingdom is of the view that in sympathy with roadworthiness requirements periodic inspections should be allowed to be performed within three months before the specified date without the date of periodic inspection being reset.</w:t>
      </w:r>
    </w:p>
    <w:p w:rsidR="00C56780" w:rsidRPr="009067E3" w:rsidRDefault="00C56780" w:rsidP="00C56780">
      <w:pPr>
        <w:pStyle w:val="HChG"/>
        <w:rPr>
          <w:lang w:val="en-US" w:eastAsia="ru-RU"/>
        </w:rPr>
      </w:pPr>
      <w:r>
        <w:rPr>
          <w:lang w:val="en-US" w:eastAsia="ru-RU"/>
        </w:rPr>
        <w:tab/>
      </w:r>
      <w:r>
        <w:rPr>
          <w:lang w:val="en-US" w:eastAsia="ru-RU"/>
        </w:rPr>
        <w:tab/>
      </w:r>
      <w:r w:rsidRPr="00C353A0">
        <w:rPr>
          <w:lang w:val="en-US" w:eastAsia="ru-RU"/>
        </w:rPr>
        <w:t>Proposal</w:t>
      </w:r>
    </w:p>
    <w:p w:rsidR="00C56780" w:rsidRDefault="00C56780" w:rsidP="00C56780">
      <w:pPr>
        <w:pStyle w:val="SingleTxtG"/>
      </w:pPr>
      <w:r>
        <w:t>8.</w:t>
      </w:r>
      <w:r>
        <w:tab/>
      </w:r>
      <w:r w:rsidRPr="00501196">
        <w:t>In</w:t>
      </w:r>
      <w:r>
        <w:t xml:space="preserve">sert the following text </w:t>
      </w:r>
      <w:r w:rsidRPr="00A94B8A">
        <w:rPr>
          <w:b/>
          <w:u w:val="single"/>
        </w:rPr>
        <w:t>in bold underline</w:t>
      </w:r>
      <w:r>
        <w:t xml:space="preserve"> in the third line of paragraph 6.8.2.4.2 to read:</w:t>
      </w:r>
    </w:p>
    <w:p w:rsidR="00C56780" w:rsidRDefault="00C56780" w:rsidP="00C56780">
      <w:pPr>
        <w:pStyle w:val="ListParagraph"/>
        <w:ind w:left="1701" w:right="1134"/>
        <w:jc w:val="both"/>
        <w:rPr>
          <w:rFonts w:ascii="Times New Roman" w:hAnsi="Times New Roman"/>
          <w:sz w:val="20"/>
          <w:szCs w:val="20"/>
        </w:rPr>
      </w:pPr>
      <w:r>
        <w:rPr>
          <w:rFonts w:ascii="Times New Roman" w:hAnsi="Times New Roman"/>
          <w:sz w:val="20"/>
          <w:szCs w:val="20"/>
        </w:rPr>
        <w:t xml:space="preserve">“These </w:t>
      </w:r>
      <w:proofErr w:type="spellStart"/>
      <w:r>
        <w:rPr>
          <w:rFonts w:ascii="Times New Roman" w:hAnsi="Times New Roman"/>
          <w:sz w:val="20"/>
          <w:szCs w:val="20"/>
        </w:rPr>
        <w:t>periodic</w:t>
      </w:r>
      <w:proofErr w:type="spellEnd"/>
      <w:r>
        <w:rPr>
          <w:rFonts w:ascii="Times New Roman" w:hAnsi="Times New Roman"/>
          <w:sz w:val="20"/>
          <w:szCs w:val="20"/>
        </w:rPr>
        <w:t xml:space="preserve"> </w:t>
      </w:r>
      <w:proofErr w:type="spellStart"/>
      <w:r>
        <w:rPr>
          <w:rFonts w:ascii="Times New Roman" w:hAnsi="Times New Roman"/>
          <w:sz w:val="20"/>
          <w:szCs w:val="20"/>
        </w:rPr>
        <w:t>inspections</w:t>
      </w:r>
      <w:proofErr w:type="spellEnd"/>
      <w:r>
        <w:rPr>
          <w:rFonts w:ascii="Times New Roman" w:hAnsi="Times New Roman"/>
          <w:sz w:val="20"/>
          <w:szCs w:val="20"/>
        </w:rPr>
        <w:t xml:space="preserve"> </w:t>
      </w:r>
      <w:proofErr w:type="spellStart"/>
      <w:r w:rsidRPr="009C6A7C">
        <w:rPr>
          <w:rFonts w:ascii="Times New Roman" w:hAnsi="Times New Roman"/>
          <w:b/>
          <w:sz w:val="20"/>
          <w:szCs w:val="20"/>
          <w:u w:val="single"/>
        </w:rPr>
        <w:t>may</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be</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performed</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within</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three</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months</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before</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the</w:t>
      </w:r>
      <w:proofErr w:type="spellEnd"/>
      <w:r w:rsidRPr="009C6A7C">
        <w:rPr>
          <w:rFonts w:ascii="Times New Roman" w:hAnsi="Times New Roman"/>
          <w:b/>
          <w:sz w:val="20"/>
          <w:szCs w:val="20"/>
          <w:u w:val="single"/>
        </w:rPr>
        <w:t xml:space="preserve"> </w:t>
      </w:r>
      <w:proofErr w:type="spellStart"/>
      <w:r w:rsidRPr="009C6A7C">
        <w:rPr>
          <w:rFonts w:ascii="Times New Roman" w:hAnsi="Times New Roman"/>
          <w:b/>
          <w:sz w:val="20"/>
          <w:szCs w:val="20"/>
          <w:u w:val="single"/>
        </w:rPr>
        <w:t>specified</w:t>
      </w:r>
      <w:proofErr w:type="spellEnd"/>
      <w:r w:rsidRPr="009C6A7C">
        <w:rPr>
          <w:rFonts w:ascii="Times New Roman" w:hAnsi="Times New Roman"/>
          <w:b/>
          <w:sz w:val="20"/>
          <w:szCs w:val="20"/>
          <w:u w:val="single"/>
        </w:rPr>
        <w:t xml:space="preserve"> date and</w:t>
      </w:r>
      <w:r>
        <w:rPr>
          <w:rFonts w:ascii="Times New Roman" w:hAnsi="Times New Roman"/>
          <w:sz w:val="20"/>
          <w:szCs w:val="20"/>
        </w:rPr>
        <w:t xml:space="preserve"> </w:t>
      </w:r>
      <w:proofErr w:type="spellStart"/>
      <w:r>
        <w:rPr>
          <w:rFonts w:ascii="Times New Roman" w:hAnsi="Times New Roman"/>
          <w:sz w:val="20"/>
          <w:szCs w:val="20"/>
        </w:rPr>
        <w:t>shall</w:t>
      </w:r>
      <w:proofErr w:type="spellEnd"/>
      <w:r>
        <w:rPr>
          <w:rFonts w:ascii="Times New Roman" w:hAnsi="Times New Roman"/>
          <w:sz w:val="20"/>
          <w:szCs w:val="20"/>
        </w:rPr>
        <w:t xml:space="preserve"> </w:t>
      </w:r>
      <w:proofErr w:type="spellStart"/>
      <w:r>
        <w:rPr>
          <w:rFonts w:ascii="Times New Roman" w:hAnsi="Times New Roman"/>
          <w:sz w:val="20"/>
          <w:szCs w:val="20"/>
        </w:rPr>
        <w:t>include</w:t>
      </w:r>
      <w:proofErr w:type="spellEnd"/>
      <w:r>
        <w:rPr>
          <w:rFonts w:ascii="Times New Roman" w:hAnsi="Times New Roman"/>
          <w:sz w:val="20"/>
          <w:szCs w:val="20"/>
        </w:rPr>
        <w:t>:”</w:t>
      </w:r>
    </w:p>
    <w:p w:rsidR="00C56780" w:rsidRDefault="00C56780" w:rsidP="00C56780">
      <w:pPr>
        <w:pStyle w:val="SingleTxtG"/>
      </w:pPr>
      <w:r>
        <w:t>9.</w:t>
      </w:r>
      <w:r>
        <w:tab/>
        <w:t>Renumber 6.8.2.4.4 and 6.8.2.4.5 as 6.8.2.4.7 and 6.8.2.4.8 and i</w:t>
      </w:r>
      <w:r w:rsidRPr="00501196">
        <w:t>n</w:t>
      </w:r>
      <w:r>
        <w:t xml:space="preserve">sert the following text </w:t>
      </w:r>
      <w:r w:rsidRPr="00A94B8A">
        <w:rPr>
          <w:b/>
          <w:u w:val="single"/>
        </w:rPr>
        <w:t>in bold underline</w:t>
      </w:r>
      <w:r>
        <w:t xml:space="preserve"> in new paragraphs </w:t>
      </w:r>
      <w:r w:rsidRPr="00501196">
        <w:t>6.8.2.4.</w:t>
      </w:r>
      <w:r>
        <w:t>4, 6.8.2.4.5 and 6.8.2.4.6 to read:</w:t>
      </w:r>
    </w:p>
    <w:p w:rsidR="00C56780" w:rsidRPr="00C56780" w:rsidRDefault="00C56780" w:rsidP="00C56780">
      <w:pPr>
        <w:pStyle w:val="SingleTxtG"/>
        <w:ind w:left="2835" w:hanging="1134"/>
        <w:rPr>
          <w:b/>
          <w:bCs/>
          <w:u w:val="single"/>
        </w:rPr>
      </w:pPr>
      <w:r w:rsidRPr="00C56780">
        <w:rPr>
          <w:b/>
          <w:bCs/>
          <w:u w:val="single"/>
        </w:rPr>
        <w:t>“6.8.2.4.4</w:t>
      </w:r>
      <w:r w:rsidRPr="00C56780">
        <w:rPr>
          <w:b/>
          <w:bCs/>
          <w:u w:val="single"/>
        </w:rPr>
        <w:tab/>
        <w:t>If an intermediate inspection is overdue by more than 3 months but not more than 3 years (or 2.5 years for tank containers, swap bodies etc.), or a periodic inspection is overdue by no more than 3 (2.5) years, an exceptional inspection fulfilling the requirements of a periodic inspection shall be performed by a suitably accredited inspection body. The inspection shall include a full internal examination and hydraulic pressure test. The alternative provisions for tanks intended to carry certain Class 2 substances shall not be applied. The next intermediate inspection will then be due no later than 3 (2.5) years after the exceptional inspection noted above and the next periodic inspection will then be due no later than 6 (5) years after the previous scheduled periodic inspection, i.e. the date of periodic inspection is not reset.”</w:t>
      </w:r>
    </w:p>
    <w:p w:rsidR="00C56780" w:rsidRPr="00B568FE" w:rsidRDefault="00C56780" w:rsidP="00C56780">
      <w:pPr>
        <w:snapToGrid w:val="0"/>
        <w:spacing w:before="120" w:after="120"/>
        <w:ind w:left="1491" w:right="1134"/>
        <w:jc w:val="both"/>
        <w:rPr>
          <w:b/>
          <w:i/>
          <w:u w:val="single"/>
        </w:rPr>
      </w:pPr>
      <w:r w:rsidRPr="00B568FE">
        <w:rPr>
          <w:b/>
          <w:i/>
          <w:u w:val="single"/>
        </w:rPr>
        <w:t>NOTE: T</w:t>
      </w:r>
      <w:r>
        <w:rPr>
          <w:b/>
          <w:i/>
          <w:u w:val="single"/>
        </w:rPr>
        <w:t>he term “</w:t>
      </w:r>
      <w:r w:rsidRPr="00B568FE">
        <w:rPr>
          <w:b/>
          <w:i/>
          <w:u w:val="single"/>
        </w:rPr>
        <w:t xml:space="preserve">exceptional inspection fulfilling the requirements of a periodic </w:t>
      </w:r>
      <w:r>
        <w:rPr>
          <w:b/>
          <w:i/>
          <w:u w:val="single"/>
        </w:rPr>
        <w:t>inspection”</w:t>
      </w:r>
      <w:r w:rsidRPr="00B568FE">
        <w:rPr>
          <w:b/>
          <w:i/>
          <w:u w:val="single"/>
        </w:rPr>
        <w:t xml:space="preserve"> is to differentiate this periodic inspection from a routine, scheduled periodic inspection.</w:t>
      </w:r>
    </w:p>
    <w:p w:rsidR="00C56780" w:rsidRDefault="00C56780" w:rsidP="003527A9">
      <w:pPr>
        <w:pStyle w:val="SingleTxtG"/>
        <w:ind w:left="2835" w:hanging="1134"/>
        <w:rPr>
          <w:u w:val="single"/>
        </w:rPr>
      </w:pPr>
      <w:r w:rsidRPr="00265936">
        <w:rPr>
          <w:u w:val="single"/>
        </w:rPr>
        <w:t>“</w:t>
      </w:r>
      <w:r w:rsidRPr="00265936">
        <w:rPr>
          <w:b/>
          <w:u w:val="single"/>
        </w:rPr>
        <w:t>6.8.2.4.5</w:t>
      </w:r>
      <w:r w:rsidRPr="00265936">
        <w:rPr>
          <w:b/>
          <w:u w:val="single"/>
        </w:rPr>
        <w:tab/>
        <w:t xml:space="preserve">If an inspection is overdue by more than 3 (2.5) years, i.e. two or more inspections have been missed, an exceptional inspection fulfilling the requirements </w:t>
      </w:r>
      <w:r w:rsidRPr="003527A9">
        <w:rPr>
          <w:b/>
          <w:bCs/>
          <w:u w:val="single"/>
        </w:rPr>
        <w:t>of</w:t>
      </w:r>
      <w:r w:rsidRPr="00265936">
        <w:rPr>
          <w:b/>
          <w:u w:val="single"/>
        </w:rPr>
        <w:t xml:space="preserve"> an initial inspection, insofar as is possible, shall be performed by an inspection body accredited for initial inspection. The inspection shall include a check of conformity to the type approval and to RID/ADR of the tank and its service equipment, measurement of thicknesses, internal examination and hydraulic pressure test(s). The next intermediate inspection will then be due no later than 3 (2.5) years, and the next periodic inspection shall be no later than 6 (5) years, after the exceptional inspection noted above, i.e. the date of periodic inspection is reset.</w:t>
      </w:r>
      <w:r w:rsidRPr="00265936">
        <w:rPr>
          <w:u w:val="single"/>
        </w:rPr>
        <w:t>”</w:t>
      </w:r>
    </w:p>
    <w:p w:rsidR="00C56780" w:rsidRPr="00B568FE" w:rsidRDefault="00C56780" w:rsidP="00C56780">
      <w:pPr>
        <w:snapToGrid w:val="0"/>
        <w:spacing w:before="120" w:after="120"/>
        <w:ind w:left="1494" w:right="1134"/>
        <w:jc w:val="both"/>
        <w:rPr>
          <w:b/>
          <w:i/>
          <w:u w:val="single"/>
        </w:rPr>
      </w:pPr>
      <w:r w:rsidRPr="00B568FE">
        <w:rPr>
          <w:b/>
          <w:i/>
          <w:u w:val="single"/>
        </w:rPr>
        <w:lastRenderedPageBreak/>
        <w:t>NOTE: T</w:t>
      </w:r>
      <w:r>
        <w:rPr>
          <w:b/>
          <w:i/>
          <w:u w:val="single"/>
        </w:rPr>
        <w:t>he term “</w:t>
      </w:r>
      <w:r w:rsidRPr="00B568FE">
        <w:rPr>
          <w:b/>
          <w:i/>
          <w:u w:val="single"/>
        </w:rPr>
        <w:t>exceptional inspection fulfilling the requirements of an initial inspe</w:t>
      </w:r>
      <w:r>
        <w:rPr>
          <w:b/>
          <w:i/>
          <w:u w:val="single"/>
        </w:rPr>
        <w:t>ction, insofar as is possible”</w:t>
      </w:r>
      <w:r w:rsidRPr="00B568FE">
        <w:rPr>
          <w:b/>
          <w:i/>
          <w:u w:val="single"/>
        </w:rPr>
        <w:t xml:space="preserve"> is to differentiate this initial inspection from an original initial inspection.</w:t>
      </w:r>
    </w:p>
    <w:p w:rsidR="00C56780" w:rsidRDefault="00C56780" w:rsidP="00D10BB1">
      <w:pPr>
        <w:pStyle w:val="SingleTxtG"/>
        <w:ind w:left="2835" w:hanging="1134"/>
      </w:pPr>
      <w:r>
        <w:t>“</w:t>
      </w:r>
      <w:r w:rsidRPr="00265936">
        <w:rPr>
          <w:b/>
          <w:u w:val="single"/>
        </w:rPr>
        <w:t>6.8.2.4.6</w:t>
      </w:r>
      <w:r w:rsidRPr="00265936">
        <w:rPr>
          <w:b/>
          <w:u w:val="single"/>
        </w:rPr>
        <w:tab/>
      </w:r>
      <w:r w:rsidRPr="00265936">
        <w:rPr>
          <w:b/>
          <w:u w:val="single"/>
          <w:lang w:eastAsia="ru-RU"/>
        </w:rPr>
        <w:t xml:space="preserve">An </w:t>
      </w:r>
      <w:r w:rsidRPr="00265936">
        <w:rPr>
          <w:b/>
          <w:u w:val="single"/>
        </w:rPr>
        <w:t>exceptional inspection fulfilling the requirements of an initial inspection, insofar as is possible, may be performed as an alternative to an exceptional inspection fulfilling the requirements of a periodic inspection. In such cases the next intermediate inspection will then be due no later than 3 (2.5) years, and the next periodic inspection shall be no later than 6 (5) years, after the exceptional inspection noted above, i.e. the date of periodic inspection is reset.</w:t>
      </w:r>
      <w:r>
        <w:t>”</w:t>
      </w:r>
    </w:p>
    <w:p w:rsidR="00C56780" w:rsidRPr="00C353A0" w:rsidRDefault="00C56780" w:rsidP="00C56780">
      <w:pPr>
        <w:pStyle w:val="HChG"/>
        <w:rPr>
          <w:lang w:val="en-US" w:eastAsia="ru-RU"/>
        </w:rPr>
      </w:pPr>
      <w:r>
        <w:rPr>
          <w:lang w:val="en-US" w:eastAsia="ru-RU"/>
        </w:rPr>
        <w:tab/>
      </w:r>
      <w:r>
        <w:rPr>
          <w:lang w:val="en-US" w:eastAsia="ru-RU"/>
        </w:rPr>
        <w:tab/>
      </w:r>
      <w:r w:rsidRPr="00C353A0">
        <w:rPr>
          <w:lang w:val="en-US" w:eastAsia="ru-RU"/>
        </w:rPr>
        <w:t>Justification</w:t>
      </w:r>
    </w:p>
    <w:p w:rsidR="00C56780" w:rsidRPr="00636DCD" w:rsidRDefault="00C56780" w:rsidP="00C56780">
      <w:pPr>
        <w:pStyle w:val="SingleTxtG"/>
      </w:pPr>
      <w:r>
        <w:t>10.</w:t>
      </w:r>
      <w:r>
        <w:tab/>
        <w:t>This</w:t>
      </w:r>
      <w:r w:rsidRPr="00C3486A">
        <w:t xml:space="preserve"> change </w:t>
      </w:r>
      <w:r>
        <w:t xml:space="preserve">clarifies the inspections that must be performed when a tank is to be accepted </w:t>
      </w:r>
      <w:r w:rsidRPr="00C3486A">
        <w:t xml:space="preserve">back into service </w:t>
      </w:r>
      <w:r>
        <w:t xml:space="preserve">after the deadlines for intermediate and periodic inspections have </w:t>
      </w:r>
      <w:proofErr w:type="gramStart"/>
      <w:r>
        <w:t>expired, and</w:t>
      </w:r>
      <w:proofErr w:type="gramEnd"/>
      <w:r>
        <w:t xml:space="preserve"> provides for periodic inspections to be performed within three months before the specified date.</w:t>
      </w:r>
    </w:p>
    <w:p w:rsidR="00C56780" w:rsidRPr="00636DCD" w:rsidRDefault="00C56780" w:rsidP="00C56780">
      <w:pPr>
        <w:pStyle w:val="SingleTxtG"/>
      </w:pPr>
      <w:r>
        <w:t>11.</w:t>
      </w:r>
      <w:r>
        <w:tab/>
      </w:r>
      <w:r w:rsidRPr="00AD522D">
        <w:t>The U</w:t>
      </w:r>
      <w:r>
        <w:t xml:space="preserve">nited </w:t>
      </w:r>
      <w:r w:rsidRPr="00AD522D">
        <w:t>K</w:t>
      </w:r>
      <w:r>
        <w:t xml:space="preserve">ingdom is of the view that whilst it is important to respect the scheduled inspection dates, it is also important, as with all inspections, for the inspections used to accept a tank back into service to be proportionate and avoid unnecessary burdens. </w:t>
      </w:r>
      <w:proofErr w:type="gramStart"/>
      <w:r>
        <w:t>With this in mind, the</w:t>
      </w:r>
      <w:proofErr w:type="gramEnd"/>
      <w:r>
        <w:t xml:space="preserve"> United Kingdom have proposed that when a tank re-enters into service on the basis of an inspection more onerous that the inspection whose deadline has expired, then the dates of the scheduled inspections are reset.</w:t>
      </w:r>
    </w:p>
    <w:p w:rsidR="00C56780" w:rsidRDefault="00C56780" w:rsidP="00C56780">
      <w:pPr>
        <w:pStyle w:val="SingleTxtG"/>
      </w:pPr>
      <w:r>
        <w:t>12.</w:t>
      </w:r>
      <w:r>
        <w:tab/>
        <w:t xml:space="preserve">Also, again to be proportionate and avoid unnecessary burdens, the United Kingdom have proposed that periodic inspections may be performed up to three months before the scheduled inspection date </w:t>
      </w:r>
      <w:r>
        <w:rPr>
          <w:lang w:eastAsia="ru-RU"/>
        </w:rPr>
        <w:t>without the date of the next scheduled periodic inspection being reset</w:t>
      </w:r>
      <w:r>
        <w:t xml:space="preserve">. </w:t>
      </w:r>
    </w:p>
    <w:p w:rsidR="00C56780" w:rsidRPr="00C56780" w:rsidRDefault="00C56780" w:rsidP="00C56780">
      <w:pPr>
        <w:spacing w:before="240" w:after="0" w:line="240" w:lineRule="atLeast"/>
        <w:jc w:val="center"/>
        <w:rPr>
          <w:u w:val="single"/>
        </w:rPr>
      </w:pPr>
      <w:r>
        <w:rPr>
          <w:u w:val="single"/>
        </w:rPr>
        <w:tab/>
      </w:r>
      <w:r>
        <w:rPr>
          <w:u w:val="single"/>
        </w:rPr>
        <w:tab/>
      </w:r>
      <w:r>
        <w:rPr>
          <w:u w:val="single"/>
        </w:rPr>
        <w:tab/>
      </w:r>
    </w:p>
    <w:sectPr w:rsidR="00C56780" w:rsidRPr="00C56780" w:rsidSect="00CA4562">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5EB" w:rsidRDefault="00F075EB"/>
  </w:endnote>
  <w:endnote w:type="continuationSeparator" w:id="0">
    <w:p w:rsidR="00F075EB" w:rsidRDefault="00F075EB"/>
  </w:endnote>
  <w:endnote w:type="continuationNotice" w:id="1">
    <w:p w:rsidR="00F075EB" w:rsidRDefault="00F0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3B3A7E" w:rsidRDefault="00265DB7" w:rsidP="003B3A7E">
    <w:pPr>
      <w:pStyle w:val="Footer"/>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Default="00265DB7"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5EB" w:rsidRPr="000B175B" w:rsidRDefault="00F075EB" w:rsidP="000B175B">
      <w:pPr>
        <w:tabs>
          <w:tab w:val="right" w:pos="2155"/>
        </w:tabs>
        <w:spacing w:after="80"/>
        <w:ind w:left="680"/>
        <w:rPr>
          <w:u w:val="single"/>
        </w:rPr>
      </w:pPr>
      <w:r>
        <w:rPr>
          <w:u w:val="single"/>
        </w:rPr>
        <w:tab/>
      </w:r>
    </w:p>
  </w:footnote>
  <w:footnote w:type="continuationSeparator" w:id="0">
    <w:p w:rsidR="00F075EB" w:rsidRPr="00FC68B7" w:rsidRDefault="00F075EB" w:rsidP="00FC68B7">
      <w:pPr>
        <w:tabs>
          <w:tab w:val="left" w:pos="2155"/>
        </w:tabs>
        <w:spacing w:after="80"/>
        <w:ind w:left="680"/>
        <w:rPr>
          <w:u w:val="single"/>
        </w:rPr>
      </w:pPr>
      <w:r>
        <w:rPr>
          <w:u w:val="single"/>
        </w:rPr>
        <w:tab/>
      </w:r>
    </w:p>
  </w:footnote>
  <w:footnote w:type="continuationNotice" w:id="1">
    <w:p w:rsidR="00F075EB" w:rsidRDefault="00F07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09455D" w:rsidRDefault="00265DB7">
    <w:pPr>
      <w:pStyle w:val="Header"/>
      <w:rPr>
        <w:lang w:val="fr-CH"/>
      </w:rPr>
    </w:pPr>
    <w:r>
      <w:rPr>
        <w:lang w:val="fr-CH"/>
      </w:rPr>
      <w:t>INF.</w:t>
    </w:r>
    <w:r w:rsidR="00C56780">
      <w:rPr>
        <w:lang w:val="fr-CH"/>
      </w:rP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073BC9" w:rsidRDefault="009801CA" w:rsidP="0009455D">
    <w:pPr>
      <w:pStyle w:val="Header"/>
      <w:jc w:val="right"/>
    </w:pPr>
    <w:r>
      <w:t>INF.</w:t>
    </w:r>
    <w:r w:rsidR="00C56780">
      <w:t>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C56780">
      <w:rPr>
        <w:sz w:val="28"/>
        <w:szCs w:val="28"/>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5F484E"/>
    <w:multiLevelType w:val="hybridMultilevel"/>
    <w:tmpl w:val="94B466E8"/>
    <w:lvl w:ilvl="0" w:tplc="4A04CEE6">
      <w:start w:val="1"/>
      <w:numFmt w:val="decimal"/>
      <w:lvlText w:val="%1."/>
      <w:lvlJc w:val="left"/>
      <w:pPr>
        <w:ind w:left="1778" w:hanging="360"/>
      </w:pPr>
      <w:rPr>
        <w:rFonts w:ascii="Times New Roman" w:hAnsi="Times New Roman" w:cs="Times New Roman" w:hint="default"/>
        <w:b w:val="0"/>
        <w:sz w:val="2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E005BB"/>
    <w:multiLevelType w:val="hybridMultilevel"/>
    <w:tmpl w:val="6F9AFC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3A0D"/>
    <w:multiLevelType w:val="hybridMultilevel"/>
    <w:tmpl w:val="6B063AFA"/>
    <w:lvl w:ilvl="0" w:tplc="0D5A8EE4">
      <w:start w:val="8"/>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4BC0584E"/>
    <w:multiLevelType w:val="hybridMultilevel"/>
    <w:tmpl w:val="A67A3348"/>
    <w:lvl w:ilvl="0" w:tplc="E970FDA0">
      <w:start w:val="1"/>
      <w:numFmt w:val="decimal"/>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8"/>
  </w:num>
  <w:num w:numId="13">
    <w:abstractNumId w:val="11"/>
  </w:num>
  <w:num w:numId="14">
    <w:abstractNumId w:val="14"/>
  </w:num>
  <w:num w:numId="15">
    <w:abstractNumId w:val="21"/>
  </w:num>
  <w:num w:numId="16">
    <w:abstractNumId w:val="17"/>
  </w:num>
  <w:num w:numId="17">
    <w:abstractNumId w:val="28"/>
  </w:num>
  <w:num w:numId="18">
    <w:abstractNumId w:val="30"/>
  </w:num>
  <w:num w:numId="19">
    <w:abstractNumId w:val="27"/>
  </w:num>
  <w:num w:numId="20">
    <w:abstractNumId w:val="16"/>
  </w:num>
  <w:num w:numId="21">
    <w:abstractNumId w:val="23"/>
  </w:num>
  <w:num w:numId="22">
    <w:abstractNumId w:val="31"/>
  </w:num>
  <w:num w:numId="23">
    <w:abstractNumId w:val="22"/>
  </w:num>
  <w:num w:numId="24">
    <w:abstractNumId w:val="25"/>
  </w:num>
  <w:num w:numId="25">
    <w:abstractNumId w:val="29"/>
  </w:num>
  <w:num w:numId="26">
    <w:abstractNumId w:val="24"/>
  </w:num>
  <w:num w:numId="27">
    <w:abstractNumId w:val="0"/>
  </w:num>
  <w:num w:numId="28">
    <w:abstractNumId w:val="13"/>
  </w:num>
  <w:num w:numId="29">
    <w:abstractNumId w:val="26"/>
  </w:num>
  <w:num w:numId="30">
    <w:abstractNumId w:val="15"/>
  </w:num>
  <w:num w:numId="31">
    <w:abstractNumId w:val="19"/>
  </w:num>
  <w:num w:numId="3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101D"/>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E0415"/>
    <w:rsid w:val="000E233A"/>
    <w:rsid w:val="000E63CB"/>
    <w:rsid w:val="000E7EB0"/>
    <w:rsid w:val="000F7715"/>
    <w:rsid w:val="001008FA"/>
    <w:rsid w:val="001022EF"/>
    <w:rsid w:val="00103E99"/>
    <w:rsid w:val="001059C5"/>
    <w:rsid w:val="00110DC2"/>
    <w:rsid w:val="00140040"/>
    <w:rsid w:val="0014401A"/>
    <w:rsid w:val="00156B99"/>
    <w:rsid w:val="0015713B"/>
    <w:rsid w:val="00166124"/>
    <w:rsid w:val="00167F20"/>
    <w:rsid w:val="0017009E"/>
    <w:rsid w:val="00172600"/>
    <w:rsid w:val="001765D7"/>
    <w:rsid w:val="00176739"/>
    <w:rsid w:val="00184DDA"/>
    <w:rsid w:val="001874B4"/>
    <w:rsid w:val="0019000A"/>
    <w:rsid w:val="001900CD"/>
    <w:rsid w:val="00193D85"/>
    <w:rsid w:val="0019444B"/>
    <w:rsid w:val="001A0452"/>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80375"/>
    <w:rsid w:val="002815FC"/>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7A9"/>
    <w:rsid w:val="00352D4B"/>
    <w:rsid w:val="00354724"/>
    <w:rsid w:val="00354CED"/>
    <w:rsid w:val="0035638C"/>
    <w:rsid w:val="003564DC"/>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311D"/>
    <w:rsid w:val="00497B46"/>
    <w:rsid w:val="004B45B0"/>
    <w:rsid w:val="004B7EA2"/>
    <w:rsid w:val="004C55B0"/>
    <w:rsid w:val="004D51F6"/>
    <w:rsid w:val="004D63B1"/>
    <w:rsid w:val="004E4179"/>
    <w:rsid w:val="004E7160"/>
    <w:rsid w:val="004F3BBF"/>
    <w:rsid w:val="004F3F8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90C"/>
    <w:rsid w:val="005E6AAF"/>
    <w:rsid w:val="005F0494"/>
    <w:rsid w:val="005F3066"/>
    <w:rsid w:val="005F3E61"/>
    <w:rsid w:val="005F51F6"/>
    <w:rsid w:val="005F69C7"/>
    <w:rsid w:val="005F7732"/>
    <w:rsid w:val="00601F32"/>
    <w:rsid w:val="00603184"/>
    <w:rsid w:val="00604DDD"/>
    <w:rsid w:val="006115CC"/>
    <w:rsid w:val="00611FC4"/>
    <w:rsid w:val="00613302"/>
    <w:rsid w:val="006176FB"/>
    <w:rsid w:val="0062380F"/>
    <w:rsid w:val="0062564C"/>
    <w:rsid w:val="00630FCB"/>
    <w:rsid w:val="00632F10"/>
    <w:rsid w:val="00635C8D"/>
    <w:rsid w:val="0064017F"/>
    <w:rsid w:val="00640B26"/>
    <w:rsid w:val="00642312"/>
    <w:rsid w:val="00642502"/>
    <w:rsid w:val="00651A29"/>
    <w:rsid w:val="006643C6"/>
    <w:rsid w:val="00665C39"/>
    <w:rsid w:val="00667D6B"/>
    <w:rsid w:val="00676345"/>
    <w:rsid w:val="006770B2"/>
    <w:rsid w:val="006853B3"/>
    <w:rsid w:val="006920E3"/>
    <w:rsid w:val="006940E1"/>
    <w:rsid w:val="006A1D39"/>
    <w:rsid w:val="006A3C72"/>
    <w:rsid w:val="006A7392"/>
    <w:rsid w:val="006B03A1"/>
    <w:rsid w:val="006B5C3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2F4C"/>
    <w:rsid w:val="0074533B"/>
    <w:rsid w:val="00762EA6"/>
    <w:rsid w:val="0076432E"/>
    <w:rsid w:val="007643BC"/>
    <w:rsid w:val="00764F01"/>
    <w:rsid w:val="00770846"/>
    <w:rsid w:val="00773DB3"/>
    <w:rsid w:val="007810E1"/>
    <w:rsid w:val="00781D93"/>
    <w:rsid w:val="007865A5"/>
    <w:rsid w:val="00790877"/>
    <w:rsid w:val="00795105"/>
    <w:rsid w:val="007959FE"/>
    <w:rsid w:val="00795E37"/>
    <w:rsid w:val="007A0CF1"/>
    <w:rsid w:val="007A38B0"/>
    <w:rsid w:val="007A7CC0"/>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206D"/>
    <w:rsid w:val="008A4C83"/>
    <w:rsid w:val="008A57C8"/>
    <w:rsid w:val="008A6792"/>
    <w:rsid w:val="008A6B25"/>
    <w:rsid w:val="008A6C4F"/>
    <w:rsid w:val="008A7787"/>
    <w:rsid w:val="008B389E"/>
    <w:rsid w:val="008B41F4"/>
    <w:rsid w:val="008B59E3"/>
    <w:rsid w:val="008C086F"/>
    <w:rsid w:val="008C3E69"/>
    <w:rsid w:val="008C5B2D"/>
    <w:rsid w:val="008C5BCB"/>
    <w:rsid w:val="008D045E"/>
    <w:rsid w:val="008D3E38"/>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5F5E"/>
    <w:rsid w:val="00945B24"/>
    <w:rsid w:val="00946D3D"/>
    <w:rsid w:val="00947162"/>
    <w:rsid w:val="00953163"/>
    <w:rsid w:val="009601FF"/>
    <w:rsid w:val="0096068B"/>
    <w:rsid w:val="00960D5D"/>
    <w:rsid w:val="009610D0"/>
    <w:rsid w:val="0096375C"/>
    <w:rsid w:val="009662E6"/>
    <w:rsid w:val="0097095E"/>
    <w:rsid w:val="009720FB"/>
    <w:rsid w:val="00974F7C"/>
    <w:rsid w:val="009801CA"/>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A26"/>
    <w:rsid w:val="00A10F4F"/>
    <w:rsid w:val="00A11067"/>
    <w:rsid w:val="00A138AB"/>
    <w:rsid w:val="00A1704A"/>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A4FE9"/>
    <w:rsid w:val="00AB2CE7"/>
    <w:rsid w:val="00AC0F2C"/>
    <w:rsid w:val="00AC502A"/>
    <w:rsid w:val="00AC7298"/>
    <w:rsid w:val="00AF3A98"/>
    <w:rsid w:val="00AF58C1"/>
    <w:rsid w:val="00B03E68"/>
    <w:rsid w:val="00B05D2C"/>
    <w:rsid w:val="00B06643"/>
    <w:rsid w:val="00B15055"/>
    <w:rsid w:val="00B17FC5"/>
    <w:rsid w:val="00B2175D"/>
    <w:rsid w:val="00B22FCB"/>
    <w:rsid w:val="00B30179"/>
    <w:rsid w:val="00B37B15"/>
    <w:rsid w:val="00B4482F"/>
    <w:rsid w:val="00B45C02"/>
    <w:rsid w:val="00B4691D"/>
    <w:rsid w:val="00B53402"/>
    <w:rsid w:val="00B55C51"/>
    <w:rsid w:val="00B609E7"/>
    <w:rsid w:val="00B628EC"/>
    <w:rsid w:val="00B636FF"/>
    <w:rsid w:val="00B63F27"/>
    <w:rsid w:val="00B70F5A"/>
    <w:rsid w:val="00B72A1E"/>
    <w:rsid w:val="00B81E12"/>
    <w:rsid w:val="00B8509D"/>
    <w:rsid w:val="00B94EAD"/>
    <w:rsid w:val="00B97F62"/>
    <w:rsid w:val="00BA06D8"/>
    <w:rsid w:val="00BA339B"/>
    <w:rsid w:val="00BA4009"/>
    <w:rsid w:val="00BA7C8E"/>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42DA"/>
    <w:rsid w:val="00C36878"/>
    <w:rsid w:val="00C422DE"/>
    <w:rsid w:val="00C443B6"/>
    <w:rsid w:val="00C44BB0"/>
    <w:rsid w:val="00C45BBB"/>
    <w:rsid w:val="00C461FD"/>
    <w:rsid w:val="00C463DD"/>
    <w:rsid w:val="00C56780"/>
    <w:rsid w:val="00C60D93"/>
    <w:rsid w:val="00C62A7A"/>
    <w:rsid w:val="00C70809"/>
    <w:rsid w:val="00C745C3"/>
    <w:rsid w:val="00C805A7"/>
    <w:rsid w:val="00C83923"/>
    <w:rsid w:val="00CA2221"/>
    <w:rsid w:val="00CA24A4"/>
    <w:rsid w:val="00CA3137"/>
    <w:rsid w:val="00CA3AF1"/>
    <w:rsid w:val="00CA44E1"/>
    <w:rsid w:val="00CA4562"/>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3595"/>
    <w:rsid w:val="00D10BB1"/>
    <w:rsid w:val="00D15B04"/>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147E"/>
    <w:rsid w:val="00DB5900"/>
    <w:rsid w:val="00DB66FA"/>
    <w:rsid w:val="00DB6CC5"/>
    <w:rsid w:val="00DC18AD"/>
    <w:rsid w:val="00DC2396"/>
    <w:rsid w:val="00DC36B8"/>
    <w:rsid w:val="00DC584A"/>
    <w:rsid w:val="00DD3FE8"/>
    <w:rsid w:val="00DE0CB9"/>
    <w:rsid w:val="00DE178B"/>
    <w:rsid w:val="00DE5105"/>
    <w:rsid w:val="00DF1147"/>
    <w:rsid w:val="00DF13B2"/>
    <w:rsid w:val="00DF1A1E"/>
    <w:rsid w:val="00DF4518"/>
    <w:rsid w:val="00DF6A82"/>
    <w:rsid w:val="00DF7CAE"/>
    <w:rsid w:val="00E02011"/>
    <w:rsid w:val="00E1773B"/>
    <w:rsid w:val="00E324A0"/>
    <w:rsid w:val="00E333D0"/>
    <w:rsid w:val="00E37495"/>
    <w:rsid w:val="00E423C0"/>
    <w:rsid w:val="00E50BC6"/>
    <w:rsid w:val="00E52ECA"/>
    <w:rsid w:val="00E53624"/>
    <w:rsid w:val="00E550E7"/>
    <w:rsid w:val="00E5672B"/>
    <w:rsid w:val="00E57974"/>
    <w:rsid w:val="00E62965"/>
    <w:rsid w:val="00E63478"/>
    <w:rsid w:val="00E6414C"/>
    <w:rsid w:val="00E65354"/>
    <w:rsid w:val="00E672F0"/>
    <w:rsid w:val="00E7260F"/>
    <w:rsid w:val="00E82C50"/>
    <w:rsid w:val="00E86772"/>
    <w:rsid w:val="00E8702D"/>
    <w:rsid w:val="00E87C7D"/>
    <w:rsid w:val="00E916A9"/>
    <w:rsid w:val="00E916DE"/>
    <w:rsid w:val="00E96630"/>
    <w:rsid w:val="00EA586A"/>
    <w:rsid w:val="00EB5B1B"/>
    <w:rsid w:val="00EB7168"/>
    <w:rsid w:val="00EC0962"/>
    <w:rsid w:val="00EC10B9"/>
    <w:rsid w:val="00ED18DC"/>
    <w:rsid w:val="00ED359E"/>
    <w:rsid w:val="00ED6201"/>
    <w:rsid w:val="00ED7A2A"/>
    <w:rsid w:val="00ED7F40"/>
    <w:rsid w:val="00EE4832"/>
    <w:rsid w:val="00EF1D7F"/>
    <w:rsid w:val="00EF4426"/>
    <w:rsid w:val="00F0137E"/>
    <w:rsid w:val="00F0148F"/>
    <w:rsid w:val="00F075EB"/>
    <w:rsid w:val="00F21786"/>
    <w:rsid w:val="00F237F4"/>
    <w:rsid w:val="00F3258A"/>
    <w:rsid w:val="00F347BC"/>
    <w:rsid w:val="00F3742B"/>
    <w:rsid w:val="00F40CCF"/>
    <w:rsid w:val="00F41FDB"/>
    <w:rsid w:val="00F512E7"/>
    <w:rsid w:val="00F5337D"/>
    <w:rsid w:val="00F5390C"/>
    <w:rsid w:val="00F56D63"/>
    <w:rsid w:val="00F609A9"/>
    <w:rsid w:val="00F6280E"/>
    <w:rsid w:val="00F80C99"/>
    <w:rsid w:val="00F867EC"/>
    <w:rsid w:val="00F91B2B"/>
    <w:rsid w:val="00FA1019"/>
    <w:rsid w:val="00FA28CC"/>
    <w:rsid w:val="00FA3135"/>
    <w:rsid w:val="00FA3269"/>
    <w:rsid w:val="00FB468B"/>
    <w:rsid w:val="00FB7457"/>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2BF1E55-9323-DE4C-9CC7-219B9A3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paragraph" w:styleId="ListParagraph">
    <w:name w:val="List Paragraph"/>
    <w:basedOn w:val="Normal"/>
    <w:uiPriority w:val="34"/>
    <w:qFormat/>
    <w:rsid w:val="00C461FD"/>
    <w:pPr>
      <w:spacing w:after="200" w:line="276" w:lineRule="auto"/>
      <w:ind w:left="720"/>
      <w:contextualSpacing/>
    </w:pPr>
    <w:rPr>
      <w:rFonts w:ascii="Calibri" w:hAnsi="Calibri"/>
      <w:sz w:val="22"/>
      <w:szCs w:val="22"/>
      <w:lang w:val="nl-NL" w:eastAsia="zh-CN"/>
    </w:rPr>
  </w:style>
  <w:style w:type="paragraph" w:customStyle="1" w:styleId="Default">
    <w:name w:val="Default"/>
    <w:rsid w:val="00C461FD"/>
    <w:pPr>
      <w:autoSpaceDE w:val="0"/>
      <w:autoSpaceDN w:val="0"/>
      <w:adjustRightInd w:val="0"/>
    </w:pPr>
    <w:rPr>
      <w:color w:val="000000"/>
      <w:sz w:val="24"/>
      <w:szCs w:val="24"/>
      <w:lang w:val="fr-FR" w:eastAsia="fr-FR"/>
    </w:rPr>
  </w:style>
  <w:style w:type="character" w:customStyle="1" w:styleId="FootnoteTextChar">
    <w:name w:val="Footnote Text Char"/>
    <w:aliases w:val="5_G Char"/>
    <w:link w:val="FootnoteText"/>
    <w:rsid w:val="00C461F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428E-C580-433E-9066-A298C67B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INF</vt:lpstr>
    </vt:vector>
  </TitlesOfParts>
  <Manager/>
  <Company>UNECE</Company>
  <LinksUpToDate>false</LinksUpToDate>
  <CharactersWithSpaces>8214</CharactersWithSpaces>
  <SharedDoc>false</SharedDoc>
  <HyperlinkBase/>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Christine Barrio-Champeau</cp:lastModifiedBy>
  <cp:revision>2</cp:revision>
  <cp:lastPrinted>2012-09-14T16:01:00Z</cp:lastPrinted>
  <dcterms:created xsi:type="dcterms:W3CDTF">2020-03-17T10:14:00Z</dcterms:created>
  <dcterms:modified xsi:type="dcterms:W3CDTF">2020-03-17T10:14:00Z</dcterms:modified>
  <cp:category/>
</cp:coreProperties>
</file>