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F57" w:rsidRPr="00A62F57" w:rsidRDefault="00A62F57" w:rsidP="00CA4562">
      <w:pPr>
        <w:pStyle w:val="H1G"/>
        <w:keepNext w:val="0"/>
        <w:keepLines w:val="0"/>
        <w:widowControl w:val="0"/>
        <w:adjustRightInd w:val="0"/>
        <w:snapToGrid w:val="0"/>
        <w:spacing w:before="240" w:after="120" w:line="223" w:lineRule="auto"/>
        <w:ind w:right="-6"/>
        <w:rPr>
          <w:sz w:val="28"/>
          <w:szCs w:val="28"/>
        </w:rPr>
      </w:pPr>
      <w:r w:rsidRPr="00A62F57">
        <w:rPr>
          <w:sz w:val="28"/>
          <w:szCs w:val="28"/>
        </w:rPr>
        <w:t>Economic Commission for Europe</w:t>
      </w:r>
    </w:p>
    <w:p w:rsidR="00A62F57" w:rsidRPr="00B22FCB" w:rsidRDefault="00A62F57" w:rsidP="00CA4562">
      <w:pPr>
        <w:pStyle w:val="H1G"/>
        <w:keepNext w:val="0"/>
        <w:keepLines w:val="0"/>
        <w:widowControl w:val="0"/>
        <w:adjustRightInd w:val="0"/>
        <w:snapToGrid w:val="0"/>
        <w:spacing w:before="240" w:after="120" w:line="223" w:lineRule="auto"/>
        <w:ind w:right="-6"/>
        <w:rPr>
          <w:b w:val="0"/>
          <w:sz w:val="28"/>
          <w:szCs w:val="28"/>
        </w:rPr>
      </w:pPr>
      <w:r w:rsidRPr="00B22FCB">
        <w:rPr>
          <w:b w:val="0"/>
          <w:sz w:val="28"/>
          <w:szCs w:val="28"/>
        </w:rPr>
        <w:t>Inland Transport Committee</w:t>
      </w:r>
    </w:p>
    <w:p w:rsidR="00A62F57" w:rsidRPr="00B22FCB" w:rsidRDefault="00A62F57" w:rsidP="00CA4562">
      <w:pPr>
        <w:pStyle w:val="H1G"/>
        <w:keepNext w:val="0"/>
        <w:keepLines w:val="0"/>
        <w:widowControl w:val="0"/>
        <w:tabs>
          <w:tab w:val="left" w:pos="7938"/>
        </w:tabs>
        <w:adjustRightInd w:val="0"/>
        <w:snapToGrid w:val="0"/>
        <w:spacing w:before="120" w:after="0" w:line="223" w:lineRule="auto"/>
        <w:ind w:right="-6"/>
        <w:rPr>
          <w:sz w:val="20"/>
        </w:rPr>
      </w:pPr>
      <w:r w:rsidRPr="00B22FCB">
        <w:rPr>
          <w:sz w:val="20"/>
        </w:rPr>
        <w:t>Working Party on the Transport of Dangerous Goods</w:t>
      </w:r>
      <w:r w:rsidR="00B22FCB">
        <w:rPr>
          <w:sz w:val="20"/>
        </w:rPr>
        <w:tab/>
      </w:r>
      <w:r w:rsidR="006B5C3D">
        <w:rPr>
          <w:sz w:val="20"/>
        </w:rPr>
        <w:t>2</w:t>
      </w:r>
      <w:r w:rsidR="004F3AD5">
        <w:rPr>
          <w:sz w:val="20"/>
        </w:rPr>
        <w:t>7</w:t>
      </w:r>
      <w:r w:rsidR="00BA4009">
        <w:rPr>
          <w:sz w:val="20"/>
        </w:rPr>
        <w:t xml:space="preserve"> </w:t>
      </w:r>
      <w:r w:rsidR="006B5C3D">
        <w:rPr>
          <w:sz w:val="20"/>
        </w:rPr>
        <w:t>Febr</w:t>
      </w:r>
      <w:r w:rsidR="00BA4009">
        <w:rPr>
          <w:sz w:val="20"/>
        </w:rPr>
        <w:t>uary</w:t>
      </w:r>
      <w:r w:rsidR="00D92E8B">
        <w:rPr>
          <w:sz w:val="20"/>
        </w:rPr>
        <w:t xml:space="preserve"> 20</w:t>
      </w:r>
      <w:r w:rsidR="00BA4009">
        <w:rPr>
          <w:sz w:val="20"/>
        </w:rPr>
        <w:t>20</w:t>
      </w:r>
    </w:p>
    <w:p w:rsidR="00CA4562" w:rsidRDefault="00A62F57" w:rsidP="00CA4562">
      <w:pPr>
        <w:pStyle w:val="H1G"/>
        <w:keepNext w:val="0"/>
        <w:keepLines w:val="0"/>
        <w:widowControl w:val="0"/>
        <w:adjustRightInd w:val="0"/>
        <w:snapToGrid w:val="0"/>
        <w:spacing w:before="120" w:after="0" w:line="240" w:lineRule="auto"/>
        <w:ind w:left="0" w:right="-6" w:firstLine="0"/>
        <w:rPr>
          <w:sz w:val="20"/>
        </w:rPr>
      </w:pPr>
      <w:r w:rsidRPr="00B22FCB">
        <w:rPr>
          <w:sz w:val="20"/>
        </w:rPr>
        <w:t>Joint Meeting of the RID Committee of Experts and the</w:t>
      </w:r>
    </w:p>
    <w:p w:rsidR="00A62F57" w:rsidRPr="00B22FCB" w:rsidRDefault="00A62F57" w:rsidP="00CA4562">
      <w:pPr>
        <w:pStyle w:val="H1G"/>
        <w:keepNext w:val="0"/>
        <w:keepLines w:val="0"/>
        <w:widowControl w:val="0"/>
        <w:adjustRightInd w:val="0"/>
        <w:snapToGrid w:val="0"/>
        <w:spacing w:before="0" w:after="0" w:line="240" w:lineRule="auto"/>
        <w:ind w:left="0" w:right="-6" w:firstLine="0"/>
        <w:rPr>
          <w:sz w:val="20"/>
        </w:rPr>
      </w:pPr>
      <w:r w:rsidRPr="00B22FCB">
        <w:rPr>
          <w:sz w:val="20"/>
        </w:rPr>
        <w:t>Workin</w:t>
      </w:r>
      <w:r w:rsidR="00B22FCB" w:rsidRPr="00B22FCB">
        <w:rPr>
          <w:sz w:val="20"/>
        </w:rPr>
        <w:t>g</w:t>
      </w:r>
      <w:r w:rsidRPr="00B22FCB">
        <w:rPr>
          <w:sz w:val="20"/>
        </w:rPr>
        <w:t xml:space="preserve"> Party on the Transport of Dangerous Goods</w:t>
      </w:r>
    </w:p>
    <w:p w:rsidR="00A62F57" w:rsidRPr="00B22FCB" w:rsidRDefault="00A62F57" w:rsidP="00CA4562">
      <w:pPr>
        <w:widowControl w:val="0"/>
        <w:adjustRightInd w:val="0"/>
        <w:snapToGrid w:val="0"/>
        <w:spacing w:after="0"/>
      </w:pPr>
      <w:r w:rsidRPr="00B22FCB">
        <w:t>Geneva, 1</w:t>
      </w:r>
      <w:r w:rsidR="00DB147E">
        <w:t>6</w:t>
      </w:r>
      <w:r w:rsidRPr="00B22FCB">
        <w:t>–2</w:t>
      </w:r>
      <w:r w:rsidR="00DB147E">
        <w:t>0</w:t>
      </w:r>
      <w:r w:rsidRPr="00B22FCB">
        <w:t xml:space="preserve"> </w:t>
      </w:r>
      <w:r w:rsidR="00B97F62">
        <w:t>March</w:t>
      </w:r>
      <w:r w:rsidRPr="00B22FCB">
        <w:t xml:space="preserve"> 20</w:t>
      </w:r>
      <w:r w:rsidR="00B97F62">
        <w:t>20</w:t>
      </w:r>
    </w:p>
    <w:p w:rsidR="00C461FD" w:rsidRDefault="00C461FD" w:rsidP="00C461FD">
      <w:pPr>
        <w:pStyle w:val="Default"/>
        <w:rPr>
          <w:sz w:val="20"/>
          <w:szCs w:val="20"/>
        </w:rPr>
      </w:pPr>
      <w:r>
        <w:rPr>
          <w:sz w:val="20"/>
          <w:szCs w:val="20"/>
        </w:rPr>
        <w:t xml:space="preserve">Item </w:t>
      </w:r>
      <w:r w:rsidR="0077771A">
        <w:rPr>
          <w:sz w:val="20"/>
          <w:szCs w:val="20"/>
        </w:rPr>
        <w:t>3</w:t>
      </w:r>
      <w:r>
        <w:rPr>
          <w:sz w:val="20"/>
          <w:szCs w:val="20"/>
        </w:rPr>
        <w:t xml:space="preserve"> of the </w:t>
      </w:r>
      <w:proofErr w:type="spellStart"/>
      <w:r>
        <w:rPr>
          <w:sz w:val="20"/>
          <w:szCs w:val="20"/>
        </w:rPr>
        <w:t>provisional</w:t>
      </w:r>
      <w:proofErr w:type="spellEnd"/>
      <w:r>
        <w:rPr>
          <w:sz w:val="20"/>
          <w:szCs w:val="20"/>
        </w:rPr>
        <w:t xml:space="preserve"> agenda </w:t>
      </w:r>
    </w:p>
    <w:p w:rsidR="00A62F57" w:rsidRPr="0077771A" w:rsidRDefault="0077771A" w:rsidP="00C461FD">
      <w:pPr>
        <w:widowControl w:val="0"/>
        <w:adjustRightInd w:val="0"/>
        <w:snapToGrid w:val="0"/>
        <w:spacing w:after="0"/>
        <w:rPr>
          <w:b/>
          <w:bCs/>
        </w:rPr>
      </w:pPr>
      <w:r w:rsidRPr="0077771A">
        <w:rPr>
          <w:b/>
          <w:bCs/>
        </w:rPr>
        <w:t>Standards</w:t>
      </w:r>
    </w:p>
    <w:p w:rsidR="0077771A" w:rsidRPr="00A21535" w:rsidRDefault="00C461FD" w:rsidP="0077771A">
      <w:pPr>
        <w:pStyle w:val="HChG"/>
      </w:pPr>
      <w:r>
        <w:rPr>
          <w:lang w:val="en-US"/>
        </w:rPr>
        <w:tab/>
      </w:r>
      <w:r>
        <w:rPr>
          <w:lang w:val="en-US"/>
        </w:rPr>
        <w:tab/>
      </w:r>
      <w:r w:rsidR="0077771A" w:rsidRPr="00A21535">
        <w:t xml:space="preserve">Adoption of </w:t>
      </w:r>
      <w:r w:rsidR="0077771A">
        <w:t xml:space="preserve">EN 14129 </w:t>
      </w:r>
      <w:r w:rsidR="0077771A" w:rsidRPr="00A21535">
        <w:t xml:space="preserve">for </w:t>
      </w:r>
      <w:r w:rsidR="0077771A">
        <w:t xml:space="preserve">LPG pressure drum relief </w:t>
      </w:r>
      <w:r w:rsidR="0077771A" w:rsidRPr="00A21535">
        <w:t>valves</w:t>
      </w:r>
    </w:p>
    <w:p w:rsidR="0077771A" w:rsidRDefault="0077771A" w:rsidP="0077771A">
      <w:pPr>
        <w:pStyle w:val="H1G"/>
        <w:ind w:right="567"/>
      </w:pPr>
      <w:r w:rsidRPr="00024A13">
        <w:tab/>
      </w:r>
      <w:r w:rsidRPr="00024A13">
        <w:tab/>
        <w:t xml:space="preserve">Transmitted by </w:t>
      </w:r>
      <w:r>
        <w:t xml:space="preserve">Liquid Gas Europe, </w:t>
      </w:r>
      <w:r w:rsidRPr="00024A13">
        <w:t>European L</w:t>
      </w:r>
      <w:r>
        <w:t xml:space="preserve">PG </w:t>
      </w:r>
      <w:r w:rsidRPr="00024A13">
        <w:t>Association</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4F3AD5" w:rsidRPr="00E940D0" w:rsidTr="00B367DF">
        <w:trPr>
          <w:jc w:val="center"/>
        </w:trPr>
        <w:tc>
          <w:tcPr>
            <w:tcW w:w="9082" w:type="dxa"/>
            <w:shd w:val="clear" w:color="auto" w:fill="auto"/>
          </w:tcPr>
          <w:p w:rsidR="004F3AD5" w:rsidRPr="00E940D0" w:rsidRDefault="004F3AD5" w:rsidP="00B367DF">
            <w:pPr>
              <w:spacing w:before="240" w:after="120"/>
              <w:ind w:left="255"/>
              <w:rPr>
                <w:i/>
                <w:sz w:val="24"/>
              </w:rPr>
            </w:pPr>
            <w:r w:rsidRPr="00E940D0">
              <w:rPr>
                <w:i/>
                <w:sz w:val="24"/>
              </w:rPr>
              <w:t>Summary</w:t>
            </w:r>
          </w:p>
        </w:tc>
      </w:tr>
      <w:tr w:rsidR="004F3AD5" w:rsidRPr="00CD0808" w:rsidTr="00B367DF">
        <w:trPr>
          <w:jc w:val="center"/>
        </w:trPr>
        <w:tc>
          <w:tcPr>
            <w:tcW w:w="9082" w:type="dxa"/>
            <w:shd w:val="clear" w:color="auto" w:fill="auto"/>
          </w:tcPr>
          <w:p w:rsidR="004F3AD5" w:rsidRDefault="004F3AD5" w:rsidP="00B367DF">
            <w:pPr>
              <w:pStyle w:val="SingleTxtG"/>
              <w:tabs>
                <w:tab w:val="left" w:pos="3260"/>
              </w:tabs>
              <w:ind w:left="3260" w:hanging="2126"/>
              <w:rPr>
                <w:lang w:val="en-US"/>
              </w:rPr>
            </w:pPr>
            <w:r w:rsidRPr="00CD0808">
              <w:rPr>
                <w:b/>
              </w:rPr>
              <w:t>Executive summary:</w:t>
            </w:r>
            <w:r>
              <w:rPr>
                <w:b/>
              </w:rPr>
              <w:t xml:space="preserve"> </w:t>
            </w:r>
            <w:r w:rsidRPr="00CD0808">
              <w:tab/>
            </w:r>
            <w:r w:rsidRPr="00376B0E">
              <w:rPr>
                <w:lang w:val="en"/>
              </w:rPr>
              <w:t>Pressure drums for UN 1965 Liquefied petroleum gases (LPG) are used in predominantly commercial applications such as agriculture and industry. Filling is subject to Packing instruction P 200 in 4.1.4.1 ADR, where it is left to the choice of the operator</w:t>
            </w:r>
            <w:r>
              <w:rPr>
                <w:lang w:val="en"/>
              </w:rPr>
              <w:t xml:space="preserve">/owner </w:t>
            </w:r>
            <w:r w:rsidRPr="00376B0E">
              <w:rPr>
                <w:lang w:val="en"/>
              </w:rPr>
              <w:t>whether a pressure relief valve (PRV) is fitted or not.</w:t>
            </w:r>
          </w:p>
          <w:p w:rsidR="004F3AD5" w:rsidRDefault="004F3AD5" w:rsidP="00B367DF">
            <w:pPr>
              <w:pStyle w:val="SingleTxtG"/>
              <w:tabs>
                <w:tab w:val="left" w:pos="3260"/>
              </w:tabs>
              <w:ind w:left="3260" w:hanging="2126"/>
              <w:rPr>
                <w:lang w:val="en"/>
              </w:rPr>
            </w:pPr>
            <w:r>
              <w:tab/>
            </w:r>
            <w:r>
              <w:rPr>
                <w:lang w:val="en"/>
              </w:rPr>
              <w:t xml:space="preserve">LPG distributing companies wish to equip pressure drums with pressure relief valves for operational reasons, but the list of standards for closures (6.2.4.1 ADR) does currently only refer to </w:t>
            </w:r>
            <w:r w:rsidRPr="00BA3B18">
              <w:rPr>
                <w:lang w:val="en"/>
              </w:rPr>
              <w:t>EN 13953:2015</w:t>
            </w:r>
            <w:r>
              <w:rPr>
                <w:lang w:val="en"/>
              </w:rPr>
              <w:t xml:space="preserve"> for pressure relief valves, which is a standard that is suitable for PRVs for cylinders only.</w:t>
            </w:r>
          </w:p>
          <w:p w:rsidR="004F3AD5" w:rsidRDefault="004F3AD5" w:rsidP="004F3AD5">
            <w:pPr>
              <w:pStyle w:val="SingleTxtG"/>
              <w:tabs>
                <w:tab w:val="left" w:pos="3260"/>
              </w:tabs>
              <w:ind w:left="3260" w:hanging="2126"/>
              <w:rPr>
                <w:lang w:val="en"/>
              </w:rPr>
            </w:pPr>
            <w:r>
              <w:tab/>
            </w:r>
            <w:r>
              <w:rPr>
                <w:lang w:val="en"/>
              </w:rPr>
              <w:t xml:space="preserve">There is a technically suitable standard available, which could be used for such pressure relief valves, but it is listed in Chapter </w:t>
            </w:r>
            <w:r w:rsidRPr="00377364">
              <w:rPr>
                <w:szCs w:val="22"/>
              </w:rPr>
              <w:t>6.8.2.6.1 of ADR</w:t>
            </w:r>
            <w:r>
              <w:rPr>
                <w:lang w:val="en"/>
              </w:rPr>
              <w:t xml:space="preserve"> only and does not explicitly include pressure drums in its scope. The standard is currently dedicated to pressure relief valves predominantly for tanks (water capacity at least 500 l), but the design of these PRVs is similar (pressure drums can have up to 1000 </w:t>
            </w:r>
            <w:proofErr w:type="spellStart"/>
            <w:r>
              <w:rPr>
                <w:lang w:val="en"/>
              </w:rPr>
              <w:t>litres</w:t>
            </w:r>
            <w:proofErr w:type="spellEnd"/>
            <w:r>
              <w:rPr>
                <w:lang w:val="en"/>
              </w:rPr>
              <w:t xml:space="preserve"> water capacity).</w:t>
            </w:r>
          </w:p>
          <w:p w:rsidR="004F3AD5" w:rsidRDefault="004F3AD5" w:rsidP="004F3AD5">
            <w:pPr>
              <w:pStyle w:val="SingleTxtG"/>
              <w:tabs>
                <w:tab w:val="left" w:pos="3260"/>
              </w:tabs>
              <w:ind w:left="3260" w:hanging="2126"/>
              <w:rPr>
                <w:lang w:val="en"/>
              </w:rPr>
            </w:pPr>
            <w:r>
              <w:rPr>
                <w:lang w:val="en"/>
              </w:rPr>
              <w:tab/>
              <w:t xml:space="preserve">It is therefore proposed to include EN 14129:2014 as suitable standard for pressure relief valves for pressure drums into table 6.2.4.1 in ADR with an explanatory application rule. </w:t>
            </w:r>
          </w:p>
          <w:p w:rsidR="004F3AD5" w:rsidRPr="00CD0808" w:rsidRDefault="004F3AD5" w:rsidP="004F3AD5">
            <w:pPr>
              <w:pStyle w:val="SingleTxtG"/>
              <w:tabs>
                <w:tab w:val="left" w:pos="3260"/>
              </w:tabs>
              <w:ind w:left="3260" w:hanging="2126"/>
            </w:pPr>
            <w:r>
              <w:rPr>
                <w:lang w:val="en"/>
              </w:rPr>
              <w:tab/>
              <w:t>The formal explicit inclusion of pressure drums in the scope of standard EN 14129 will be addressed at CEN level during the revision of this standard. However, it will take some time to revise the standard, and the inclusion of the revised standard will at least take until the ADR 2023. Therefore, an intermediate solution is needed.</w:t>
            </w:r>
          </w:p>
        </w:tc>
      </w:tr>
      <w:tr w:rsidR="004F3AD5" w:rsidRPr="00CD0808" w:rsidTr="00B367DF">
        <w:trPr>
          <w:jc w:val="center"/>
        </w:trPr>
        <w:tc>
          <w:tcPr>
            <w:tcW w:w="9082" w:type="dxa"/>
            <w:shd w:val="clear" w:color="auto" w:fill="auto"/>
          </w:tcPr>
          <w:p w:rsidR="004F3AD5" w:rsidRPr="00CD0808" w:rsidRDefault="004F3AD5" w:rsidP="00B367DF">
            <w:pPr>
              <w:pStyle w:val="SingleTxtG"/>
              <w:tabs>
                <w:tab w:val="left" w:pos="3260"/>
              </w:tabs>
              <w:ind w:left="3260" w:hanging="2126"/>
            </w:pPr>
            <w:r w:rsidRPr="00CD0808">
              <w:rPr>
                <w:b/>
              </w:rPr>
              <w:t>Action to be taken:</w:t>
            </w:r>
            <w:r>
              <w:rPr>
                <w:b/>
              </w:rPr>
              <w:t xml:space="preserve">     </w:t>
            </w:r>
            <w:r>
              <w:rPr>
                <w:b/>
              </w:rPr>
              <w:tab/>
            </w:r>
            <w:r>
              <w:rPr>
                <w:szCs w:val="22"/>
              </w:rPr>
              <w:t>A</w:t>
            </w:r>
            <w:r w:rsidRPr="00377364">
              <w:rPr>
                <w:szCs w:val="22"/>
              </w:rPr>
              <w:t>mend</w:t>
            </w:r>
            <w:r>
              <w:rPr>
                <w:szCs w:val="22"/>
              </w:rPr>
              <w:t xml:space="preserve"> </w:t>
            </w:r>
            <w:r w:rsidRPr="00377364">
              <w:rPr>
                <w:szCs w:val="22"/>
              </w:rPr>
              <w:t>6.2.4.1 ADR in such that the table is amended by EN 14129:2014 with an additional application rule in the form of a “NOTE” entry, which is a common and accepted approach for the out-of-scope application of standards. See e.g. the Note to EN 1251-2:2000 or EN 14427:2004+A1:2005.</w:t>
            </w:r>
          </w:p>
        </w:tc>
      </w:tr>
    </w:tbl>
    <w:p w:rsidR="0077771A" w:rsidRPr="00377364" w:rsidRDefault="004F3AD5" w:rsidP="004F3AD5">
      <w:pPr>
        <w:pStyle w:val="HChG"/>
        <w:rPr>
          <w:lang w:val="en-US"/>
        </w:rPr>
      </w:pPr>
      <w:r>
        <w:rPr>
          <w:lang w:val="en-US"/>
        </w:rPr>
        <w:lastRenderedPageBreak/>
        <w:tab/>
      </w:r>
      <w:r>
        <w:rPr>
          <w:lang w:val="en-US"/>
        </w:rPr>
        <w:tab/>
      </w:r>
      <w:r w:rsidR="0077771A" w:rsidRPr="00377364">
        <w:rPr>
          <w:lang w:val="en-US"/>
        </w:rPr>
        <w:t>Background</w:t>
      </w:r>
    </w:p>
    <w:p w:rsidR="0077771A" w:rsidRPr="00377364" w:rsidRDefault="006048E3" w:rsidP="004F3AD5">
      <w:pPr>
        <w:pStyle w:val="SingleTxtG"/>
      </w:pPr>
      <w:r>
        <w:t>1.</w:t>
      </w:r>
      <w:r>
        <w:tab/>
      </w:r>
      <w:r w:rsidR="0077771A" w:rsidRPr="00377364">
        <w:t xml:space="preserve">LPG distribution companies are interested in establishing pressure drums for the distribution of LPG to the agricultural business and other applications. Pressure drums are welded transportable pressure receptacles with a water capacity exceeding 150 l and not more than 1000 l. For their intended operation, these pressure drums need to be equipped with a pressure relief valve (PRV)/safety valve. Regarding transport, the PRV is an optional accessory. </w:t>
      </w:r>
    </w:p>
    <w:p w:rsidR="0077771A" w:rsidRDefault="006048E3" w:rsidP="004F3AD5">
      <w:pPr>
        <w:pStyle w:val="SingleTxtG"/>
      </w:pPr>
      <w:r>
        <w:t>2.</w:t>
      </w:r>
      <w:r>
        <w:tab/>
      </w:r>
      <w:r w:rsidR="0077771A" w:rsidRPr="00377364">
        <w:t>The European dangerous goods law requires accessories f</w:t>
      </w:r>
      <w:r w:rsidR="0077771A">
        <w:t>or transportable pressure recep</w:t>
      </w:r>
      <w:r w:rsidR="0077771A" w:rsidRPr="00377364">
        <w:t>tacles (including pressure drums) to be designed and approve</w:t>
      </w:r>
      <w:r w:rsidR="0077771A">
        <w:t>d to standards listed in the ta</w:t>
      </w:r>
      <w:r w:rsidR="0077771A" w:rsidRPr="00377364">
        <w:t xml:space="preserve">ble of 6.2.4.1 ADR. </w:t>
      </w:r>
    </w:p>
    <w:p w:rsidR="0077771A" w:rsidRPr="00377364" w:rsidRDefault="004F3AD5" w:rsidP="004F3AD5">
      <w:pPr>
        <w:pStyle w:val="HChG"/>
        <w:rPr>
          <w:lang w:val="en-US"/>
        </w:rPr>
      </w:pPr>
      <w:r>
        <w:rPr>
          <w:lang w:val="en-US"/>
        </w:rPr>
        <w:tab/>
      </w:r>
      <w:r>
        <w:rPr>
          <w:lang w:val="en-US"/>
        </w:rPr>
        <w:tab/>
      </w:r>
      <w:r w:rsidR="0077771A" w:rsidRPr="00377364">
        <w:rPr>
          <w:lang w:val="en-US"/>
        </w:rPr>
        <w:t xml:space="preserve">Problem </w:t>
      </w:r>
    </w:p>
    <w:p w:rsidR="0077771A" w:rsidRPr="00377364" w:rsidRDefault="006048E3" w:rsidP="006048E3">
      <w:pPr>
        <w:pStyle w:val="SingleTxtG"/>
      </w:pPr>
      <w:r>
        <w:t>3.</w:t>
      </w:r>
      <w:r>
        <w:tab/>
      </w:r>
      <w:r w:rsidR="0077771A" w:rsidRPr="00377364">
        <w:t xml:space="preserve">In the current version there is no suitable standard listed in 6.2.4.1 of ADR that would allow the design and approval of PRV for pressure drums. </w:t>
      </w:r>
      <w:r w:rsidR="00191253">
        <w:t>Therefore</w:t>
      </w:r>
      <w:r w:rsidR="0077771A">
        <w:t>, PRVs for pressure drums can</w:t>
      </w:r>
      <w:r w:rsidR="0077771A" w:rsidRPr="00377364">
        <w:t xml:space="preserve">not be approved to ADR and TPED under standard procedures. The only PRV standard listed in 6.2.4.1 is EN 13953:2015, which is by scope limited to gas cylinders (upper size 150 l water capacity). It is considered that the application of EN 13953 to PRV of larger size by extension of its scope could be one option. </w:t>
      </w:r>
    </w:p>
    <w:p w:rsidR="0077771A" w:rsidRDefault="006048E3" w:rsidP="004F3AD5">
      <w:pPr>
        <w:pStyle w:val="SingleTxtG"/>
      </w:pPr>
      <w:r>
        <w:t>4.</w:t>
      </w:r>
      <w:r>
        <w:tab/>
      </w:r>
      <w:r w:rsidR="0077771A" w:rsidRPr="00377364">
        <w:t xml:space="preserve">However, EN 14129:2014, i.e. the ADR compliant PRV standard for fixed and demountable tanks, is considered more appropriate for pressure accessories of larger size. This standard is currently listed in 6.8.2.6.1 of ADR. Though being suitable from a technical point of view, it also does not include pressure drums in its scope. </w:t>
      </w:r>
    </w:p>
    <w:p w:rsidR="0077771A" w:rsidRPr="00377364" w:rsidRDefault="004F3AD5" w:rsidP="004F3AD5">
      <w:pPr>
        <w:pStyle w:val="HChG"/>
        <w:rPr>
          <w:lang w:val="en-US"/>
        </w:rPr>
      </w:pPr>
      <w:r>
        <w:rPr>
          <w:lang w:val="en-US"/>
        </w:rPr>
        <w:tab/>
      </w:r>
      <w:r>
        <w:rPr>
          <w:lang w:val="en-US"/>
        </w:rPr>
        <w:tab/>
      </w:r>
      <w:r w:rsidR="0077771A" w:rsidRPr="00377364">
        <w:rPr>
          <w:lang w:val="en-US"/>
        </w:rPr>
        <w:t xml:space="preserve">Solution </w:t>
      </w:r>
    </w:p>
    <w:p w:rsidR="0077771A" w:rsidRPr="00377364" w:rsidRDefault="006048E3" w:rsidP="004F3AD5">
      <w:pPr>
        <w:pStyle w:val="SingleTxtG"/>
      </w:pPr>
      <w:r>
        <w:t>5.</w:t>
      </w:r>
      <w:r>
        <w:tab/>
      </w:r>
      <w:r w:rsidR="0077771A">
        <w:t xml:space="preserve">Due to the </w:t>
      </w:r>
      <w:proofErr w:type="gramStart"/>
      <w:r w:rsidR="0077771A">
        <w:t>time consuming</w:t>
      </w:r>
      <w:proofErr w:type="gramEnd"/>
      <w:r w:rsidR="0077771A">
        <w:t xml:space="preserve"> revision cycle of the standard and the ADR, a two-step approach is proposed to account for the persistent need of a listed standard.</w:t>
      </w:r>
    </w:p>
    <w:p w:rsidR="0077771A" w:rsidRDefault="006048E3" w:rsidP="004F3AD5">
      <w:pPr>
        <w:pStyle w:val="SingleTxtG"/>
        <w:rPr>
          <w:szCs w:val="18"/>
        </w:rPr>
      </w:pPr>
      <w:r>
        <w:rPr>
          <w:bCs/>
        </w:rPr>
        <w:t>6.</w:t>
      </w:r>
      <w:r>
        <w:rPr>
          <w:bCs/>
        </w:rPr>
        <w:tab/>
      </w:r>
      <w:r w:rsidR="0077771A">
        <w:rPr>
          <w:bCs/>
        </w:rPr>
        <w:t xml:space="preserve">Firstly, the </w:t>
      </w:r>
      <w:r w:rsidR="0077771A" w:rsidRPr="00377364">
        <w:t xml:space="preserve">table </w:t>
      </w:r>
      <w:r w:rsidR="0077771A">
        <w:t xml:space="preserve">in </w:t>
      </w:r>
      <w:r w:rsidR="0077771A" w:rsidRPr="00377364">
        <w:t xml:space="preserve">6.2.4.1 ADR </w:t>
      </w:r>
      <w:r w:rsidR="0077771A">
        <w:t xml:space="preserve">should be amended </w:t>
      </w:r>
      <w:r w:rsidR="0077771A" w:rsidRPr="00377364">
        <w:t xml:space="preserve">by EN 14129:2014 with an additional application rule in the form of a “NOTE” entry, which is a common and accepted approach for the out-of-scope application of standards. See e.g. the Note to EN 1251-2:2000 or EN 14427:2004+A1:2005. </w:t>
      </w:r>
      <w:r w:rsidR="0077771A">
        <w:rPr>
          <w:szCs w:val="18"/>
        </w:rPr>
        <w:t xml:space="preserve">The amended line should read as follows: </w:t>
      </w:r>
    </w:p>
    <w:tbl>
      <w:tblPr>
        <w:tblW w:w="8505" w:type="dxa"/>
        <w:jc w:val="center"/>
        <w:tblBorders>
          <w:top w:val="nil"/>
          <w:left w:val="nil"/>
          <w:bottom w:val="nil"/>
          <w:right w:val="nil"/>
        </w:tblBorders>
        <w:tblLayout w:type="fixed"/>
        <w:tblLook w:val="0000" w:firstRow="0" w:lastRow="0" w:firstColumn="0" w:lastColumn="0" w:noHBand="0" w:noVBand="0"/>
      </w:tblPr>
      <w:tblGrid>
        <w:gridCol w:w="1352"/>
        <w:gridCol w:w="3223"/>
        <w:gridCol w:w="1260"/>
        <w:gridCol w:w="1259"/>
        <w:gridCol w:w="1411"/>
      </w:tblGrid>
      <w:tr w:rsidR="0077771A" w:rsidRPr="00377364" w:rsidTr="004F3AD5">
        <w:trPr>
          <w:trHeight w:val="84"/>
          <w:jc w:val="center"/>
        </w:trPr>
        <w:tc>
          <w:tcPr>
            <w:tcW w:w="9639" w:type="dxa"/>
            <w:gridSpan w:val="5"/>
            <w:tcBorders>
              <w:bottom w:val="single" w:sz="4" w:space="0" w:color="auto"/>
            </w:tcBorders>
          </w:tcPr>
          <w:p w:rsidR="0077771A" w:rsidRPr="00377364" w:rsidRDefault="0077771A" w:rsidP="004F3AD5">
            <w:pPr>
              <w:pStyle w:val="Default"/>
              <w:snapToGrid w:val="0"/>
              <w:spacing w:before="60" w:after="60"/>
              <w:rPr>
                <w:sz w:val="20"/>
                <w:szCs w:val="18"/>
                <w:lang w:val="en-GB"/>
              </w:rPr>
            </w:pPr>
          </w:p>
        </w:tc>
      </w:tr>
      <w:tr w:rsidR="0077771A" w:rsidRPr="00377364" w:rsidTr="004F3AD5">
        <w:trPr>
          <w:trHeight w:val="84"/>
          <w:jc w:val="center"/>
        </w:trPr>
        <w:tc>
          <w:tcPr>
            <w:tcW w:w="1526" w:type="dxa"/>
            <w:tcBorders>
              <w:top w:val="single" w:sz="4" w:space="0" w:color="auto"/>
              <w:left w:val="single" w:sz="4" w:space="0" w:color="auto"/>
              <w:bottom w:val="single" w:sz="4" w:space="0" w:color="auto"/>
              <w:right w:val="single" w:sz="4" w:space="0" w:color="auto"/>
            </w:tcBorders>
          </w:tcPr>
          <w:p w:rsidR="0077771A" w:rsidRPr="00377364" w:rsidRDefault="0077771A" w:rsidP="004F3AD5">
            <w:pPr>
              <w:pStyle w:val="Default"/>
              <w:snapToGrid w:val="0"/>
              <w:spacing w:before="60" w:after="60"/>
              <w:jc w:val="center"/>
              <w:rPr>
                <w:sz w:val="20"/>
                <w:szCs w:val="18"/>
              </w:rPr>
            </w:pPr>
            <w:r>
              <w:rPr>
                <w:sz w:val="20"/>
                <w:szCs w:val="18"/>
              </w:rPr>
              <w:t>Reference</w:t>
            </w:r>
          </w:p>
        </w:tc>
        <w:tc>
          <w:tcPr>
            <w:tcW w:w="3685" w:type="dxa"/>
            <w:tcBorders>
              <w:top w:val="single" w:sz="4" w:space="0" w:color="auto"/>
              <w:left w:val="single" w:sz="4" w:space="0" w:color="auto"/>
              <w:bottom w:val="single" w:sz="4" w:space="0" w:color="auto"/>
              <w:right w:val="single" w:sz="4" w:space="0" w:color="auto"/>
            </w:tcBorders>
          </w:tcPr>
          <w:p w:rsidR="0077771A" w:rsidRPr="00377364" w:rsidRDefault="0077771A" w:rsidP="004F3AD5">
            <w:pPr>
              <w:pStyle w:val="Default"/>
              <w:snapToGrid w:val="0"/>
              <w:spacing w:before="60" w:after="60"/>
              <w:jc w:val="center"/>
              <w:rPr>
                <w:sz w:val="20"/>
                <w:szCs w:val="18"/>
              </w:rPr>
            </w:pPr>
            <w:proofErr w:type="spellStart"/>
            <w:r>
              <w:rPr>
                <w:sz w:val="20"/>
                <w:szCs w:val="18"/>
              </w:rPr>
              <w:t>Title</w:t>
            </w:r>
            <w:proofErr w:type="spellEnd"/>
            <w:r>
              <w:rPr>
                <w:sz w:val="20"/>
                <w:szCs w:val="18"/>
              </w:rPr>
              <w:t xml:space="preserve"> of document</w:t>
            </w:r>
          </w:p>
        </w:tc>
        <w:tc>
          <w:tcPr>
            <w:tcW w:w="1418" w:type="dxa"/>
            <w:tcBorders>
              <w:top w:val="single" w:sz="4" w:space="0" w:color="auto"/>
              <w:left w:val="single" w:sz="4" w:space="0" w:color="auto"/>
              <w:bottom w:val="single" w:sz="4" w:space="0" w:color="auto"/>
              <w:right w:val="single" w:sz="4" w:space="0" w:color="auto"/>
            </w:tcBorders>
          </w:tcPr>
          <w:p w:rsidR="0077771A" w:rsidRPr="00377364" w:rsidRDefault="0077771A" w:rsidP="004F3AD5">
            <w:pPr>
              <w:pStyle w:val="Default"/>
              <w:snapToGrid w:val="0"/>
              <w:spacing w:before="60" w:after="60"/>
              <w:jc w:val="center"/>
              <w:rPr>
                <w:sz w:val="20"/>
                <w:szCs w:val="18"/>
              </w:rPr>
            </w:pPr>
            <w:r>
              <w:rPr>
                <w:sz w:val="20"/>
                <w:szCs w:val="18"/>
              </w:rPr>
              <w:t xml:space="preserve">Applicable </w:t>
            </w:r>
            <w:proofErr w:type="spellStart"/>
            <w:r>
              <w:rPr>
                <w:sz w:val="20"/>
                <w:szCs w:val="18"/>
              </w:rPr>
              <w:t>subsections</w:t>
            </w:r>
            <w:proofErr w:type="spellEnd"/>
            <w:r>
              <w:rPr>
                <w:sz w:val="20"/>
                <w:szCs w:val="18"/>
              </w:rPr>
              <w:t xml:space="preserve"> and </w:t>
            </w:r>
            <w:proofErr w:type="spellStart"/>
            <w:r>
              <w:rPr>
                <w:sz w:val="20"/>
                <w:szCs w:val="18"/>
              </w:rPr>
              <w:t>paragraphs</w:t>
            </w:r>
            <w:proofErr w:type="spellEnd"/>
          </w:p>
        </w:tc>
        <w:tc>
          <w:tcPr>
            <w:tcW w:w="1417" w:type="dxa"/>
            <w:tcBorders>
              <w:top w:val="single" w:sz="4" w:space="0" w:color="auto"/>
              <w:left w:val="single" w:sz="4" w:space="0" w:color="auto"/>
              <w:bottom w:val="single" w:sz="4" w:space="0" w:color="auto"/>
              <w:right w:val="single" w:sz="4" w:space="0" w:color="auto"/>
            </w:tcBorders>
          </w:tcPr>
          <w:p w:rsidR="0077771A" w:rsidRPr="003B3CFC" w:rsidRDefault="0077771A" w:rsidP="004F3AD5">
            <w:pPr>
              <w:pStyle w:val="Default"/>
              <w:snapToGrid w:val="0"/>
              <w:spacing w:before="60" w:after="60"/>
              <w:jc w:val="center"/>
              <w:rPr>
                <w:sz w:val="20"/>
                <w:szCs w:val="18"/>
                <w:lang w:val="en-GB"/>
              </w:rPr>
            </w:pPr>
            <w:r w:rsidRPr="003B3CFC">
              <w:rPr>
                <w:sz w:val="20"/>
                <w:szCs w:val="18"/>
                <w:lang w:val="en-GB"/>
              </w:rPr>
              <w:t>Applicable for new type approvals or for renewals</w:t>
            </w:r>
          </w:p>
        </w:tc>
        <w:tc>
          <w:tcPr>
            <w:tcW w:w="1593" w:type="dxa"/>
            <w:tcBorders>
              <w:top w:val="single" w:sz="4" w:space="0" w:color="auto"/>
              <w:left w:val="single" w:sz="4" w:space="0" w:color="auto"/>
              <w:bottom w:val="single" w:sz="4" w:space="0" w:color="auto"/>
              <w:right w:val="single" w:sz="4" w:space="0" w:color="auto"/>
            </w:tcBorders>
          </w:tcPr>
          <w:p w:rsidR="0077771A" w:rsidRPr="003B3CFC" w:rsidRDefault="0077771A" w:rsidP="004F3AD5">
            <w:pPr>
              <w:pStyle w:val="Default"/>
              <w:snapToGrid w:val="0"/>
              <w:spacing w:before="60" w:after="60"/>
              <w:jc w:val="center"/>
              <w:rPr>
                <w:sz w:val="20"/>
                <w:szCs w:val="18"/>
                <w:lang w:val="en-GB"/>
              </w:rPr>
            </w:pPr>
            <w:r w:rsidRPr="003B3CFC">
              <w:rPr>
                <w:sz w:val="20"/>
                <w:szCs w:val="18"/>
                <w:lang w:val="en-GB"/>
              </w:rPr>
              <w:t>Latest date for withdrawals of existing type approvals</w:t>
            </w:r>
          </w:p>
        </w:tc>
      </w:tr>
      <w:tr w:rsidR="0077771A" w:rsidRPr="00377364" w:rsidTr="004F3AD5">
        <w:trPr>
          <w:trHeight w:val="84"/>
          <w:jc w:val="center"/>
        </w:trPr>
        <w:tc>
          <w:tcPr>
            <w:tcW w:w="1526" w:type="dxa"/>
            <w:tcBorders>
              <w:top w:val="single" w:sz="4" w:space="0" w:color="auto"/>
              <w:left w:val="single" w:sz="4" w:space="0" w:color="auto"/>
              <w:bottom w:val="single" w:sz="4" w:space="0" w:color="auto"/>
              <w:right w:val="single" w:sz="4" w:space="0" w:color="auto"/>
            </w:tcBorders>
          </w:tcPr>
          <w:p w:rsidR="0077771A" w:rsidRPr="00377364" w:rsidRDefault="0077771A" w:rsidP="004F3AD5">
            <w:pPr>
              <w:pStyle w:val="Default"/>
              <w:snapToGrid w:val="0"/>
              <w:spacing w:before="60" w:after="60"/>
              <w:jc w:val="center"/>
              <w:rPr>
                <w:sz w:val="20"/>
                <w:szCs w:val="18"/>
              </w:rPr>
            </w:pPr>
            <w:r w:rsidRPr="00377364">
              <w:rPr>
                <w:sz w:val="20"/>
                <w:szCs w:val="18"/>
              </w:rPr>
              <w:t>(1)</w:t>
            </w:r>
          </w:p>
        </w:tc>
        <w:tc>
          <w:tcPr>
            <w:tcW w:w="3685" w:type="dxa"/>
            <w:tcBorders>
              <w:top w:val="single" w:sz="4" w:space="0" w:color="auto"/>
              <w:left w:val="single" w:sz="4" w:space="0" w:color="auto"/>
              <w:bottom w:val="single" w:sz="4" w:space="0" w:color="auto"/>
              <w:right w:val="single" w:sz="4" w:space="0" w:color="auto"/>
            </w:tcBorders>
          </w:tcPr>
          <w:p w:rsidR="0077771A" w:rsidRPr="00377364" w:rsidRDefault="0077771A" w:rsidP="004F3AD5">
            <w:pPr>
              <w:pStyle w:val="Default"/>
              <w:snapToGrid w:val="0"/>
              <w:spacing w:before="60" w:after="60"/>
              <w:jc w:val="center"/>
              <w:rPr>
                <w:sz w:val="20"/>
                <w:szCs w:val="18"/>
              </w:rPr>
            </w:pPr>
            <w:r w:rsidRPr="00377364">
              <w:rPr>
                <w:sz w:val="20"/>
                <w:szCs w:val="18"/>
              </w:rPr>
              <w:t>(2)</w:t>
            </w:r>
          </w:p>
        </w:tc>
        <w:tc>
          <w:tcPr>
            <w:tcW w:w="1418" w:type="dxa"/>
            <w:tcBorders>
              <w:top w:val="single" w:sz="4" w:space="0" w:color="auto"/>
              <w:left w:val="single" w:sz="4" w:space="0" w:color="auto"/>
              <w:bottom w:val="single" w:sz="4" w:space="0" w:color="auto"/>
              <w:right w:val="single" w:sz="4" w:space="0" w:color="auto"/>
            </w:tcBorders>
          </w:tcPr>
          <w:p w:rsidR="0077771A" w:rsidRPr="00377364" w:rsidRDefault="0077771A" w:rsidP="004F3AD5">
            <w:pPr>
              <w:pStyle w:val="Default"/>
              <w:snapToGrid w:val="0"/>
              <w:spacing w:before="60" w:after="60"/>
              <w:jc w:val="center"/>
              <w:rPr>
                <w:sz w:val="20"/>
                <w:szCs w:val="18"/>
              </w:rPr>
            </w:pPr>
            <w:r w:rsidRPr="00377364">
              <w:rPr>
                <w:sz w:val="20"/>
                <w:szCs w:val="18"/>
              </w:rPr>
              <w:t>(3)</w:t>
            </w:r>
          </w:p>
        </w:tc>
        <w:tc>
          <w:tcPr>
            <w:tcW w:w="1417" w:type="dxa"/>
            <w:tcBorders>
              <w:top w:val="single" w:sz="4" w:space="0" w:color="auto"/>
              <w:left w:val="single" w:sz="4" w:space="0" w:color="auto"/>
              <w:bottom w:val="single" w:sz="4" w:space="0" w:color="auto"/>
              <w:right w:val="single" w:sz="4" w:space="0" w:color="auto"/>
            </w:tcBorders>
          </w:tcPr>
          <w:p w:rsidR="0077771A" w:rsidRPr="00377364" w:rsidRDefault="0077771A" w:rsidP="004F3AD5">
            <w:pPr>
              <w:pStyle w:val="Default"/>
              <w:snapToGrid w:val="0"/>
              <w:spacing w:before="60" w:after="60"/>
              <w:jc w:val="center"/>
              <w:rPr>
                <w:sz w:val="20"/>
                <w:szCs w:val="18"/>
              </w:rPr>
            </w:pPr>
            <w:r w:rsidRPr="00377364">
              <w:rPr>
                <w:sz w:val="20"/>
                <w:szCs w:val="18"/>
              </w:rPr>
              <w:t>(4)</w:t>
            </w:r>
          </w:p>
        </w:tc>
        <w:tc>
          <w:tcPr>
            <w:tcW w:w="1593" w:type="dxa"/>
            <w:tcBorders>
              <w:top w:val="single" w:sz="4" w:space="0" w:color="auto"/>
              <w:left w:val="single" w:sz="4" w:space="0" w:color="auto"/>
              <w:bottom w:val="single" w:sz="4" w:space="0" w:color="auto"/>
              <w:right w:val="single" w:sz="4" w:space="0" w:color="auto"/>
            </w:tcBorders>
          </w:tcPr>
          <w:p w:rsidR="0077771A" w:rsidRPr="00377364" w:rsidRDefault="0077771A" w:rsidP="004F3AD5">
            <w:pPr>
              <w:pStyle w:val="Default"/>
              <w:snapToGrid w:val="0"/>
              <w:spacing w:before="60" w:after="60"/>
              <w:jc w:val="center"/>
              <w:rPr>
                <w:sz w:val="20"/>
                <w:szCs w:val="18"/>
              </w:rPr>
            </w:pPr>
            <w:r w:rsidRPr="00377364">
              <w:rPr>
                <w:sz w:val="20"/>
                <w:szCs w:val="18"/>
              </w:rPr>
              <w:t>(5)</w:t>
            </w:r>
          </w:p>
        </w:tc>
      </w:tr>
      <w:tr w:rsidR="0077771A" w:rsidRPr="00377364" w:rsidTr="004F3AD5">
        <w:trPr>
          <w:trHeight w:val="84"/>
          <w:jc w:val="center"/>
        </w:trPr>
        <w:tc>
          <w:tcPr>
            <w:tcW w:w="9639" w:type="dxa"/>
            <w:gridSpan w:val="5"/>
            <w:tcBorders>
              <w:top w:val="single" w:sz="4" w:space="0" w:color="auto"/>
              <w:left w:val="single" w:sz="4" w:space="0" w:color="auto"/>
              <w:bottom w:val="single" w:sz="4" w:space="0" w:color="auto"/>
              <w:right w:val="single" w:sz="4" w:space="0" w:color="auto"/>
            </w:tcBorders>
          </w:tcPr>
          <w:p w:rsidR="0077771A" w:rsidRPr="00377364" w:rsidRDefault="0077771A" w:rsidP="004F3AD5">
            <w:pPr>
              <w:pStyle w:val="Default"/>
              <w:snapToGrid w:val="0"/>
              <w:spacing w:before="60" w:after="60"/>
              <w:rPr>
                <w:sz w:val="20"/>
                <w:szCs w:val="18"/>
              </w:rPr>
            </w:pPr>
            <w:r>
              <w:rPr>
                <w:sz w:val="20"/>
                <w:szCs w:val="18"/>
              </w:rPr>
              <w:t>…</w:t>
            </w:r>
          </w:p>
        </w:tc>
      </w:tr>
      <w:tr w:rsidR="0077771A" w:rsidRPr="00377364" w:rsidTr="004F3AD5">
        <w:trPr>
          <w:trHeight w:val="84"/>
          <w:jc w:val="center"/>
        </w:trPr>
        <w:tc>
          <w:tcPr>
            <w:tcW w:w="9639" w:type="dxa"/>
            <w:gridSpan w:val="5"/>
            <w:tcBorders>
              <w:top w:val="single" w:sz="4" w:space="0" w:color="auto"/>
              <w:left w:val="single" w:sz="4" w:space="0" w:color="auto"/>
              <w:bottom w:val="single" w:sz="4" w:space="0" w:color="auto"/>
              <w:right w:val="single" w:sz="4" w:space="0" w:color="auto"/>
            </w:tcBorders>
          </w:tcPr>
          <w:p w:rsidR="0077771A" w:rsidRPr="00377364" w:rsidRDefault="0077771A" w:rsidP="004F3AD5">
            <w:pPr>
              <w:pStyle w:val="Default"/>
              <w:snapToGrid w:val="0"/>
              <w:spacing w:before="60" w:after="60"/>
              <w:rPr>
                <w:sz w:val="20"/>
                <w:szCs w:val="18"/>
              </w:rPr>
            </w:pPr>
            <w:proofErr w:type="gramStart"/>
            <w:r w:rsidRPr="00B67C9F">
              <w:rPr>
                <w:b/>
                <w:i/>
                <w:sz w:val="20"/>
                <w:szCs w:val="18"/>
              </w:rPr>
              <w:t>for</w:t>
            </w:r>
            <w:proofErr w:type="gramEnd"/>
            <w:r w:rsidRPr="00B67C9F">
              <w:rPr>
                <w:b/>
                <w:i/>
                <w:sz w:val="20"/>
                <w:szCs w:val="18"/>
              </w:rPr>
              <w:t xml:space="preserve"> </w:t>
            </w:r>
            <w:proofErr w:type="spellStart"/>
            <w:r w:rsidRPr="00B67C9F">
              <w:rPr>
                <w:b/>
                <w:i/>
                <w:sz w:val="20"/>
                <w:szCs w:val="18"/>
              </w:rPr>
              <w:t>closures</w:t>
            </w:r>
            <w:proofErr w:type="spellEnd"/>
          </w:p>
        </w:tc>
      </w:tr>
      <w:tr w:rsidR="0077771A" w:rsidRPr="00377364" w:rsidTr="004F3AD5">
        <w:trPr>
          <w:trHeight w:val="84"/>
          <w:jc w:val="center"/>
        </w:trPr>
        <w:tc>
          <w:tcPr>
            <w:tcW w:w="9639" w:type="dxa"/>
            <w:gridSpan w:val="5"/>
            <w:tcBorders>
              <w:top w:val="single" w:sz="4" w:space="0" w:color="auto"/>
              <w:left w:val="single" w:sz="4" w:space="0" w:color="auto"/>
              <w:bottom w:val="single" w:sz="4" w:space="0" w:color="auto"/>
              <w:right w:val="single" w:sz="4" w:space="0" w:color="auto"/>
            </w:tcBorders>
          </w:tcPr>
          <w:p w:rsidR="0077771A" w:rsidRPr="00377364" w:rsidRDefault="0077771A" w:rsidP="004F3AD5">
            <w:pPr>
              <w:pStyle w:val="Default"/>
              <w:snapToGrid w:val="0"/>
              <w:spacing w:before="60" w:after="60"/>
              <w:rPr>
                <w:sz w:val="20"/>
                <w:szCs w:val="18"/>
              </w:rPr>
            </w:pPr>
            <w:r>
              <w:rPr>
                <w:sz w:val="20"/>
                <w:szCs w:val="18"/>
              </w:rPr>
              <w:t>…</w:t>
            </w:r>
          </w:p>
        </w:tc>
      </w:tr>
      <w:tr w:rsidR="0077771A" w:rsidRPr="00377364" w:rsidTr="004F3AD5">
        <w:trPr>
          <w:trHeight w:val="84"/>
          <w:jc w:val="center"/>
        </w:trPr>
        <w:tc>
          <w:tcPr>
            <w:tcW w:w="1526" w:type="dxa"/>
            <w:tcBorders>
              <w:top w:val="single" w:sz="4" w:space="0" w:color="auto"/>
              <w:left w:val="single" w:sz="4" w:space="0" w:color="auto"/>
              <w:bottom w:val="single" w:sz="4" w:space="0" w:color="auto"/>
              <w:right w:val="single" w:sz="4" w:space="0" w:color="auto"/>
            </w:tcBorders>
          </w:tcPr>
          <w:p w:rsidR="0077771A" w:rsidRPr="00377364" w:rsidRDefault="0077771A" w:rsidP="004F3AD5">
            <w:pPr>
              <w:pStyle w:val="Default"/>
              <w:snapToGrid w:val="0"/>
              <w:spacing w:before="60" w:after="60"/>
              <w:rPr>
                <w:sz w:val="20"/>
                <w:szCs w:val="18"/>
              </w:rPr>
            </w:pPr>
            <w:r w:rsidRPr="00377364">
              <w:rPr>
                <w:sz w:val="20"/>
                <w:szCs w:val="18"/>
              </w:rPr>
              <w:t xml:space="preserve">EN </w:t>
            </w:r>
            <w:proofErr w:type="gramStart"/>
            <w:r w:rsidRPr="00377364">
              <w:rPr>
                <w:sz w:val="20"/>
                <w:szCs w:val="18"/>
              </w:rPr>
              <w:t>14129:</w:t>
            </w:r>
            <w:proofErr w:type="gramEnd"/>
            <w:r w:rsidRPr="00377364">
              <w:rPr>
                <w:sz w:val="20"/>
                <w:szCs w:val="18"/>
              </w:rPr>
              <w:t>2014</w:t>
            </w:r>
          </w:p>
        </w:tc>
        <w:tc>
          <w:tcPr>
            <w:tcW w:w="3685" w:type="dxa"/>
            <w:tcBorders>
              <w:top w:val="single" w:sz="4" w:space="0" w:color="auto"/>
              <w:left w:val="single" w:sz="4" w:space="0" w:color="auto"/>
              <w:bottom w:val="single" w:sz="4" w:space="0" w:color="auto"/>
              <w:right w:val="single" w:sz="4" w:space="0" w:color="auto"/>
            </w:tcBorders>
          </w:tcPr>
          <w:p w:rsidR="0077771A" w:rsidRPr="00377364" w:rsidRDefault="0077771A" w:rsidP="004F3AD5">
            <w:pPr>
              <w:pStyle w:val="Default"/>
              <w:snapToGrid w:val="0"/>
              <w:spacing w:before="60" w:after="60"/>
              <w:rPr>
                <w:sz w:val="20"/>
                <w:szCs w:val="18"/>
                <w:lang w:val="en-GB"/>
              </w:rPr>
            </w:pPr>
            <w:r w:rsidRPr="00377364">
              <w:rPr>
                <w:sz w:val="20"/>
                <w:szCs w:val="18"/>
                <w:lang w:val="en-GB"/>
              </w:rPr>
              <w:t xml:space="preserve">LPG Equipment and accessories - Pressure relief valves for LPG pressure vessels </w:t>
            </w:r>
          </w:p>
          <w:p w:rsidR="0077771A" w:rsidRPr="003B3CFC" w:rsidRDefault="0077771A" w:rsidP="004F3AD5">
            <w:pPr>
              <w:pStyle w:val="Default"/>
              <w:snapToGrid w:val="0"/>
              <w:spacing w:before="60" w:after="60"/>
              <w:rPr>
                <w:i/>
                <w:sz w:val="20"/>
                <w:szCs w:val="18"/>
                <w:lang w:val="en-GB"/>
              </w:rPr>
            </w:pPr>
            <w:r w:rsidRPr="00DE66EB">
              <w:rPr>
                <w:b/>
                <w:bCs/>
                <w:i/>
                <w:iCs/>
                <w:sz w:val="20"/>
                <w:szCs w:val="18"/>
                <w:lang w:val="en-GB"/>
              </w:rPr>
              <w:t>NOTE</w:t>
            </w:r>
            <w:r w:rsidRPr="00DE66EB">
              <w:rPr>
                <w:bCs/>
                <w:i/>
                <w:iCs/>
                <w:sz w:val="20"/>
                <w:szCs w:val="18"/>
                <w:lang w:val="en-GB"/>
              </w:rPr>
              <w:t xml:space="preserve">: </w:t>
            </w:r>
            <w:r w:rsidRPr="00DE66EB">
              <w:rPr>
                <w:i/>
                <w:iCs/>
                <w:sz w:val="20"/>
                <w:szCs w:val="18"/>
                <w:lang w:val="en-GB"/>
              </w:rPr>
              <w:t>EN 14129:2014 is also applicable for pressure relief valves for pressure drums</w:t>
            </w:r>
          </w:p>
        </w:tc>
        <w:tc>
          <w:tcPr>
            <w:tcW w:w="1418" w:type="dxa"/>
            <w:tcBorders>
              <w:top w:val="single" w:sz="4" w:space="0" w:color="auto"/>
              <w:left w:val="single" w:sz="4" w:space="0" w:color="auto"/>
              <w:bottom w:val="single" w:sz="4" w:space="0" w:color="auto"/>
              <w:right w:val="single" w:sz="4" w:space="0" w:color="auto"/>
            </w:tcBorders>
          </w:tcPr>
          <w:p w:rsidR="0077771A" w:rsidRPr="00377364" w:rsidRDefault="0077771A" w:rsidP="004F3AD5">
            <w:pPr>
              <w:pStyle w:val="Default"/>
              <w:snapToGrid w:val="0"/>
              <w:spacing w:before="60" w:after="60"/>
              <w:rPr>
                <w:sz w:val="20"/>
                <w:szCs w:val="18"/>
              </w:rPr>
            </w:pPr>
            <w:r w:rsidRPr="00377364">
              <w:rPr>
                <w:sz w:val="20"/>
                <w:szCs w:val="18"/>
              </w:rPr>
              <w:t xml:space="preserve">6.2.3.1, </w:t>
            </w:r>
          </w:p>
          <w:p w:rsidR="0077771A" w:rsidRPr="00377364" w:rsidRDefault="0077771A" w:rsidP="004F3AD5">
            <w:pPr>
              <w:pStyle w:val="Default"/>
              <w:snapToGrid w:val="0"/>
              <w:spacing w:before="60" w:after="60"/>
              <w:rPr>
                <w:sz w:val="20"/>
                <w:szCs w:val="18"/>
              </w:rPr>
            </w:pPr>
            <w:r w:rsidRPr="00377364">
              <w:rPr>
                <w:sz w:val="20"/>
                <w:szCs w:val="18"/>
              </w:rPr>
              <w:t xml:space="preserve">6.2.3.3 and </w:t>
            </w:r>
          </w:p>
          <w:p w:rsidR="0077771A" w:rsidRPr="00377364" w:rsidRDefault="0077771A" w:rsidP="004F3AD5">
            <w:pPr>
              <w:pStyle w:val="Default"/>
              <w:snapToGrid w:val="0"/>
              <w:spacing w:before="60" w:after="60"/>
              <w:rPr>
                <w:sz w:val="20"/>
                <w:szCs w:val="18"/>
              </w:rPr>
            </w:pPr>
            <w:r w:rsidRPr="00377364">
              <w:rPr>
                <w:sz w:val="20"/>
                <w:szCs w:val="18"/>
              </w:rPr>
              <w:t>6.2.3.4</w:t>
            </w:r>
          </w:p>
        </w:tc>
        <w:tc>
          <w:tcPr>
            <w:tcW w:w="1417" w:type="dxa"/>
            <w:tcBorders>
              <w:top w:val="single" w:sz="4" w:space="0" w:color="auto"/>
              <w:left w:val="single" w:sz="4" w:space="0" w:color="auto"/>
              <w:bottom w:val="single" w:sz="4" w:space="0" w:color="auto"/>
              <w:right w:val="single" w:sz="4" w:space="0" w:color="auto"/>
            </w:tcBorders>
          </w:tcPr>
          <w:p w:rsidR="0077771A" w:rsidRPr="00377364" w:rsidRDefault="00191253" w:rsidP="004F3AD5">
            <w:pPr>
              <w:pStyle w:val="Default"/>
              <w:snapToGrid w:val="0"/>
              <w:spacing w:before="60" w:after="60"/>
              <w:rPr>
                <w:sz w:val="20"/>
                <w:szCs w:val="18"/>
              </w:rPr>
            </w:pPr>
            <w:proofErr w:type="spellStart"/>
            <w:r>
              <w:rPr>
                <w:sz w:val="20"/>
                <w:szCs w:val="18"/>
              </w:rPr>
              <w:t>U</w:t>
            </w:r>
            <w:r w:rsidR="0077771A" w:rsidRPr="00377364">
              <w:rPr>
                <w:sz w:val="20"/>
                <w:szCs w:val="18"/>
              </w:rPr>
              <w:t>ntil</w:t>
            </w:r>
            <w:proofErr w:type="spellEnd"/>
            <w:r w:rsidR="0077771A" w:rsidRPr="00377364">
              <w:rPr>
                <w:sz w:val="20"/>
                <w:szCs w:val="18"/>
              </w:rPr>
              <w:t xml:space="preserve"> </w:t>
            </w:r>
            <w:proofErr w:type="spellStart"/>
            <w:r w:rsidR="0077771A" w:rsidRPr="00377364">
              <w:rPr>
                <w:sz w:val="20"/>
                <w:szCs w:val="18"/>
              </w:rPr>
              <w:t>further</w:t>
            </w:r>
            <w:proofErr w:type="spellEnd"/>
            <w:r w:rsidR="0077771A" w:rsidRPr="00377364">
              <w:rPr>
                <w:sz w:val="20"/>
                <w:szCs w:val="18"/>
              </w:rPr>
              <w:t xml:space="preserve"> notice</w:t>
            </w:r>
          </w:p>
        </w:tc>
        <w:tc>
          <w:tcPr>
            <w:tcW w:w="1593" w:type="dxa"/>
            <w:tcBorders>
              <w:top w:val="single" w:sz="4" w:space="0" w:color="auto"/>
              <w:left w:val="single" w:sz="4" w:space="0" w:color="auto"/>
              <w:bottom w:val="single" w:sz="4" w:space="0" w:color="auto"/>
              <w:right w:val="single" w:sz="4" w:space="0" w:color="auto"/>
            </w:tcBorders>
          </w:tcPr>
          <w:p w:rsidR="0077771A" w:rsidRPr="00377364" w:rsidRDefault="0077771A" w:rsidP="004F3AD5">
            <w:pPr>
              <w:pStyle w:val="Default"/>
              <w:snapToGrid w:val="0"/>
              <w:spacing w:before="60" w:after="60"/>
              <w:rPr>
                <w:sz w:val="20"/>
                <w:szCs w:val="18"/>
              </w:rPr>
            </w:pPr>
          </w:p>
        </w:tc>
      </w:tr>
    </w:tbl>
    <w:p w:rsidR="0077771A" w:rsidRDefault="006048E3" w:rsidP="006048E3">
      <w:pPr>
        <w:pStyle w:val="SingleTxtG"/>
        <w:adjustRightInd w:val="0"/>
        <w:snapToGrid w:val="0"/>
        <w:spacing w:before="120"/>
      </w:pPr>
      <w:r>
        <w:t>7.</w:t>
      </w:r>
      <w:r>
        <w:tab/>
      </w:r>
      <w:r w:rsidR="0077771A">
        <w:t xml:space="preserve">Secondly, the </w:t>
      </w:r>
      <w:r w:rsidR="00191253">
        <w:t>s</w:t>
      </w:r>
      <w:bookmarkStart w:id="0" w:name="_GoBack"/>
      <w:bookmarkEnd w:id="0"/>
      <w:r w:rsidR="0077771A">
        <w:t>cope of the standard should be amended during the next revision. This will be in the responsibility of CEN/TC 286, where the revision has already been initiated.</w:t>
      </w:r>
    </w:p>
    <w:p w:rsidR="004F3AD5" w:rsidRPr="004F3AD5" w:rsidRDefault="004F3AD5" w:rsidP="004F3AD5">
      <w:pPr>
        <w:spacing w:before="240" w:after="0" w:line="240" w:lineRule="atLeast"/>
        <w:jc w:val="center"/>
        <w:rPr>
          <w:u w:val="single"/>
        </w:rPr>
      </w:pPr>
      <w:r>
        <w:rPr>
          <w:u w:val="single"/>
        </w:rPr>
        <w:tab/>
      </w:r>
      <w:r>
        <w:rPr>
          <w:u w:val="single"/>
        </w:rPr>
        <w:tab/>
      </w:r>
      <w:r>
        <w:rPr>
          <w:u w:val="single"/>
        </w:rPr>
        <w:tab/>
      </w:r>
    </w:p>
    <w:sectPr w:rsidR="004F3AD5" w:rsidRPr="004F3AD5" w:rsidSect="00CA4562">
      <w:headerReference w:type="even" r:id="rId8"/>
      <w:headerReference w:type="default" r:id="rId9"/>
      <w:footerReference w:type="even" r:id="rId10"/>
      <w:footerReference w:type="default" r:id="rId11"/>
      <w:headerReference w:type="first" r:id="rId12"/>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5EB" w:rsidRDefault="00F075EB"/>
  </w:endnote>
  <w:endnote w:type="continuationSeparator" w:id="0">
    <w:p w:rsidR="00F075EB" w:rsidRDefault="00F075EB"/>
  </w:endnote>
  <w:endnote w:type="continuationNotice" w:id="1">
    <w:p w:rsidR="00F075EB" w:rsidRDefault="00F07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B7" w:rsidRPr="003B3A7E" w:rsidRDefault="00265DB7" w:rsidP="003B3A7E">
    <w:pPr>
      <w:pStyle w:val="Footer"/>
    </w:pPr>
    <w:r>
      <w:rPr>
        <w:rStyle w:val="PageNumber"/>
      </w:rPr>
      <w:fldChar w:fldCharType="begin"/>
    </w:r>
    <w:r>
      <w:rPr>
        <w:rStyle w:val="PageNumber"/>
      </w:rPr>
      <w:instrText xml:space="preserve"> PAGE </w:instrText>
    </w:r>
    <w:r>
      <w:rPr>
        <w:rStyle w:val="PageNumber"/>
      </w:rPr>
      <w:fldChar w:fldCharType="separate"/>
    </w:r>
    <w:r w:rsidR="00676345">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B7" w:rsidRDefault="00265DB7"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676345">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5EB" w:rsidRPr="000B175B" w:rsidRDefault="00F075EB" w:rsidP="000B175B">
      <w:pPr>
        <w:tabs>
          <w:tab w:val="right" w:pos="2155"/>
        </w:tabs>
        <w:spacing w:after="80"/>
        <w:ind w:left="680"/>
        <w:rPr>
          <w:u w:val="single"/>
        </w:rPr>
      </w:pPr>
      <w:r>
        <w:rPr>
          <w:u w:val="single"/>
        </w:rPr>
        <w:tab/>
      </w:r>
    </w:p>
  </w:footnote>
  <w:footnote w:type="continuationSeparator" w:id="0">
    <w:p w:rsidR="00F075EB" w:rsidRPr="00FC68B7" w:rsidRDefault="00F075EB" w:rsidP="00FC68B7">
      <w:pPr>
        <w:tabs>
          <w:tab w:val="left" w:pos="2155"/>
        </w:tabs>
        <w:spacing w:after="80"/>
        <w:ind w:left="680"/>
        <w:rPr>
          <w:u w:val="single"/>
        </w:rPr>
      </w:pPr>
      <w:r>
        <w:rPr>
          <w:u w:val="single"/>
        </w:rPr>
        <w:tab/>
      </w:r>
    </w:p>
  </w:footnote>
  <w:footnote w:type="continuationNotice" w:id="1">
    <w:p w:rsidR="00F075EB" w:rsidRDefault="00F075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B7" w:rsidRPr="0009455D" w:rsidRDefault="00265DB7">
    <w:pPr>
      <w:pStyle w:val="Header"/>
      <w:rPr>
        <w:lang w:val="fr-CH"/>
      </w:rPr>
    </w:pPr>
    <w:r>
      <w:rPr>
        <w:lang w:val="fr-CH"/>
      </w:rPr>
      <w:t>INF.</w:t>
    </w:r>
    <w:r w:rsidR="00CA4562">
      <w:rPr>
        <w:lang w:val="fr-CH"/>
      </w:rPr>
      <w:t>2</w:t>
    </w:r>
    <w:r w:rsidR="004F3AD5">
      <w:rPr>
        <w:lang w:val="fr-CH"/>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B7" w:rsidRPr="00073BC9" w:rsidRDefault="009801CA" w:rsidP="0009455D">
    <w:pPr>
      <w:pStyle w:val="Header"/>
      <w:jc w:val="right"/>
    </w:pPr>
    <w:r>
      <w:t>INF.</w:t>
    </w:r>
    <w:r w:rsidR="00CA4562">
      <w:t>2</w:t>
    </w:r>
    <w:r w:rsidR="00C461FD">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B7" w:rsidRPr="00560572" w:rsidRDefault="00265DB7" w:rsidP="00E37495">
    <w:pPr>
      <w:pStyle w:val="Header"/>
      <w:pBdr>
        <w:bottom w:val="single" w:sz="4" w:space="1" w:color="auto"/>
      </w:pBdr>
      <w:jc w:val="right"/>
      <w:rPr>
        <w:sz w:val="28"/>
        <w:szCs w:val="28"/>
      </w:rPr>
    </w:pPr>
    <w:r w:rsidRPr="00560572">
      <w:rPr>
        <w:sz w:val="28"/>
        <w:szCs w:val="28"/>
      </w:rPr>
      <w:t>INF.</w:t>
    </w:r>
    <w:r w:rsidR="00CA4562">
      <w:rPr>
        <w:sz w:val="28"/>
        <w:szCs w:val="28"/>
      </w:rPr>
      <w:t>2</w:t>
    </w:r>
    <w:r w:rsidR="0077771A">
      <w:rPr>
        <w:sz w:val="28"/>
        <w:szCs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30D1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2F365D"/>
    <w:multiLevelType w:val="hybridMultilevel"/>
    <w:tmpl w:val="2754482E"/>
    <w:lvl w:ilvl="0" w:tplc="D3E81D22">
      <w:start w:val="1"/>
      <w:numFmt w:val="lowerLetter"/>
      <w:lvlText w:val="(%1)"/>
      <w:lvlJc w:val="left"/>
      <w:pPr>
        <w:ind w:left="1778" w:hanging="360"/>
      </w:pPr>
      <w:rPr>
        <w:rFonts w:hint="default"/>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CE005BB"/>
    <w:multiLevelType w:val="hybridMultilevel"/>
    <w:tmpl w:val="6F9AFC3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D13A0D"/>
    <w:multiLevelType w:val="hybridMultilevel"/>
    <w:tmpl w:val="6B063AFA"/>
    <w:lvl w:ilvl="0" w:tplc="0D5A8EE4">
      <w:start w:val="8"/>
      <w:numFmt w:val="bullet"/>
      <w:lvlText w:val="-"/>
      <w:lvlJc w:val="left"/>
      <w:pPr>
        <w:ind w:left="1440" w:hanging="360"/>
      </w:pPr>
      <w:rPr>
        <w:rFonts w:ascii="Calibri" w:eastAsia="Times New Roman"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2"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3"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4"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5" w15:restartNumberingAfterBreak="0">
    <w:nsid w:val="4BC0584E"/>
    <w:multiLevelType w:val="hybridMultilevel"/>
    <w:tmpl w:val="A67A3348"/>
    <w:lvl w:ilvl="0" w:tplc="E970FDA0">
      <w:start w:val="1"/>
      <w:numFmt w:val="decimal"/>
      <w:lvlText w:val="%1."/>
      <w:lvlJc w:val="left"/>
      <w:pPr>
        <w:ind w:left="786"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6"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19"/>
  </w:num>
  <w:num w:numId="12">
    <w:abstractNumId w:val="17"/>
  </w:num>
  <w:num w:numId="13">
    <w:abstractNumId w:val="11"/>
  </w:num>
  <w:num w:numId="14">
    <w:abstractNumId w:val="13"/>
  </w:num>
  <w:num w:numId="15">
    <w:abstractNumId w:val="20"/>
  </w:num>
  <w:num w:numId="16">
    <w:abstractNumId w:val="16"/>
  </w:num>
  <w:num w:numId="17">
    <w:abstractNumId w:val="27"/>
  </w:num>
  <w:num w:numId="18">
    <w:abstractNumId w:val="29"/>
  </w:num>
  <w:num w:numId="19">
    <w:abstractNumId w:val="26"/>
  </w:num>
  <w:num w:numId="20">
    <w:abstractNumId w:val="15"/>
  </w:num>
  <w:num w:numId="21">
    <w:abstractNumId w:val="22"/>
  </w:num>
  <w:num w:numId="22">
    <w:abstractNumId w:val="30"/>
  </w:num>
  <w:num w:numId="23">
    <w:abstractNumId w:val="21"/>
  </w:num>
  <w:num w:numId="24">
    <w:abstractNumId w:val="24"/>
  </w:num>
  <w:num w:numId="25">
    <w:abstractNumId w:val="28"/>
  </w:num>
  <w:num w:numId="26">
    <w:abstractNumId w:val="23"/>
  </w:num>
  <w:num w:numId="27">
    <w:abstractNumId w:val="0"/>
  </w:num>
  <w:num w:numId="28">
    <w:abstractNumId w:val="12"/>
  </w:num>
  <w:num w:numId="29">
    <w:abstractNumId w:val="25"/>
  </w:num>
  <w:num w:numId="30">
    <w:abstractNumId w:val="14"/>
  </w:num>
  <w:num w:numId="3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3C6"/>
    <w:rsid w:val="00002A7D"/>
    <w:rsid w:val="000038A8"/>
    <w:rsid w:val="000041B2"/>
    <w:rsid w:val="00004CB4"/>
    <w:rsid w:val="00006790"/>
    <w:rsid w:val="0001101D"/>
    <w:rsid w:val="00020DCC"/>
    <w:rsid w:val="00027624"/>
    <w:rsid w:val="00050F6B"/>
    <w:rsid w:val="00051293"/>
    <w:rsid w:val="00056E1C"/>
    <w:rsid w:val="00057D31"/>
    <w:rsid w:val="00057F00"/>
    <w:rsid w:val="00060675"/>
    <w:rsid w:val="00062540"/>
    <w:rsid w:val="000678CD"/>
    <w:rsid w:val="00072C8C"/>
    <w:rsid w:val="00073BC9"/>
    <w:rsid w:val="00075498"/>
    <w:rsid w:val="00081CE0"/>
    <w:rsid w:val="00081E5B"/>
    <w:rsid w:val="00084D30"/>
    <w:rsid w:val="00090320"/>
    <w:rsid w:val="00091148"/>
    <w:rsid w:val="000931C0"/>
    <w:rsid w:val="0009455D"/>
    <w:rsid w:val="00097793"/>
    <w:rsid w:val="000A2E09"/>
    <w:rsid w:val="000B175B"/>
    <w:rsid w:val="000B3A0F"/>
    <w:rsid w:val="000B41FA"/>
    <w:rsid w:val="000C2A7D"/>
    <w:rsid w:val="000E0415"/>
    <w:rsid w:val="000E233A"/>
    <w:rsid w:val="000E63CB"/>
    <w:rsid w:val="000E7EB0"/>
    <w:rsid w:val="000F7715"/>
    <w:rsid w:val="001008FA"/>
    <w:rsid w:val="001022EF"/>
    <w:rsid w:val="00103E99"/>
    <w:rsid w:val="001059C5"/>
    <w:rsid w:val="00110DC2"/>
    <w:rsid w:val="00140040"/>
    <w:rsid w:val="0014401A"/>
    <w:rsid w:val="00156B99"/>
    <w:rsid w:val="0015713B"/>
    <w:rsid w:val="00166124"/>
    <w:rsid w:val="00167F20"/>
    <w:rsid w:val="0017009E"/>
    <w:rsid w:val="00172600"/>
    <w:rsid w:val="001765D7"/>
    <w:rsid w:val="00176739"/>
    <w:rsid w:val="00184DDA"/>
    <w:rsid w:val="001874B4"/>
    <w:rsid w:val="0019000A"/>
    <w:rsid w:val="001900CD"/>
    <w:rsid w:val="00191253"/>
    <w:rsid w:val="00193D85"/>
    <w:rsid w:val="0019444B"/>
    <w:rsid w:val="001A0452"/>
    <w:rsid w:val="001A3481"/>
    <w:rsid w:val="001A5F15"/>
    <w:rsid w:val="001B4B04"/>
    <w:rsid w:val="001B5225"/>
    <w:rsid w:val="001B5875"/>
    <w:rsid w:val="001B7985"/>
    <w:rsid w:val="001C3A25"/>
    <w:rsid w:val="001C4B28"/>
    <w:rsid w:val="001C4B9C"/>
    <w:rsid w:val="001C6663"/>
    <w:rsid w:val="001C7895"/>
    <w:rsid w:val="001D15C4"/>
    <w:rsid w:val="001D26DF"/>
    <w:rsid w:val="001D312D"/>
    <w:rsid w:val="001E0DF6"/>
    <w:rsid w:val="001F12DF"/>
    <w:rsid w:val="001F1599"/>
    <w:rsid w:val="001F1961"/>
    <w:rsid w:val="001F19C4"/>
    <w:rsid w:val="001F6B91"/>
    <w:rsid w:val="001F7A8B"/>
    <w:rsid w:val="002043F0"/>
    <w:rsid w:val="002060B9"/>
    <w:rsid w:val="00211E0B"/>
    <w:rsid w:val="00215A1B"/>
    <w:rsid w:val="00216BB2"/>
    <w:rsid w:val="00230496"/>
    <w:rsid w:val="00232575"/>
    <w:rsid w:val="00233D67"/>
    <w:rsid w:val="0023589F"/>
    <w:rsid w:val="00247258"/>
    <w:rsid w:val="00250356"/>
    <w:rsid w:val="002565C8"/>
    <w:rsid w:val="002574B9"/>
    <w:rsid w:val="00257CAC"/>
    <w:rsid w:val="002634EA"/>
    <w:rsid w:val="00264807"/>
    <w:rsid w:val="00265DB7"/>
    <w:rsid w:val="00280375"/>
    <w:rsid w:val="002815FC"/>
    <w:rsid w:val="00295F1A"/>
    <w:rsid w:val="002974E9"/>
    <w:rsid w:val="002A214F"/>
    <w:rsid w:val="002A3359"/>
    <w:rsid w:val="002A6D75"/>
    <w:rsid w:val="002A7F94"/>
    <w:rsid w:val="002B109A"/>
    <w:rsid w:val="002B400C"/>
    <w:rsid w:val="002C1973"/>
    <w:rsid w:val="002C3A37"/>
    <w:rsid w:val="002C4661"/>
    <w:rsid w:val="002C57D6"/>
    <w:rsid w:val="002C5DDC"/>
    <w:rsid w:val="002C6D45"/>
    <w:rsid w:val="002D1828"/>
    <w:rsid w:val="002D4CF0"/>
    <w:rsid w:val="002D6E53"/>
    <w:rsid w:val="002D743E"/>
    <w:rsid w:val="002E2296"/>
    <w:rsid w:val="002E23C9"/>
    <w:rsid w:val="002E6DB4"/>
    <w:rsid w:val="002F024B"/>
    <w:rsid w:val="002F046D"/>
    <w:rsid w:val="003007E7"/>
    <w:rsid w:val="00301764"/>
    <w:rsid w:val="00302B3E"/>
    <w:rsid w:val="003229D8"/>
    <w:rsid w:val="00323AD2"/>
    <w:rsid w:val="0032508A"/>
    <w:rsid w:val="003346C2"/>
    <w:rsid w:val="00336080"/>
    <w:rsid w:val="00336C97"/>
    <w:rsid w:val="00337D65"/>
    <w:rsid w:val="00337F88"/>
    <w:rsid w:val="00342432"/>
    <w:rsid w:val="00350B59"/>
    <w:rsid w:val="00352D4B"/>
    <w:rsid w:val="00354724"/>
    <w:rsid w:val="00354CED"/>
    <w:rsid w:val="0035638C"/>
    <w:rsid w:val="003564DC"/>
    <w:rsid w:val="0036533E"/>
    <w:rsid w:val="00370928"/>
    <w:rsid w:val="00373041"/>
    <w:rsid w:val="003806F0"/>
    <w:rsid w:val="0038499B"/>
    <w:rsid w:val="003A1C51"/>
    <w:rsid w:val="003A46BB"/>
    <w:rsid w:val="003A4EC7"/>
    <w:rsid w:val="003A7295"/>
    <w:rsid w:val="003B115E"/>
    <w:rsid w:val="003B1F60"/>
    <w:rsid w:val="003B3A7E"/>
    <w:rsid w:val="003B4643"/>
    <w:rsid w:val="003C2CC4"/>
    <w:rsid w:val="003C3176"/>
    <w:rsid w:val="003C7026"/>
    <w:rsid w:val="003D4B23"/>
    <w:rsid w:val="003D58A1"/>
    <w:rsid w:val="003D6C76"/>
    <w:rsid w:val="003E278A"/>
    <w:rsid w:val="003E3D94"/>
    <w:rsid w:val="004019C8"/>
    <w:rsid w:val="004032CF"/>
    <w:rsid w:val="00413520"/>
    <w:rsid w:val="00414F7A"/>
    <w:rsid w:val="00421D52"/>
    <w:rsid w:val="00431D4D"/>
    <w:rsid w:val="004325CB"/>
    <w:rsid w:val="00433A82"/>
    <w:rsid w:val="00440A07"/>
    <w:rsid w:val="00456441"/>
    <w:rsid w:val="00461FDB"/>
    <w:rsid w:val="00462880"/>
    <w:rsid w:val="0047298C"/>
    <w:rsid w:val="0047429E"/>
    <w:rsid w:val="00476F24"/>
    <w:rsid w:val="0048402E"/>
    <w:rsid w:val="004909E7"/>
    <w:rsid w:val="0049311D"/>
    <w:rsid w:val="00497B46"/>
    <w:rsid w:val="004B45B0"/>
    <w:rsid w:val="004B7EA2"/>
    <w:rsid w:val="004C55B0"/>
    <w:rsid w:val="004D51F6"/>
    <w:rsid w:val="004D63B1"/>
    <w:rsid w:val="004E4179"/>
    <w:rsid w:val="004E7160"/>
    <w:rsid w:val="004F3AD5"/>
    <w:rsid w:val="004F3BBF"/>
    <w:rsid w:val="004F3F8F"/>
    <w:rsid w:val="004F6BA0"/>
    <w:rsid w:val="00503BEA"/>
    <w:rsid w:val="005206A7"/>
    <w:rsid w:val="005250A0"/>
    <w:rsid w:val="00530289"/>
    <w:rsid w:val="00533616"/>
    <w:rsid w:val="00535170"/>
    <w:rsid w:val="00535ABA"/>
    <w:rsid w:val="005371A0"/>
    <w:rsid w:val="0053768B"/>
    <w:rsid w:val="005420F2"/>
    <w:rsid w:val="00542768"/>
    <w:rsid w:val="0054285C"/>
    <w:rsid w:val="005445FF"/>
    <w:rsid w:val="00547A88"/>
    <w:rsid w:val="0055514F"/>
    <w:rsid w:val="005566B9"/>
    <w:rsid w:val="00560572"/>
    <w:rsid w:val="00564BF4"/>
    <w:rsid w:val="00573297"/>
    <w:rsid w:val="00584173"/>
    <w:rsid w:val="005850DE"/>
    <w:rsid w:val="00590C7F"/>
    <w:rsid w:val="00595520"/>
    <w:rsid w:val="005A0287"/>
    <w:rsid w:val="005A44B9"/>
    <w:rsid w:val="005A548A"/>
    <w:rsid w:val="005B1BA0"/>
    <w:rsid w:val="005B3DB3"/>
    <w:rsid w:val="005C58F0"/>
    <w:rsid w:val="005C700B"/>
    <w:rsid w:val="005D15CA"/>
    <w:rsid w:val="005D1867"/>
    <w:rsid w:val="005D2C39"/>
    <w:rsid w:val="005D390C"/>
    <w:rsid w:val="005E6AAF"/>
    <w:rsid w:val="005F0494"/>
    <w:rsid w:val="005F3066"/>
    <w:rsid w:val="005F3E61"/>
    <w:rsid w:val="005F51F6"/>
    <w:rsid w:val="005F69C7"/>
    <w:rsid w:val="005F7732"/>
    <w:rsid w:val="00601F32"/>
    <w:rsid w:val="00603184"/>
    <w:rsid w:val="006048E3"/>
    <w:rsid w:val="00604DDD"/>
    <w:rsid w:val="006115CC"/>
    <w:rsid w:val="00611FC4"/>
    <w:rsid w:val="00613302"/>
    <w:rsid w:val="006176FB"/>
    <w:rsid w:val="0062380F"/>
    <w:rsid w:val="0062564C"/>
    <w:rsid w:val="00630FCB"/>
    <w:rsid w:val="00632F10"/>
    <w:rsid w:val="00635C8D"/>
    <w:rsid w:val="0064017F"/>
    <w:rsid w:val="00640B26"/>
    <w:rsid w:val="00642312"/>
    <w:rsid w:val="00642502"/>
    <w:rsid w:val="00651A29"/>
    <w:rsid w:val="006643C6"/>
    <w:rsid w:val="00665C39"/>
    <w:rsid w:val="00667D6B"/>
    <w:rsid w:val="00676345"/>
    <w:rsid w:val="006770B2"/>
    <w:rsid w:val="006853B3"/>
    <w:rsid w:val="006920E3"/>
    <w:rsid w:val="006940E1"/>
    <w:rsid w:val="006A1D39"/>
    <w:rsid w:val="006A3C72"/>
    <w:rsid w:val="006A7392"/>
    <w:rsid w:val="006B03A1"/>
    <w:rsid w:val="006B5C3D"/>
    <w:rsid w:val="006B67D9"/>
    <w:rsid w:val="006B6FE3"/>
    <w:rsid w:val="006C5535"/>
    <w:rsid w:val="006D0589"/>
    <w:rsid w:val="006D513E"/>
    <w:rsid w:val="006E564B"/>
    <w:rsid w:val="006E7154"/>
    <w:rsid w:val="006F0884"/>
    <w:rsid w:val="007003CD"/>
    <w:rsid w:val="00703A6D"/>
    <w:rsid w:val="0070701E"/>
    <w:rsid w:val="0070702F"/>
    <w:rsid w:val="0071447C"/>
    <w:rsid w:val="00714B5C"/>
    <w:rsid w:val="00715BE5"/>
    <w:rsid w:val="0072632A"/>
    <w:rsid w:val="007358E8"/>
    <w:rsid w:val="00736ECE"/>
    <w:rsid w:val="00742F4C"/>
    <w:rsid w:val="0074533B"/>
    <w:rsid w:val="00762EA6"/>
    <w:rsid w:val="0076432E"/>
    <w:rsid w:val="007643BC"/>
    <w:rsid w:val="00764F01"/>
    <w:rsid w:val="00770846"/>
    <w:rsid w:val="00773DB3"/>
    <w:rsid w:val="0077771A"/>
    <w:rsid w:val="007810E1"/>
    <w:rsid w:val="00781D93"/>
    <w:rsid w:val="007865A5"/>
    <w:rsid w:val="00790877"/>
    <w:rsid w:val="00795105"/>
    <w:rsid w:val="007959FE"/>
    <w:rsid w:val="00795E37"/>
    <w:rsid w:val="007A0CF1"/>
    <w:rsid w:val="007A38B0"/>
    <w:rsid w:val="007A7CC0"/>
    <w:rsid w:val="007B614B"/>
    <w:rsid w:val="007B6A61"/>
    <w:rsid w:val="007B6BA5"/>
    <w:rsid w:val="007C3390"/>
    <w:rsid w:val="007C42D8"/>
    <w:rsid w:val="007C4F4B"/>
    <w:rsid w:val="007C68C8"/>
    <w:rsid w:val="007D5759"/>
    <w:rsid w:val="007D6D44"/>
    <w:rsid w:val="007D7362"/>
    <w:rsid w:val="007E0E8A"/>
    <w:rsid w:val="007E4914"/>
    <w:rsid w:val="007F2E11"/>
    <w:rsid w:val="007F546E"/>
    <w:rsid w:val="007F5CE2"/>
    <w:rsid w:val="007F6611"/>
    <w:rsid w:val="00803B7F"/>
    <w:rsid w:val="00810BAC"/>
    <w:rsid w:val="008175E9"/>
    <w:rsid w:val="008203B2"/>
    <w:rsid w:val="0082405C"/>
    <w:rsid w:val="008242D7"/>
    <w:rsid w:val="00825578"/>
    <w:rsid w:val="0082577B"/>
    <w:rsid w:val="00830D15"/>
    <w:rsid w:val="0083344C"/>
    <w:rsid w:val="008558E7"/>
    <w:rsid w:val="0086054B"/>
    <w:rsid w:val="00866893"/>
    <w:rsid w:val="00866F02"/>
    <w:rsid w:val="00867D18"/>
    <w:rsid w:val="008707F8"/>
    <w:rsid w:val="00871F9A"/>
    <w:rsid w:val="00871FD5"/>
    <w:rsid w:val="00876B8E"/>
    <w:rsid w:val="0088172E"/>
    <w:rsid w:val="00881EFA"/>
    <w:rsid w:val="00883E28"/>
    <w:rsid w:val="00887A7D"/>
    <w:rsid w:val="0089256A"/>
    <w:rsid w:val="008979B1"/>
    <w:rsid w:val="008A206D"/>
    <w:rsid w:val="008A57C8"/>
    <w:rsid w:val="008A6792"/>
    <w:rsid w:val="008A6B25"/>
    <w:rsid w:val="008A6C4F"/>
    <w:rsid w:val="008A7787"/>
    <w:rsid w:val="008B389E"/>
    <w:rsid w:val="008B41F4"/>
    <w:rsid w:val="008B59E3"/>
    <w:rsid w:val="008C086F"/>
    <w:rsid w:val="008C3E69"/>
    <w:rsid w:val="008C5B2D"/>
    <w:rsid w:val="008C5BCB"/>
    <w:rsid w:val="008D045E"/>
    <w:rsid w:val="008D3F25"/>
    <w:rsid w:val="008D4D82"/>
    <w:rsid w:val="008E0E09"/>
    <w:rsid w:val="008E0E46"/>
    <w:rsid w:val="008E5A5D"/>
    <w:rsid w:val="008E7116"/>
    <w:rsid w:val="008F143B"/>
    <w:rsid w:val="008F33C4"/>
    <w:rsid w:val="008F3882"/>
    <w:rsid w:val="008F3C40"/>
    <w:rsid w:val="008F4B7C"/>
    <w:rsid w:val="00901BC2"/>
    <w:rsid w:val="00904D63"/>
    <w:rsid w:val="00906BFE"/>
    <w:rsid w:val="00914DC3"/>
    <w:rsid w:val="00915C95"/>
    <w:rsid w:val="00916B9C"/>
    <w:rsid w:val="00924CF0"/>
    <w:rsid w:val="00926E47"/>
    <w:rsid w:val="009324AE"/>
    <w:rsid w:val="00935F5E"/>
    <w:rsid w:val="00945B24"/>
    <w:rsid w:val="00946D3D"/>
    <w:rsid w:val="00947162"/>
    <w:rsid w:val="00953163"/>
    <w:rsid w:val="009601FF"/>
    <w:rsid w:val="0096068B"/>
    <w:rsid w:val="00960D5D"/>
    <w:rsid w:val="009610D0"/>
    <w:rsid w:val="0096375C"/>
    <w:rsid w:val="009662E6"/>
    <w:rsid w:val="0097095E"/>
    <w:rsid w:val="00974F7C"/>
    <w:rsid w:val="009801CA"/>
    <w:rsid w:val="00980F57"/>
    <w:rsid w:val="00982DDC"/>
    <w:rsid w:val="0098592B"/>
    <w:rsid w:val="00985FC4"/>
    <w:rsid w:val="00986DFE"/>
    <w:rsid w:val="00990766"/>
    <w:rsid w:val="00991261"/>
    <w:rsid w:val="0099198F"/>
    <w:rsid w:val="00992C68"/>
    <w:rsid w:val="0099552C"/>
    <w:rsid w:val="00995FA1"/>
    <w:rsid w:val="009964C4"/>
    <w:rsid w:val="009A75C8"/>
    <w:rsid w:val="009A7B81"/>
    <w:rsid w:val="009C144C"/>
    <w:rsid w:val="009C59B9"/>
    <w:rsid w:val="009D01C0"/>
    <w:rsid w:val="009D0FD7"/>
    <w:rsid w:val="009D6A08"/>
    <w:rsid w:val="009E0A16"/>
    <w:rsid w:val="009E7970"/>
    <w:rsid w:val="009F2EAC"/>
    <w:rsid w:val="009F57E3"/>
    <w:rsid w:val="00A00D3D"/>
    <w:rsid w:val="00A07EBB"/>
    <w:rsid w:val="00A10A26"/>
    <w:rsid w:val="00A10F4F"/>
    <w:rsid w:val="00A11067"/>
    <w:rsid w:val="00A138AB"/>
    <w:rsid w:val="00A1704A"/>
    <w:rsid w:val="00A23E9E"/>
    <w:rsid w:val="00A41BB8"/>
    <w:rsid w:val="00A425EB"/>
    <w:rsid w:val="00A45CB7"/>
    <w:rsid w:val="00A47439"/>
    <w:rsid w:val="00A62F57"/>
    <w:rsid w:val="00A6454D"/>
    <w:rsid w:val="00A72F22"/>
    <w:rsid w:val="00A733BC"/>
    <w:rsid w:val="00A748A6"/>
    <w:rsid w:val="00A749C1"/>
    <w:rsid w:val="00A76A69"/>
    <w:rsid w:val="00A77D0C"/>
    <w:rsid w:val="00A824E7"/>
    <w:rsid w:val="00A86F87"/>
    <w:rsid w:val="00A879A4"/>
    <w:rsid w:val="00A96696"/>
    <w:rsid w:val="00A976DD"/>
    <w:rsid w:val="00AA0FF8"/>
    <w:rsid w:val="00AA3567"/>
    <w:rsid w:val="00AA4FE9"/>
    <w:rsid w:val="00AB2CE7"/>
    <w:rsid w:val="00AC0F2C"/>
    <w:rsid w:val="00AC502A"/>
    <w:rsid w:val="00AC7298"/>
    <w:rsid w:val="00AF3A98"/>
    <w:rsid w:val="00AF58C1"/>
    <w:rsid w:val="00B03E68"/>
    <w:rsid w:val="00B05D2C"/>
    <w:rsid w:val="00B06643"/>
    <w:rsid w:val="00B15055"/>
    <w:rsid w:val="00B17FC5"/>
    <w:rsid w:val="00B2175D"/>
    <w:rsid w:val="00B22FCB"/>
    <w:rsid w:val="00B30179"/>
    <w:rsid w:val="00B37B15"/>
    <w:rsid w:val="00B4482F"/>
    <w:rsid w:val="00B45C02"/>
    <w:rsid w:val="00B4691D"/>
    <w:rsid w:val="00B53402"/>
    <w:rsid w:val="00B55C51"/>
    <w:rsid w:val="00B609E7"/>
    <w:rsid w:val="00B628EC"/>
    <w:rsid w:val="00B636FF"/>
    <w:rsid w:val="00B63F27"/>
    <w:rsid w:val="00B70F5A"/>
    <w:rsid w:val="00B72A1E"/>
    <w:rsid w:val="00B81E12"/>
    <w:rsid w:val="00B8509D"/>
    <w:rsid w:val="00B94EAD"/>
    <w:rsid w:val="00B97F62"/>
    <w:rsid w:val="00BA06D8"/>
    <w:rsid w:val="00BA339B"/>
    <w:rsid w:val="00BA4009"/>
    <w:rsid w:val="00BA7C8E"/>
    <w:rsid w:val="00BC1E7E"/>
    <w:rsid w:val="00BC2E45"/>
    <w:rsid w:val="00BC3E26"/>
    <w:rsid w:val="00BC74E9"/>
    <w:rsid w:val="00BE36A9"/>
    <w:rsid w:val="00BE618E"/>
    <w:rsid w:val="00BE7BEC"/>
    <w:rsid w:val="00BF0A5A"/>
    <w:rsid w:val="00BF0E63"/>
    <w:rsid w:val="00BF103C"/>
    <w:rsid w:val="00BF12A3"/>
    <w:rsid w:val="00BF16D7"/>
    <w:rsid w:val="00BF218C"/>
    <w:rsid w:val="00BF2373"/>
    <w:rsid w:val="00C044E2"/>
    <w:rsid w:val="00C048CB"/>
    <w:rsid w:val="00C066F3"/>
    <w:rsid w:val="00C06865"/>
    <w:rsid w:val="00C07CA9"/>
    <w:rsid w:val="00C10783"/>
    <w:rsid w:val="00C11B07"/>
    <w:rsid w:val="00C129D5"/>
    <w:rsid w:val="00C15DC2"/>
    <w:rsid w:val="00C250FE"/>
    <w:rsid w:val="00C342DA"/>
    <w:rsid w:val="00C36878"/>
    <w:rsid w:val="00C422DE"/>
    <w:rsid w:val="00C443B6"/>
    <w:rsid w:val="00C44BB0"/>
    <w:rsid w:val="00C45BBB"/>
    <w:rsid w:val="00C461FD"/>
    <w:rsid w:val="00C463DD"/>
    <w:rsid w:val="00C60D93"/>
    <w:rsid w:val="00C62A7A"/>
    <w:rsid w:val="00C70809"/>
    <w:rsid w:val="00C745C3"/>
    <w:rsid w:val="00C805A7"/>
    <w:rsid w:val="00C83923"/>
    <w:rsid w:val="00CA2221"/>
    <w:rsid w:val="00CA24A4"/>
    <w:rsid w:val="00CA3137"/>
    <w:rsid w:val="00CA3AF1"/>
    <w:rsid w:val="00CA44E1"/>
    <w:rsid w:val="00CA4562"/>
    <w:rsid w:val="00CB1981"/>
    <w:rsid w:val="00CB348D"/>
    <w:rsid w:val="00CB34BE"/>
    <w:rsid w:val="00CB4FCE"/>
    <w:rsid w:val="00CB51DE"/>
    <w:rsid w:val="00CB5B76"/>
    <w:rsid w:val="00CB763D"/>
    <w:rsid w:val="00CC0178"/>
    <w:rsid w:val="00CC1B3A"/>
    <w:rsid w:val="00CC4E06"/>
    <w:rsid w:val="00CC4EC6"/>
    <w:rsid w:val="00CD1C17"/>
    <w:rsid w:val="00CD2214"/>
    <w:rsid w:val="00CD3425"/>
    <w:rsid w:val="00CD46F5"/>
    <w:rsid w:val="00CD58A9"/>
    <w:rsid w:val="00CD6883"/>
    <w:rsid w:val="00CD6C29"/>
    <w:rsid w:val="00CE2428"/>
    <w:rsid w:val="00CE4A8F"/>
    <w:rsid w:val="00CE52ED"/>
    <w:rsid w:val="00CF071D"/>
    <w:rsid w:val="00CF0BD1"/>
    <w:rsid w:val="00CF116C"/>
    <w:rsid w:val="00D00745"/>
    <w:rsid w:val="00D03595"/>
    <w:rsid w:val="00D15B04"/>
    <w:rsid w:val="00D2031B"/>
    <w:rsid w:val="00D22806"/>
    <w:rsid w:val="00D23EAC"/>
    <w:rsid w:val="00D25EC1"/>
    <w:rsid w:val="00D25FE2"/>
    <w:rsid w:val="00D275C2"/>
    <w:rsid w:val="00D37DA9"/>
    <w:rsid w:val="00D406A7"/>
    <w:rsid w:val="00D43252"/>
    <w:rsid w:val="00D44D86"/>
    <w:rsid w:val="00D4540B"/>
    <w:rsid w:val="00D46981"/>
    <w:rsid w:val="00D50B7D"/>
    <w:rsid w:val="00D52012"/>
    <w:rsid w:val="00D52588"/>
    <w:rsid w:val="00D57536"/>
    <w:rsid w:val="00D662CD"/>
    <w:rsid w:val="00D704E5"/>
    <w:rsid w:val="00D72727"/>
    <w:rsid w:val="00D731DD"/>
    <w:rsid w:val="00D73D7E"/>
    <w:rsid w:val="00D871AC"/>
    <w:rsid w:val="00D90395"/>
    <w:rsid w:val="00D90415"/>
    <w:rsid w:val="00D917F9"/>
    <w:rsid w:val="00D92E8B"/>
    <w:rsid w:val="00D978C6"/>
    <w:rsid w:val="00DA0293"/>
    <w:rsid w:val="00DA0956"/>
    <w:rsid w:val="00DA121A"/>
    <w:rsid w:val="00DA357F"/>
    <w:rsid w:val="00DA3E12"/>
    <w:rsid w:val="00DB147E"/>
    <w:rsid w:val="00DB5900"/>
    <w:rsid w:val="00DB66FA"/>
    <w:rsid w:val="00DB6CC5"/>
    <w:rsid w:val="00DC18AD"/>
    <w:rsid w:val="00DC2396"/>
    <w:rsid w:val="00DC36B8"/>
    <w:rsid w:val="00DC584A"/>
    <w:rsid w:val="00DD3FE8"/>
    <w:rsid w:val="00DE0CB9"/>
    <w:rsid w:val="00DE178B"/>
    <w:rsid w:val="00DE5105"/>
    <w:rsid w:val="00DF1147"/>
    <w:rsid w:val="00DF13B2"/>
    <w:rsid w:val="00DF1A1E"/>
    <w:rsid w:val="00DF4518"/>
    <w:rsid w:val="00DF6A82"/>
    <w:rsid w:val="00DF7CAE"/>
    <w:rsid w:val="00E02011"/>
    <w:rsid w:val="00E1773B"/>
    <w:rsid w:val="00E324A0"/>
    <w:rsid w:val="00E333D0"/>
    <w:rsid w:val="00E37495"/>
    <w:rsid w:val="00E423C0"/>
    <w:rsid w:val="00E50BC6"/>
    <w:rsid w:val="00E52ECA"/>
    <w:rsid w:val="00E53624"/>
    <w:rsid w:val="00E550E7"/>
    <w:rsid w:val="00E5672B"/>
    <w:rsid w:val="00E57974"/>
    <w:rsid w:val="00E62965"/>
    <w:rsid w:val="00E63478"/>
    <w:rsid w:val="00E6414C"/>
    <w:rsid w:val="00E65354"/>
    <w:rsid w:val="00E672F0"/>
    <w:rsid w:val="00E7260F"/>
    <w:rsid w:val="00E82C50"/>
    <w:rsid w:val="00E86772"/>
    <w:rsid w:val="00E8702D"/>
    <w:rsid w:val="00E87C7D"/>
    <w:rsid w:val="00E916A9"/>
    <w:rsid w:val="00E916DE"/>
    <w:rsid w:val="00E96630"/>
    <w:rsid w:val="00EA586A"/>
    <w:rsid w:val="00EB5B1B"/>
    <w:rsid w:val="00EB7168"/>
    <w:rsid w:val="00EC0962"/>
    <w:rsid w:val="00EC10B9"/>
    <w:rsid w:val="00ED18DC"/>
    <w:rsid w:val="00ED359E"/>
    <w:rsid w:val="00ED6201"/>
    <w:rsid w:val="00ED7A2A"/>
    <w:rsid w:val="00ED7F40"/>
    <w:rsid w:val="00EE4832"/>
    <w:rsid w:val="00EF1D7F"/>
    <w:rsid w:val="00EF4426"/>
    <w:rsid w:val="00F0137E"/>
    <w:rsid w:val="00F0148F"/>
    <w:rsid w:val="00F075EB"/>
    <w:rsid w:val="00F21786"/>
    <w:rsid w:val="00F237F4"/>
    <w:rsid w:val="00F3258A"/>
    <w:rsid w:val="00F347BC"/>
    <w:rsid w:val="00F3742B"/>
    <w:rsid w:val="00F40CCF"/>
    <w:rsid w:val="00F41FDB"/>
    <w:rsid w:val="00F512E7"/>
    <w:rsid w:val="00F5337D"/>
    <w:rsid w:val="00F5390C"/>
    <w:rsid w:val="00F56D63"/>
    <w:rsid w:val="00F609A9"/>
    <w:rsid w:val="00F6280E"/>
    <w:rsid w:val="00F80C99"/>
    <w:rsid w:val="00F867EC"/>
    <w:rsid w:val="00F91B2B"/>
    <w:rsid w:val="00FA1019"/>
    <w:rsid w:val="00FA28CC"/>
    <w:rsid w:val="00FA3135"/>
    <w:rsid w:val="00FA3269"/>
    <w:rsid w:val="00FB468B"/>
    <w:rsid w:val="00FC03CD"/>
    <w:rsid w:val="00FC0646"/>
    <w:rsid w:val="00FC0826"/>
    <w:rsid w:val="00FC2FC6"/>
    <w:rsid w:val="00FC55A7"/>
    <w:rsid w:val="00FC68B7"/>
    <w:rsid w:val="00FD0A90"/>
    <w:rsid w:val="00FD3D34"/>
    <w:rsid w:val="00FD6E23"/>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3D01E6"/>
  <w15:docId w15:val="{82BF1E55-9323-DE4C-9CC7-219B9A3A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43C6"/>
    <w:pPr>
      <w:spacing w:after="240"/>
    </w:pPr>
    <w:rPr>
      <w:lang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eastAsia="en-US"/>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SingleTxtGChar">
    <w:name w:val="_ Single Txt_G Char"/>
    <w:rsid w:val="00F512E7"/>
    <w:rPr>
      <w:lang w:eastAsia="en-US"/>
    </w:rPr>
  </w:style>
  <w:style w:type="character" w:customStyle="1" w:styleId="H1GChar">
    <w:name w:val="_ H_1_G Char"/>
    <w:link w:val="H1G"/>
    <w:rsid w:val="00F512E7"/>
    <w:rPr>
      <w:b/>
      <w:sz w:val="24"/>
      <w:lang w:eastAsia="en-US"/>
    </w:rPr>
  </w:style>
  <w:style w:type="character" w:styleId="CommentReference">
    <w:name w:val="annotation reference"/>
    <w:rsid w:val="00421D52"/>
    <w:rPr>
      <w:sz w:val="6"/>
    </w:rPr>
  </w:style>
  <w:style w:type="paragraph" w:styleId="CommentText">
    <w:name w:val="annotation text"/>
    <w:basedOn w:val="Normal"/>
    <w:link w:val="CommentTextChar"/>
    <w:rsid w:val="00421D52"/>
    <w:pPr>
      <w:suppressAutoHyphens/>
      <w:spacing w:after="0" w:line="240" w:lineRule="atLeast"/>
    </w:pPr>
  </w:style>
  <w:style w:type="character" w:customStyle="1" w:styleId="CommentTextChar">
    <w:name w:val="Comment Text Char"/>
    <w:basedOn w:val="DefaultParagraphFont"/>
    <w:link w:val="CommentText"/>
    <w:rsid w:val="00421D52"/>
  </w:style>
  <w:style w:type="paragraph" w:styleId="ListParagraph">
    <w:name w:val="List Paragraph"/>
    <w:basedOn w:val="Normal"/>
    <w:uiPriority w:val="34"/>
    <w:qFormat/>
    <w:rsid w:val="00C461FD"/>
    <w:pPr>
      <w:spacing w:after="200" w:line="276" w:lineRule="auto"/>
      <w:ind w:left="720"/>
      <w:contextualSpacing/>
    </w:pPr>
    <w:rPr>
      <w:rFonts w:ascii="Calibri" w:hAnsi="Calibri"/>
      <w:sz w:val="22"/>
      <w:szCs w:val="22"/>
      <w:lang w:val="nl-NL" w:eastAsia="zh-CN"/>
    </w:rPr>
  </w:style>
  <w:style w:type="paragraph" w:customStyle="1" w:styleId="Default">
    <w:name w:val="Default"/>
    <w:rsid w:val="00C461FD"/>
    <w:pPr>
      <w:autoSpaceDE w:val="0"/>
      <w:autoSpaceDN w:val="0"/>
      <w:adjustRightInd w:val="0"/>
    </w:pPr>
    <w:rPr>
      <w:color w:val="000000"/>
      <w:sz w:val="24"/>
      <w:szCs w:val="24"/>
      <w:lang w:val="fr-FR" w:eastAsia="fr-FR"/>
    </w:rPr>
  </w:style>
  <w:style w:type="character" w:customStyle="1" w:styleId="FootnoteTextChar">
    <w:name w:val="Footnote Text Char"/>
    <w:aliases w:val="5_G Char"/>
    <w:link w:val="FootnoteText"/>
    <w:rsid w:val="00C461FD"/>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F454B-C1C5-4D6E-95E2-1D2A5AF65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INF</vt:lpstr>
    </vt:vector>
  </TitlesOfParts>
  <Manager/>
  <Company>UNECE</Company>
  <LinksUpToDate>false</LinksUpToDate>
  <CharactersWithSpaces>4975</CharactersWithSpaces>
  <SharedDoc>false</SharedDoc>
  <HyperlinkBase/>
  <HLinks>
    <vt:vector size="6" baseType="variant">
      <vt:variant>
        <vt:i4>6160404</vt:i4>
      </vt:variant>
      <vt:variant>
        <vt:i4>-1</vt:i4>
      </vt:variant>
      <vt:variant>
        <vt:i4>2049</vt:i4>
      </vt:variant>
      <vt:variant>
        <vt:i4>1</vt:i4>
      </vt:variant>
      <vt:variant>
        <vt:lpwstr>recycle_English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dc:description/>
  <cp:lastModifiedBy>Christine Barrio-Champeau</cp:lastModifiedBy>
  <cp:revision>4</cp:revision>
  <cp:lastPrinted>2012-09-14T16:01:00Z</cp:lastPrinted>
  <dcterms:created xsi:type="dcterms:W3CDTF">2020-02-27T11:17:00Z</dcterms:created>
  <dcterms:modified xsi:type="dcterms:W3CDTF">2020-02-27T14:29:00Z</dcterms:modified>
  <cp:category/>
</cp:coreProperties>
</file>