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519C6D6" w14:textId="77777777" w:rsidTr="00B20551">
        <w:trPr>
          <w:cantSplit/>
          <w:trHeight w:hRule="exact" w:val="851"/>
        </w:trPr>
        <w:tc>
          <w:tcPr>
            <w:tcW w:w="1276" w:type="dxa"/>
            <w:tcBorders>
              <w:bottom w:val="single" w:sz="4" w:space="0" w:color="auto"/>
            </w:tcBorders>
            <w:vAlign w:val="bottom"/>
          </w:tcPr>
          <w:p w14:paraId="1257ACA1" w14:textId="77777777" w:rsidR="009E6CB7" w:rsidRDefault="009E6CB7" w:rsidP="00B20551">
            <w:pPr>
              <w:spacing w:after="80"/>
            </w:pPr>
          </w:p>
        </w:tc>
        <w:tc>
          <w:tcPr>
            <w:tcW w:w="2268" w:type="dxa"/>
            <w:tcBorders>
              <w:bottom w:val="single" w:sz="4" w:space="0" w:color="auto"/>
            </w:tcBorders>
            <w:vAlign w:val="bottom"/>
          </w:tcPr>
          <w:p w14:paraId="4886689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7683DDA" w14:textId="77777777" w:rsidR="009E6CB7" w:rsidRPr="00D47EEA" w:rsidRDefault="007147F4" w:rsidP="007147F4">
            <w:pPr>
              <w:jc w:val="right"/>
            </w:pPr>
            <w:r w:rsidRPr="007147F4">
              <w:rPr>
                <w:sz w:val="40"/>
              </w:rPr>
              <w:t>ECE</w:t>
            </w:r>
            <w:r>
              <w:t>/TRANS/WP.15/250/Add.1/Rev.1</w:t>
            </w:r>
          </w:p>
        </w:tc>
      </w:tr>
      <w:tr w:rsidR="009E6CB7" w14:paraId="5487B090" w14:textId="77777777" w:rsidTr="00B20551">
        <w:trPr>
          <w:cantSplit/>
          <w:trHeight w:hRule="exact" w:val="2835"/>
        </w:trPr>
        <w:tc>
          <w:tcPr>
            <w:tcW w:w="1276" w:type="dxa"/>
            <w:tcBorders>
              <w:top w:val="single" w:sz="4" w:space="0" w:color="auto"/>
              <w:bottom w:val="single" w:sz="12" w:space="0" w:color="auto"/>
            </w:tcBorders>
          </w:tcPr>
          <w:p w14:paraId="68EDD622" w14:textId="77777777" w:rsidR="009E6CB7" w:rsidRDefault="00686A48" w:rsidP="00B20551">
            <w:pPr>
              <w:spacing w:before="120"/>
            </w:pPr>
            <w:r>
              <w:rPr>
                <w:noProof/>
                <w:lang w:val="fr-CH" w:eastAsia="fr-CH"/>
              </w:rPr>
              <w:drawing>
                <wp:inline distT="0" distB="0" distL="0" distR="0" wp14:anchorId="5DAA5A1D" wp14:editId="6B4FF03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3CC0C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0BB5CE4" w14:textId="77777777" w:rsidR="009E6CB7" w:rsidRDefault="007147F4" w:rsidP="007147F4">
            <w:pPr>
              <w:spacing w:before="240" w:line="240" w:lineRule="exact"/>
            </w:pPr>
            <w:r>
              <w:t>Distr.: General</w:t>
            </w:r>
          </w:p>
          <w:p w14:paraId="6EE77A2E" w14:textId="77777777" w:rsidR="007147F4" w:rsidRDefault="007147F4" w:rsidP="007147F4">
            <w:pPr>
              <w:spacing w:line="240" w:lineRule="exact"/>
            </w:pPr>
            <w:r>
              <w:t>28 August 2020</w:t>
            </w:r>
          </w:p>
          <w:p w14:paraId="4147315E" w14:textId="77777777" w:rsidR="007147F4" w:rsidRDefault="007147F4" w:rsidP="007147F4">
            <w:pPr>
              <w:spacing w:line="240" w:lineRule="exact"/>
            </w:pPr>
          </w:p>
          <w:p w14:paraId="633DCA53" w14:textId="77777777" w:rsidR="007147F4" w:rsidRDefault="007147F4" w:rsidP="007147F4">
            <w:pPr>
              <w:spacing w:line="240" w:lineRule="exact"/>
            </w:pPr>
            <w:r>
              <w:t>Original: English</w:t>
            </w:r>
          </w:p>
        </w:tc>
      </w:tr>
    </w:tbl>
    <w:p w14:paraId="748D590E" w14:textId="77777777" w:rsidR="007147F4" w:rsidRDefault="007147F4" w:rsidP="00C411EB">
      <w:pPr>
        <w:spacing w:before="120"/>
        <w:rPr>
          <w:b/>
          <w:sz w:val="28"/>
          <w:szCs w:val="28"/>
        </w:rPr>
      </w:pPr>
      <w:r>
        <w:rPr>
          <w:b/>
          <w:sz w:val="28"/>
          <w:szCs w:val="28"/>
        </w:rPr>
        <w:t>Economic Commission for Europe</w:t>
      </w:r>
    </w:p>
    <w:p w14:paraId="6D9E58A2" w14:textId="77777777" w:rsidR="007147F4" w:rsidRDefault="007147F4" w:rsidP="00C411EB">
      <w:pPr>
        <w:spacing w:before="120"/>
        <w:rPr>
          <w:sz w:val="28"/>
          <w:szCs w:val="28"/>
        </w:rPr>
      </w:pPr>
      <w:r>
        <w:rPr>
          <w:sz w:val="28"/>
          <w:szCs w:val="28"/>
        </w:rPr>
        <w:t>Inland Transport Committee</w:t>
      </w:r>
    </w:p>
    <w:p w14:paraId="6EBB2414" w14:textId="77777777" w:rsidR="007147F4" w:rsidRPr="001330DE" w:rsidRDefault="007147F4" w:rsidP="00C411EB">
      <w:pPr>
        <w:spacing w:before="120"/>
        <w:rPr>
          <w:b/>
          <w:sz w:val="24"/>
          <w:szCs w:val="24"/>
        </w:rPr>
      </w:pPr>
      <w:r>
        <w:rPr>
          <w:b/>
          <w:sz w:val="24"/>
          <w:szCs w:val="24"/>
        </w:rPr>
        <w:t xml:space="preserve">Working Party on the Transport </w:t>
      </w:r>
      <w:r w:rsidRPr="001330DE">
        <w:rPr>
          <w:b/>
          <w:sz w:val="24"/>
          <w:szCs w:val="24"/>
        </w:rPr>
        <w:t>of Dangerous Goods</w:t>
      </w:r>
    </w:p>
    <w:p w14:paraId="1C63FC64" w14:textId="77777777" w:rsidR="003A2CC1" w:rsidRDefault="003A2CC1" w:rsidP="003A2CC1">
      <w:pPr>
        <w:spacing w:before="120"/>
        <w:rPr>
          <w:b/>
        </w:rPr>
      </w:pPr>
      <w:r>
        <w:rPr>
          <w:b/>
        </w:rPr>
        <w:t>108th session</w:t>
      </w:r>
    </w:p>
    <w:p w14:paraId="42D65C2C" w14:textId="77777777" w:rsidR="003A2CC1" w:rsidRDefault="003A2CC1" w:rsidP="003A2CC1">
      <w:r>
        <w:t>Geneva, 9-13 November 2020</w:t>
      </w:r>
    </w:p>
    <w:p w14:paraId="349AE7A4" w14:textId="77777777" w:rsidR="003A2CC1" w:rsidRDefault="003A2CC1" w:rsidP="003A2CC1">
      <w:r>
        <w:t>Item 1 of the provisional agenda</w:t>
      </w:r>
    </w:p>
    <w:p w14:paraId="35B54862" w14:textId="77777777" w:rsidR="003A2CC1" w:rsidRDefault="003A2CC1" w:rsidP="003A2CC1">
      <w:pPr>
        <w:rPr>
          <w:b/>
        </w:rPr>
      </w:pPr>
      <w:r w:rsidRPr="00A1373E">
        <w:rPr>
          <w:b/>
        </w:rPr>
        <w:t>Adoption of the agenda</w:t>
      </w:r>
    </w:p>
    <w:p w14:paraId="06A6AE39" w14:textId="3D771FC7" w:rsidR="003A2CC1" w:rsidRPr="00982178" w:rsidRDefault="003A2CC1" w:rsidP="003A2CC1">
      <w:pPr>
        <w:pStyle w:val="HChG"/>
      </w:pPr>
      <w:r w:rsidRPr="00982178">
        <w:tab/>
      </w:r>
      <w:r w:rsidRPr="00982178">
        <w:tab/>
      </w:r>
      <w:r w:rsidR="00F2163E">
        <w:t xml:space="preserve">Revised </w:t>
      </w:r>
      <w:r w:rsidRPr="00982178">
        <w:t>Provisional agenda for the 108th session</w:t>
      </w:r>
    </w:p>
    <w:p w14:paraId="43767349" w14:textId="77777777" w:rsidR="003A2CC1" w:rsidRDefault="003A2CC1" w:rsidP="003A2CC1">
      <w:pPr>
        <w:pStyle w:val="H23G"/>
      </w:pPr>
      <w:r w:rsidRPr="00982178">
        <w:tab/>
      </w:r>
      <w:r w:rsidRPr="00982178">
        <w:tab/>
        <w:t>Addendum</w:t>
      </w:r>
    </w:p>
    <w:p w14:paraId="30608217" w14:textId="77777777" w:rsidR="003A2CC1" w:rsidRPr="00982178" w:rsidRDefault="003A2CC1" w:rsidP="003A2CC1">
      <w:pPr>
        <w:pStyle w:val="H1G"/>
      </w:pPr>
      <w:r w:rsidRPr="00982178">
        <w:tab/>
      </w:r>
      <w:r w:rsidRPr="00982178">
        <w:tab/>
        <w:t>Annotations and list of documents</w:t>
      </w:r>
    </w:p>
    <w:p w14:paraId="016B7617" w14:textId="77777777" w:rsidR="003A2CC1" w:rsidRPr="00982178" w:rsidRDefault="003A2CC1" w:rsidP="003A2CC1">
      <w:pPr>
        <w:keepNext/>
        <w:keepLines/>
        <w:tabs>
          <w:tab w:val="right" w:pos="851"/>
        </w:tabs>
        <w:spacing w:before="360" w:after="240" w:line="300" w:lineRule="exact"/>
        <w:ind w:left="1134" w:right="1134" w:hanging="1134"/>
        <w:rPr>
          <w:b/>
          <w:sz w:val="28"/>
        </w:rPr>
      </w:pPr>
      <w:r w:rsidRPr="00982178">
        <w:rPr>
          <w:b/>
          <w:sz w:val="28"/>
        </w:rPr>
        <w:tab/>
        <w:t>1.</w:t>
      </w:r>
      <w:r w:rsidRPr="00982178">
        <w:rPr>
          <w:b/>
          <w:sz w:val="28"/>
        </w:rPr>
        <w:tab/>
        <w:t>Adoption of the agenda</w:t>
      </w:r>
    </w:p>
    <w:p w14:paraId="129DF9A5" w14:textId="77777777" w:rsidR="003A2CC1" w:rsidRPr="00063B49" w:rsidRDefault="003A2CC1" w:rsidP="003A2CC1">
      <w:pPr>
        <w:pStyle w:val="SingleTxtG"/>
        <w:spacing w:after="0"/>
        <w:ind w:firstLine="567"/>
      </w:pPr>
      <w:r w:rsidRPr="003A2CC1">
        <w:t xml:space="preserve">The agenda and format of the session may need to be adjusted at a later stage given the ongoing COVID-19 pandemic. The secretariat will publish the draft timetable and further information on </w:t>
      </w:r>
      <w:hyperlink r:id="rId9" w:history="1">
        <w:r w:rsidRPr="009155C1">
          <w:rPr>
            <w:rStyle w:val="Lienhypertexte"/>
          </w:rPr>
          <w:t>http://www.unece.org/trans/main/dgdb/wp15/wp15inf108.html</w:t>
        </w:r>
      </w:hyperlink>
      <w:r>
        <w:t xml:space="preserve"> </w:t>
      </w:r>
    </w:p>
    <w:p w14:paraId="517EE5A4" w14:textId="77777777" w:rsidR="003A2CC1" w:rsidRPr="00982178" w:rsidRDefault="003A2CC1" w:rsidP="003A2CC1">
      <w:pPr>
        <w:pStyle w:val="SingleTxtG"/>
        <w:spacing w:after="0"/>
      </w:pP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3A2CC1" w:rsidRPr="00982178" w14:paraId="5DC7A68F" w14:textId="77777777" w:rsidTr="008C65B1">
        <w:trPr>
          <w:cantSplit/>
        </w:trPr>
        <w:tc>
          <w:tcPr>
            <w:tcW w:w="3402" w:type="dxa"/>
            <w:hideMark/>
          </w:tcPr>
          <w:p w14:paraId="0C3C9A7D" w14:textId="77777777" w:rsidR="003A2CC1" w:rsidRPr="00982178" w:rsidRDefault="003A2CC1" w:rsidP="008C65B1">
            <w:pPr>
              <w:spacing w:after="60"/>
              <w:ind w:right="99"/>
              <w:rPr>
                <w:b/>
              </w:rPr>
            </w:pPr>
            <w:r w:rsidRPr="00982178">
              <w:t>ECE/TRANS/WP.15/250 (Secretariat)</w:t>
            </w:r>
          </w:p>
        </w:tc>
        <w:tc>
          <w:tcPr>
            <w:tcW w:w="3969" w:type="dxa"/>
            <w:hideMark/>
          </w:tcPr>
          <w:p w14:paraId="0BFF5760" w14:textId="77777777" w:rsidR="003A2CC1" w:rsidRPr="00982178" w:rsidRDefault="003A2CC1" w:rsidP="008C65B1">
            <w:pPr>
              <w:spacing w:after="60"/>
              <w:rPr>
                <w:b/>
              </w:rPr>
            </w:pPr>
            <w:r w:rsidRPr="00982178">
              <w:t>Provisional agenda for the 108th session</w:t>
            </w:r>
          </w:p>
        </w:tc>
      </w:tr>
      <w:tr w:rsidR="003A2CC1" w:rsidRPr="00982178" w14:paraId="37E2E529" w14:textId="77777777" w:rsidTr="008C65B1">
        <w:trPr>
          <w:cantSplit/>
        </w:trPr>
        <w:tc>
          <w:tcPr>
            <w:tcW w:w="3402" w:type="dxa"/>
          </w:tcPr>
          <w:p w14:paraId="4F4DADFD" w14:textId="77777777" w:rsidR="003A2CC1" w:rsidRPr="00982178" w:rsidRDefault="003A2CC1" w:rsidP="008C65B1">
            <w:pPr>
              <w:spacing w:after="60"/>
              <w:ind w:right="99"/>
            </w:pPr>
            <w:r w:rsidRPr="00982178">
              <w:t>ECE/TRANS/WP.15/250/Add.1 (Secretariat)</w:t>
            </w:r>
          </w:p>
        </w:tc>
        <w:tc>
          <w:tcPr>
            <w:tcW w:w="3969" w:type="dxa"/>
          </w:tcPr>
          <w:p w14:paraId="7218AE48" w14:textId="77777777" w:rsidR="003A2CC1" w:rsidRPr="00982178" w:rsidRDefault="003A2CC1" w:rsidP="008C65B1">
            <w:pPr>
              <w:spacing w:after="60"/>
            </w:pPr>
            <w:r w:rsidRPr="00982178">
              <w:t>Annotations and list of documents</w:t>
            </w:r>
          </w:p>
        </w:tc>
      </w:tr>
    </w:tbl>
    <w:p w14:paraId="167E2A0B" w14:textId="77777777" w:rsidR="003A2CC1" w:rsidRPr="00982178" w:rsidRDefault="003A2CC1" w:rsidP="003A2CC1">
      <w:pPr>
        <w:keepNext/>
        <w:keepLines/>
        <w:tabs>
          <w:tab w:val="right" w:pos="851"/>
        </w:tabs>
        <w:spacing w:before="360" w:after="240" w:line="270" w:lineRule="exact"/>
        <w:ind w:left="1134" w:right="1134" w:hanging="1134"/>
        <w:rPr>
          <w:b/>
          <w:sz w:val="24"/>
          <w:lang w:eastAsia="en-US"/>
        </w:rPr>
      </w:pPr>
      <w:r w:rsidRPr="00982178">
        <w:rPr>
          <w:b/>
          <w:sz w:val="24"/>
        </w:rPr>
        <w:tab/>
      </w:r>
      <w:r w:rsidRPr="00982178">
        <w:rPr>
          <w:b/>
          <w:sz w:val="24"/>
        </w:rPr>
        <w:tab/>
        <w:t>Background documents</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3A2CC1" w:rsidRPr="00982178" w14:paraId="093B3ADE" w14:textId="77777777" w:rsidTr="003D71FB">
        <w:trPr>
          <w:cantSplit/>
        </w:trPr>
        <w:tc>
          <w:tcPr>
            <w:tcW w:w="3399" w:type="dxa"/>
            <w:hideMark/>
          </w:tcPr>
          <w:p w14:paraId="011F9ACD" w14:textId="77777777" w:rsidR="003A2CC1" w:rsidRPr="00982178" w:rsidRDefault="003A2CC1" w:rsidP="008C65B1">
            <w:pPr>
              <w:spacing w:after="60"/>
              <w:ind w:right="99"/>
              <w:rPr>
                <w:b/>
              </w:rPr>
            </w:pPr>
            <w:r w:rsidRPr="00982178">
              <w:t>ECE/TRANS/WP.15/190/Add.1 (Secretariat)</w:t>
            </w:r>
          </w:p>
        </w:tc>
        <w:tc>
          <w:tcPr>
            <w:tcW w:w="3966" w:type="dxa"/>
            <w:hideMark/>
          </w:tcPr>
          <w:p w14:paraId="348263CB" w14:textId="77777777" w:rsidR="003A2CC1" w:rsidRPr="00982178" w:rsidRDefault="003A2CC1" w:rsidP="008C65B1">
            <w:pPr>
              <w:spacing w:after="60"/>
              <w:rPr>
                <w:b/>
              </w:rPr>
            </w:pPr>
            <w:r w:rsidRPr="00982178">
              <w:t>Terms of Reference and Rules of Procedure of the Working Party</w:t>
            </w:r>
          </w:p>
        </w:tc>
      </w:tr>
      <w:tr w:rsidR="003A2CC1" w:rsidRPr="00982178" w14:paraId="16A9E40C" w14:textId="77777777" w:rsidTr="003D71FB">
        <w:trPr>
          <w:cantSplit/>
        </w:trPr>
        <w:tc>
          <w:tcPr>
            <w:tcW w:w="3399" w:type="dxa"/>
            <w:hideMark/>
          </w:tcPr>
          <w:p w14:paraId="404E06A4" w14:textId="77777777" w:rsidR="003A2CC1" w:rsidRPr="00982178" w:rsidRDefault="003A2CC1" w:rsidP="008C65B1">
            <w:pPr>
              <w:spacing w:after="60"/>
              <w:ind w:right="99"/>
            </w:pPr>
            <w:r w:rsidRPr="00982178">
              <w:t>ECE/TRANS/WP.15/248 (Secretariat)</w:t>
            </w:r>
          </w:p>
        </w:tc>
        <w:tc>
          <w:tcPr>
            <w:tcW w:w="3966" w:type="dxa"/>
            <w:hideMark/>
          </w:tcPr>
          <w:p w14:paraId="0C619550" w14:textId="77777777" w:rsidR="003A2CC1" w:rsidRPr="00982178" w:rsidRDefault="003A2CC1" w:rsidP="008C65B1">
            <w:pPr>
              <w:spacing w:after="60"/>
            </w:pPr>
            <w:r w:rsidRPr="00982178">
              <w:t>Report of the Working Party on its 107th session (Geneva, 6–10 November 2019)</w:t>
            </w:r>
          </w:p>
        </w:tc>
      </w:tr>
      <w:tr w:rsidR="003A2CC1" w:rsidRPr="00982178" w14:paraId="4E918561" w14:textId="77777777" w:rsidTr="003D71FB">
        <w:trPr>
          <w:cantSplit/>
        </w:trPr>
        <w:tc>
          <w:tcPr>
            <w:tcW w:w="3399" w:type="dxa"/>
          </w:tcPr>
          <w:p w14:paraId="0E9E6CDD" w14:textId="77777777" w:rsidR="003A2CC1" w:rsidRPr="00982178" w:rsidRDefault="003A2CC1" w:rsidP="008C65B1">
            <w:pPr>
              <w:spacing w:after="60"/>
              <w:ind w:right="99"/>
            </w:pPr>
            <w:r w:rsidRPr="00982178">
              <w:t>ECE/TRANS/WP.15/249</w:t>
            </w:r>
            <w:r w:rsidR="003D71FB">
              <w:t>, -/Corr.1 and Add.1</w:t>
            </w:r>
          </w:p>
        </w:tc>
        <w:tc>
          <w:tcPr>
            <w:tcW w:w="3966" w:type="dxa"/>
          </w:tcPr>
          <w:p w14:paraId="6EC31F37" w14:textId="77777777" w:rsidR="003A2CC1" w:rsidRPr="00982178" w:rsidRDefault="003A2CC1" w:rsidP="008C65B1">
            <w:pPr>
              <w:spacing w:after="60"/>
            </w:pPr>
            <w:r w:rsidRPr="00982178">
              <w:t>Draft amendments to annexes A and B of ADR</w:t>
            </w:r>
          </w:p>
        </w:tc>
      </w:tr>
      <w:tr w:rsidR="003D71FB" w:rsidRPr="00982178" w14:paraId="60A66EC3" w14:textId="77777777" w:rsidTr="003D71FB">
        <w:trPr>
          <w:cantSplit/>
        </w:trPr>
        <w:tc>
          <w:tcPr>
            <w:tcW w:w="3399" w:type="dxa"/>
          </w:tcPr>
          <w:p w14:paraId="3FB6B294" w14:textId="77777777" w:rsidR="003D71FB" w:rsidRPr="00982178" w:rsidRDefault="003D71FB" w:rsidP="008C65B1">
            <w:pPr>
              <w:spacing w:after="60"/>
              <w:ind w:right="99"/>
            </w:pPr>
            <w:r>
              <w:t>ECE/TRANS/300</w:t>
            </w:r>
          </w:p>
        </w:tc>
        <w:tc>
          <w:tcPr>
            <w:tcW w:w="3966" w:type="dxa"/>
          </w:tcPr>
          <w:p w14:paraId="5EEDB786" w14:textId="77777777" w:rsidR="003D71FB" w:rsidRPr="00982178" w:rsidRDefault="003D71FB" w:rsidP="008C65B1">
            <w:pPr>
              <w:spacing w:after="60"/>
            </w:pPr>
            <w:r w:rsidRPr="00A64D4D">
              <w:t>ADR applicable as from 1 January 20</w:t>
            </w:r>
            <w:r>
              <w:t>21 (forthcoming)</w:t>
            </w:r>
          </w:p>
        </w:tc>
      </w:tr>
    </w:tbl>
    <w:p w14:paraId="6BF41BEF" w14:textId="77777777" w:rsidR="003A2CC1" w:rsidRPr="00982178" w:rsidRDefault="003A2CC1" w:rsidP="003A2CC1">
      <w:pPr>
        <w:keepNext/>
        <w:keepLines/>
        <w:tabs>
          <w:tab w:val="right" w:pos="851"/>
        </w:tabs>
        <w:spacing w:before="360" w:after="240" w:line="300" w:lineRule="exact"/>
        <w:ind w:left="1134" w:right="1134" w:hanging="1134"/>
        <w:rPr>
          <w:b/>
          <w:sz w:val="28"/>
          <w:lang w:eastAsia="en-US"/>
        </w:rPr>
      </w:pPr>
      <w:r w:rsidRPr="00982178">
        <w:rPr>
          <w:b/>
          <w:sz w:val="28"/>
        </w:rPr>
        <w:tab/>
        <w:t>2.</w:t>
      </w:r>
      <w:r w:rsidRPr="00982178">
        <w:rPr>
          <w:b/>
          <w:sz w:val="28"/>
        </w:rPr>
        <w:tab/>
        <w:t>Eighty-second session of the Inland Transport Committee</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3D71FB" w:rsidRPr="00982178" w14:paraId="37C2BAFB" w14:textId="77777777" w:rsidTr="003D71FB">
        <w:trPr>
          <w:cantSplit/>
        </w:trPr>
        <w:tc>
          <w:tcPr>
            <w:tcW w:w="3399" w:type="dxa"/>
          </w:tcPr>
          <w:p w14:paraId="0EE08BA6" w14:textId="77777777" w:rsidR="003D71FB" w:rsidRPr="00982178" w:rsidRDefault="003D71FB" w:rsidP="008C65B1">
            <w:pPr>
              <w:spacing w:after="120"/>
            </w:pPr>
            <w:r w:rsidRPr="00982178">
              <w:t>ECE/TRANS/</w:t>
            </w:r>
            <w:r>
              <w:t>294/Add.1</w:t>
            </w:r>
          </w:p>
        </w:tc>
        <w:tc>
          <w:tcPr>
            <w:tcW w:w="3966" w:type="dxa"/>
          </w:tcPr>
          <w:p w14:paraId="575A2177" w14:textId="77777777" w:rsidR="003D71FB" w:rsidRPr="00982178" w:rsidRDefault="003D71FB" w:rsidP="008C65B1">
            <w:pPr>
              <w:spacing w:after="120"/>
            </w:pPr>
            <w:r w:rsidRPr="00A64D4D">
              <w:t>Report of the Inland Transport Committee on its</w:t>
            </w:r>
            <w:r>
              <w:t xml:space="preserve"> </w:t>
            </w:r>
            <w:r w:rsidRPr="003D71FB">
              <w:t>eighty-second session (Geneva, 25-28 February 2020)</w:t>
            </w:r>
          </w:p>
        </w:tc>
      </w:tr>
    </w:tbl>
    <w:p w14:paraId="448C067A" w14:textId="77777777" w:rsidR="003A2CC1" w:rsidRPr="00982178" w:rsidRDefault="003A2CC1" w:rsidP="003A2CC1">
      <w:pPr>
        <w:keepNext/>
        <w:keepLines/>
        <w:tabs>
          <w:tab w:val="right" w:pos="851"/>
        </w:tabs>
        <w:spacing w:before="360" w:after="240" w:line="300" w:lineRule="exact"/>
        <w:ind w:left="1134" w:right="1134" w:hanging="1134"/>
        <w:rPr>
          <w:b/>
          <w:sz w:val="28"/>
        </w:rPr>
      </w:pPr>
      <w:r w:rsidRPr="00982178">
        <w:rPr>
          <w:b/>
          <w:sz w:val="28"/>
        </w:rPr>
        <w:lastRenderedPageBreak/>
        <w:tab/>
        <w:t>3.</w:t>
      </w:r>
      <w:r w:rsidRPr="00982178">
        <w:rPr>
          <w:b/>
          <w:sz w:val="28"/>
        </w:rPr>
        <w:tab/>
        <w:t>Status of the European Agreement concerning the International Carriage of Dangerous Goods by Road (ADR) and related issues</w:t>
      </w:r>
    </w:p>
    <w:p w14:paraId="4AE14140" w14:textId="77777777" w:rsidR="003A2CC1" w:rsidRPr="00982178" w:rsidRDefault="003A2CC1" w:rsidP="003A2CC1">
      <w:pPr>
        <w:pStyle w:val="SingleTxtG"/>
        <w:ind w:firstLine="567"/>
      </w:pPr>
      <w:r w:rsidRPr="00982178">
        <w:t>A member of the secretariat will inform the Working Party of the status of ADR, the Protocol of amendment of 1993, special agreements and notifications in accordance with Chapter 1.9.</w:t>
      </w:r>
    </w:p>
    <w:p w14:paraId="3E91004D" w14:textId="77777777" w:rsidR="003A2CC1" w:rsidRPr="00982178" w:rsidRDefault="003A2CC1" w:rsidP="003A2CC1">
      <w:pPr>
        <w:pStyle w:val="SingleTxtG"/>
        <w:ind w:firstLine="567"/>
      </w:pPr>
      <w:r w:rsidRPr="00982178">
        <w:t xml:space="preserve">With the accession of Uzbekistan (24 January 2020), the number of Contracting Parties to ADR </w:t>
      </w:r>
      <w:r>
        <w:t>is now</w:t>
      </w:r>
      <w:r w:rsidRPr="00982178">
        <w:t xml:space="preserve"> </w:t>
      </w:r>
      <w:r>
        <w:t>52</w:t>
      </w:r>
      <w:r w:rsidRPr="00982178">
        <w:t>.</w:t>
      </w:r>
    </w:p>
    <w:p w14:paraId="5BC571D2" w14:textId="77777777" w:rsidR="003A2CC1" w:rsidRPr="00982178" w:rsidRDefault="003A2CC1" w:rsidP="003A2CC1">
      <w:pPr>
        <w:pStyle w:val="SingleTxtG"/>
        <w:ind w:firstLine="567"/>
      </w:pPr>
      <w:r w:rsidRPr="00982178">
        <w:t>With the accession of Malta (18 November 2020)</w:t>
      </w:r>
      <w:r>
        <w:t xml:space="preserve"> and </w:t>
      </w:r>
      <w:r w:rsidRPr="00982178">
        <w:t xml:space="preserve">Uzbekistan (24 January 2020), the number of Contracting Parties to the Protocol of amendment of 1993 </w:t>
      </w:r>
      <w:r>
        <w:t>is now</w:t>
      </w:r>
      <w:r w:rsidRPr="00982178">
        <w:t xml:space="preserve"> </w:t>
      </w:r>
      <w:r>
        <w:t>39</w:t>
      </w:r>
      <w:r w:rsidRPr="00982178">
        <w:t xml:space="preserve">. </w:t>
      </w:r>
    </w:p>
    <w:p w14:paraId="40AC7C0D" w14:textId="77777777" w:rsidR="003A2CC1" w:rsidRPr="00982178" w:rsidRDefault="003A2CC1" w:rsidP="003A2CC1">
      <w:pPr>
        <w:pStyle w:val="SingleTxtG"/>
        <w:ind w:firstLine="567"/>
      </w:pPr>
      <w:r w:rsidRPr="00982178">
        <w:tab/>
        <w:t>The Working Party may wish to note that the Protocol of amendment to the title of ADR adopted by the Conference of the Parties on 13 May 2019, was deemed accepted on 30 November 2019 (see depositary notification C.N.606.2019.TREATIES-XI.B.14)</w:t>
      </w:r>
      <w:r w:rsidRPr="00982178">
        <w:rPr>
          <w:rStyle w:val="Appelnotedebasdep"/>
        </w:rPr>
        <w:footnoteReference w:id="2"/>
      </w:r>
      <w:r w:rsidRPr="00982178">
        <w:t>. The amendment will enter into force for all Contracting Parties to the Agreement on 1 January</w:t>
      </w:r>
      <w:r>
        <w:t> </w:t>
      </w:r>
      <w:r w:rsidRPr="00982178">
        <w:t xml:space="preserve">2021. </w:t>
      </w:r>
    </w:p>
    <w:p w14:paraId="341FD4BE" w14:textId="77777777" w:rsidR="003A2CC1" w:rsidRPr="00982178" w:rsidRDefault="003A2CC1" w:rsidP="003A2CC1">
      <w:pPr>
        <w:keepNext/>
        <w:keepLines/>
        <w:tabs>
          <w:tab w:val="right" w:pos="851"/>
        </w:tabs>
        <w:spacing w:before="360" w:after="240" w:line="300" w:lineRule="exact"/>
        <w:ind w:left="1134" w:right="1134" w:hanging="1134"/>
        <w:rPr>
          <w:b/>
          <w:sz w:val="28"/>
        </w:rPr>
      </w:pPr>
      <w:r w:rsidRPr="00982178">
        <w:rPr>
          <w:b/>
          <w:sz w:val="28"/>
        </w:rPr>
        <w:tab/>
        <w:t>4.</w:t>
      </w:r>
      <w:r w:rsidRPr="00982178">
        <w:rPr>
          <w:b/>
          <w:sz w:val="28"/>
        </w:rPr>
        <w:tab/>
        <w:t>Work of the RID/ADR/ADN Joint Meeting</w:t>
      </w:r>
    </w:p>
    <w:p w14:paraId="44314494" w14:textId="77777777" w:rsidR="003A2CC1" w:rsidRPr="00982178" w:rsidRDefault="003A2CC1" w:rsidP="003A2CC1">
      <w:pPr>
        <w:pStyle w:val="SingleTxtG"/>
        <w:ind w:left="1140" w:firstLine="561"/>
      </w:pPr>
      <w:r w:rsidRPr="00982178">
        <w:t xml:space="preserve">The texts adopted by the Joint Meeting at its </w:t>
      </w:r>
      <w:r w:rsidR="003D71FB">
        <w:t>Autumn</w:t>
      </w:r>
      <w:r w:rsidRPr="00982178">
        <w:t xml:space="preserve"> 2020 session </w:t>
      </w:r>
      <w:r w:rsidR="003D71FB">
        <w:t>(</w:t>
      </w:r>
      <w:r w:rsidR="003D71FB" w:rsidRPr="003D71FB">
        <w:t>10-18 September 2020</w:t>
      </w:r>
      <w:r w:rsidR="003D71FB">
        <w:t>)</w:t>
      </w:r>
      <w:r w:rsidRPr="00982178">
        <w:t xml:space="preserve"> will be made available for endorsement by the Working Party.</w:t>
      </w:r>
    </w:p>
    <w:p w14:paraId="3120CD84" w14:textId="77777777" w:rsidR="003A2CC1" w:rsidRPr="00982178" w:rsidRDefault="003A2CC1" w:rsidP="003A2CC1">
      <w:pPr>
        <w:keepNext/>
        <w:keepLines/>
        <w:tabs>
          <w:tab w:val="right" w:pos="851"/>
        </w:tabs>
        <w:spacing w:before="360" w:after="240" w:line="300" w:lineRule="exact"/>
        <w:ind w:left="1134" w:right="1134" w:hanging="1134"/>
        <w:rPr>
          <w:b/>
          <w:sz w:val="28"/>
        </w:rPr>
      </w:pPr>
      <w:r w:rsidRPr="00982178">
        <w:rPr>
          <w:b/>
          <w:sz w:val="28"/>
        </w:rPr>
        <w:tab/>
        <w:t>5.</w:t>
      </w:r>
      <w:r w:rsidRPr="00982178">
        <w:rPr>
          <w:b/>
          <w:sz w:val="28"/>
        </w:rPr>
        <w:tab/>
        <w:t>Proposals for amendments to annexes A and B of ADR</w:t>
      </w:r>
    </w:p>
    <w:p w14:paraId="5278FC12" w14:textId="77777777" w:rsidR="003A2CC1" w:rsidRPr="00982178" w:rsidRDefault="003A2CC1" w:rsidP="003A2CC1">
      <w:pPr>
        <w:pStyle w:val="H1G"/>
      </w:pPr>
      <w:r w:rsidRPr="00982178">
        <w:tab/>
        <w:t>(a)</w:t>
      </w:r>
      <w:r w:rsidRPr="00982178">
        <w:tab/>
        <w:t>Construction and approval of vehicles</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3A2CC1" w:rsidRPr="00982178" w14:paraId="6091E66E" w14:textId="77777777" w:rsidTr="008C65B1">
        <w:trPr>
          <w:cantSplit/>
        </w:trPr>
        <w:tc>
          <w:tcPr>
            <w:tcW w:w="3402" w:type="dxa"/>
          </w:tcPr>
          <w:p w14:paraId="066B2472" w14:textId="77777777" w:rsidR="003A2CC1" w:rsidRPr="00982178" w:rsidRDefault="003A2CC1" w:rsidP="008C65B1">
            <w:pPr>
              <w:spacing w:after="120"/>
            </w:pPr>
            <w:r w:rsidRPr="00982178">
              <w:t>ECE/TRANS/WP.15/2020/5 (France)</w:t>
            </w:r>
          </w:p>
        </w:tc>
        <w:tc>
          <w:tcPr>
            <w:tcW w:w="3969" w:type="dxa"/>
          </w:tcPr>
          <w:p w14:paraId="5761DE16" w14:textId="77777777" w:rsidR="003A2CC1" w:rsidRPr="00982178" w:rsidRDefault="003A2CC1" w:rsidP="008C65B1">
            <w:pPr>
              <w:spacing w:after="120"/>
            </w:pPr>
            <w:r w:rsidRPr="00982178">
              <w:t>Section 9.7.6 - Rear protection of vehicles</w:t>
            </w:r>
          </w:p>
        </w:tc>
      </w:tr>
    </w:tbl>
    <w:p w14:paraId="5841EE24" w14:textId="77777777" w:rsidR="003A2CC1" w:rsidRPr="00982178" w:rsidRDefault="003A2CC1" w:rsidP="003A2CC1">
      <w:pPr>
        <w:pStyle w:val="H1G"/>
      </w:pPr>
      <w:r w:rsidRPr="00982178">
        <w:tab/>
        <w:t>(b)</w:t>
      </w:r>
      <w:r w:rsidRPr="00982178">
        <w:tab/>
        <w:t>Miscellaneous proposals</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3A2CC1" w:rsidRPr="00982178" w14:paraId="2E8912AA" w14:textId="77777777" w:rsidTr="008C65B1">
        <w:trPr>
          <w:cantSplit/>
        </w:trPr>
        <w:tc>
          <w:tcPr>
            <w:tcW w:w="3399" w:type="dxa"/>
            <w:hideMark/>
          </w:tcPr>
          <w:p w14:paraId="7459AF4B" w14:textId="77777777" w:rsidR="003A2CC1" w:rsidRPr="00982178" w:rsidRDefault="003A2CC1" w:rsidP="008C65B1">
            <w:pPr>
              <w:spacing w:after="120"/>
              <w:ind w:right="139"/>
            </w:pPr>
            <w:r w:rsidRPr="00982178">
              <w:t>ECE/TRANS/WP.15/2020/1 (Netherlands and CEFIC)</w:t>
            </w:r>
          </w:p>
        </w:tc>
        <w:tc>
          <w:tcPr>
            <w:tcW w:w="3966" w:type="dxa"/>
            <w:hideMark/>
          </w:tcPr>
          <w:p w14:paraId="2FA6D6BE" w14:textId="77777777" w:rsidR="003A2CC1" w:rsidRPr="00982178" w:rsidRDefault="003A2CC1" w:rsidP="008C65B1">
            <w:pPr>
              <w:spacing w:after="120"/>
              <w:ind w:left="144"/>
            </w:pPr>
            <w:r w:rsidRPr="00982178">
              <w:t>Temperature controlled transport</w:t>
            </w:r>
          </w:p>
        </w:tc>
      </w:tr>
      <w:tr w:rsidR="003A2CC1" w:rsidRPr="00982178" w14:paraId="6555BCC8" w14:textId="77777777" w:rsidTr="008C65B1">
        <w:trPr>
          <w:cantSplit/>
        </w:trPr>
        <w:tc>
          <w:tcPr>
            <w:tcW w:w="3399" w:type="dxa"/>
          </w:tcPr>
          <w:p w14:paraId="5B9DBCDA" w14:textId="77777777" w:rsidR="003A2CC1" w:rsidRPr="00982178" w:rsidRDefault="003A2CC1" w:rsidP="008C65B1">
            <w:pPr>
              <w:spacing w:after="120"/>
              <w:ind w:right="139"/>
            </w:pPr>
            <w:r w:rsidRPr="00982178">
              <w:t>ECE/TRANS/WP.15/2020/3 (Germany)</w:t>
            </w:r>
          </w:p>
        </w:tc>
        <w:tc>
          <w:tcPr>
            <w:tcW w:w="3966" w:type="dxa"/>
          </w:tcPr>
          <w:p w14:paraId="4D62E0C5" w14:textId="77777777" w:rsidR="003A2CC1" w:rsidRPr="00982178" w:rsidRDefault="003A2CC1" w:rsidP="008C65B1">
            <w:pPr>
              <w:spacing w:after="120"/>
              <w:ind w:left="144"/>
            </w:pPr>
            <w:r w:rsidRPr="00982178">
              <w:t>Additional proposal to 5.4.1.1.1 (k) considering restrictions to UN 2919 and 3331 (special arrangement)</w:t>
            </w:r>
          </w:p>
        </w:tc>
      </w:tr>
      <w:tr w:rsidR="003A2CC1" w:rsidRPr="00982178" w14:paraId="7DAC4188" w14:textId="77777777" w:rsidTr="008C65B1">
        <w:trPr>
          <w:cantSplit/>
        </w:trPr>
        <w:tc>
          <w:tcPr>
            <w:tcW w:w="3399" w:type="dxa"/>
          </w:tcPr>
          <w:p w14:paraId="25382EFB" w14:textId="77777777" w:rsidR="003A2CC1" w:rsidRPr="00982178" w:rsidRDefault="003A2CC1" w:rsidP="008C65B1">
            <w:pPr>
              <w:spacing w:after="120"/>
              <w:ind w:right="139"/>
            </w:pPr>
            <w:r w:rsidRPr="00982178">
              <w:t>ECE/TRANS/WP.15/2020/4 (Germany)</w:t>
            </w:r>
          </w:p>
        </w:tc>
        <w:tc>
          <w:tcPr>
            <w:tcW w:w="3966" w:type="dxa"/>
          </w:tcPr>
          <w:p w14:paraId="776F235B" w14:textId="77777777" w:rsidR="003A2CC1" w:rsidRPr="00982178" w:rsidRDefault="003A2CC1" w:rsidP="008C65B1">
            <w:pPr>
              <w:spacing w:after="120"/>
              <w:ind w:left="144"/>
            </w:pPr>
            <w:r w:rsidRPr="00982178">
              <w:t>Deletion of the tunnel restriction code for excepted packages (UN 2908 to 2911) in Table A of Chapter 3.2</w:t>
            </w:r>
          </w:p>
        </w:tc>
      </w:tr>
      <w:tr w:rsidR="003A2CC1" w:rsidRPr="00982178" w14:paraId="28323DC2" w14:textId="77777777" w:rsidTr="008C65B1">
        <w:trPr>
          <w:cantSplit/>
        </w:trPr>
        <w:tc>
          <w:tcPr>
            <w:tcW w:w="3399" w:type="dxa"/>
          </w:tcPr>
          <w:p w14:paraId="545AF8C3" w14:textId="77777777" w:rsidR="003A2CC1" w:rsidRPr="00982178" w:rsidRDefault="003A2CC1" w:rsidP="008C65B1">
            <w:pPr>
              <w:spacing w:after="120"/>
              <w:ind w:right="139"/>
            </w:pPr>
            <w:r w:rsidRPr="00982178">
              <w:t>ECE/TRANS/WP.15/2020/7 (Austria)</w:t>
            </w:r>
          </w:p>
        </w:tc>
        <w:tc>
          <w:tcPr>
            <w:tcW w:w="3966" w:type="dxa"/>
          </w:tcPr>
          <w:p w14:paraId="41064282" w14:textId="77777777" w:rsidR="003A2CC1" w:rsidRPr="00982178" w:rsidRDefault="003A2CC1" w:rsidP="008C65B1">
            <w:pPr>
              <w:spacing w:after="120"/>
              <w:ind w:left="144"/>
            </w:pPr>
            <w:r w:rsidRPr="00982178">
              <w:t>Clarification on the rules for the transport of Battery-Electric-Vehicles and Hybrids as load, Special Provision 667</w:t>
            </w:r>
          </w:p>
        </w:tc>
      </w:tr>
      <w:tr w:rsidR="003A2CC1" w:rsidRPr="00982178" w14:paraId="6A14B017" w14:textId="77777777" w:rsidTr="008C65B1">
        <w:trPr>
          <w:cantSplit/>
        </w:trPr>
        <w:tc>
          <w:tcPr>
            <w:tcW w:w="3399" w:type="dxa"/>
          </w:tcPr>
          <w:p w14:paraId="2A780EB9" w14:textId="77777777" w:rsidR="003A2CC1" w:rsidRPr="00982178" w:rsidRDefault="003A2CC1" w:rsidP="008C65B1">
            <w:pPr>
              <w:spacing w:after="120"/>
              <w:ind w:right="139"/>
            </w:pPr>
            <w:r w:rsidRPr="00982178">
              <w:t>ECE/TRANS/WP.15/2020/8 (Switzerland)</w:t>
            </w:r>
          </w:p>
        </w:tc>
        <w:tc>
          <w:tcPr>
            <w:tcW w:w="3966" w:type="dxa"/>
          </w:tcPr>
          <w:p w14:paraId="5AD9A17A" w14:textId="77777777" w:rsidR="003A2CC1" w:rsidRPr="00982178" w:rsidRDefault="003A2CC1" w:rsidP="008C65B1">
            <w:pPr>
              <w:spacing w:after="120"/>
              <w:ind w:left="144"/>
            </w:pPr>
            <w:r w:rsidRPr="00982178">
              <w:t>Marking of transport units and containers loaded with limited quantities</w:t>
            </w:r>
          </w:p>
        </w:tc>
      </w:tr>
      <w:tr w:rsidR="003A2CC1" w:rsidRPr="00982178" w14:paraId="09162D3B" w14:textId="77777777" w:rsidTr="008C65B1">
        <w:trPr>
          <w:cantSplit/>
        </w:trPr>
        <w:tc>
          <w:tcPr>
            <w:tcW w:w="3399" w:type="dxa"/>
          </w:tcPr>
          <w:p w14:paraId="36B45C57" w14:textId="77777777" w:rsidR="003A2CC1" w:rsidRPr="00982178" w:rsidRDefault="003A2CC1" w:rsidP="008C65B1">
            <w:pPr>
              <w:spacing w:after="120"/>
              <w:ind w:right="139"/>
            </w:pPr>
            <w:r w:rsidRPr="00982178">
              <w:t>ECE/TRANS/WP.15/2020/10 (Switzerland)</w:t>
            </w:r>
          </w:p>
        </w:tc>
        <w:tc>
          <w:tcPr>
            <w:tcW w:w="3966" w:type="dxa"/>
          </w:tcPr>
          <w:p w14:paraId="4047445B" w14:textId="77777777" w:rsidR="003A2CC1" w:rsidRPr="00982178" w:rsidRDefault="003A2CC1" w:rsidP="008C65B1">
            <w:pPr>
              <w:spacing w:after="120"/>
              <w:ind w:left="144"/>
            </w:pPr>
            <w:r w:rsidRPr="00982178">
              <w:t>Dangerous goods exempted of tunnel restrictions</w:t>
            </w:r>
          </w:p>
        </w:tc>
      </w:tr>
      <w:tr w:rsidR="003A2CC1" w:rsidRPr="00982178" w14:paraId="4DC68628" w14:textId="77777777" w:rsidTr="008C65B1">
        <w:trPr>
          <w:cantSplit/>
        </w:trPr>
        <w:tc>
          <w:tcPr>
            <w:tcW w:w="3399" w:type="dxa"/>
          </w:tcPr>
          <w:p w14:paraId="32D1DF91" w14:textId="77777777" w:rsidR="003A2CC1" w:rsidRPr="00982178" w:rsidRDefault="003A2CC1" w:rsidP="008C65B1">
            <w:pPr>
              <w:spacing w:after="120"/>
              <w:ind w:right="139"/>
            </w:pPr>
            <w:r w:rsidRPr="00982178">
              <w:t>ECE/TRANS/WP.15/2020/11 (Secretariat)</w:t>
            </w:r>
          </w:p>
        </w:tc>
        <w:tc>
          <w:tcPr>
            <w:tcW w:w="3966" w:type="dxa"/>
          </w:tcPr>
          <w:p w14:paraId="387A7AD1" w14:textId="77777777" w:rsidR="003A2CC1" w:rsidRPr="00982178" w:rsidRDefault="003A2CC1" w:rsidP="008C65B1">
            <w:pPr>
              <w:spacing w:after="120"/>
              <w:ind w:left="144"/>
            </w:pPr>
            <w:r w:rsidRPr="00982178">
              <w:t>Clarification of 9.1.3.4</w:t>
            </w:r>
          </w:p>
        </w:tc>
      </w:tr>
      <w:tr w:rsidR="003D71FB" w:rsidRPr="00982178" w14:paraId="373DE724" w14:textId="77777777" w:rsidTr="008C65B1">
        <w:trPr>
          <w:cantSplit/>
        </w:trPr>
        <w:tc>
          <w:tcPr>
            <w:tcW w:w="3399" w:type="dxa"/>
          </w:tcPr>
          <w:p w14:paraId="54158B64" w14:textId="77777777" w:rsidR="003D71FB" w:rsidRPr="00982178" w:rsidRDefault="003D71FB" w:rsidP="008C65B1">
            <w:pPr>
              <w:spacing w:after="120"/>
              <w:ind w:right="139"/>
            </w:pPr>
            <w:r w:rsidRPr="00982178">
              <w:lastRenderedPageBreak/>
              <w:t>ECE/TRANS/WP.15/2020/1</w:t>
            </w:r>
            <w:r>
              <w:t xml:space="preserve">2 </w:t>
            </w:r>
            <w:r w:rsidRPr="00982178">
              <w:t>(</w:t>
            </w:r>
            <w:r>
              <w:t>Germany</w:t>
            </w:r>
            <w:r w:rsidRPr="00982178">
              <w:t>)</w:t>
            </w:r>
          </w:p>
        </w:tc>
        <w:tc>
          <w:tcPr>
            <w:tcW w:w="3966" w:type="dxa"/>
          </w:tcPr>
          <w:p w14:paraId="59915384" w14:textId="77777777" w:rsidR="003D71FB" w:rsidRPr="00982178" w:rsidRDefault="003D71FB" w:rsidP="003D71FB">
            <w:pPr>
              <w:spacing w:after="120"/>
              <w:ind w:left="144"/>
            </w:pPr>
            <w:r>
              <w:t xml:space="preserve">Clarification of the application of the tunnel restriction code for the carriage of empty </w:t>
            </w:r>
            <w:proofErr w:type="spellStart"/>
            <w:r>
              <w:t>packagings</w:t>
            </w:r>
            <w:proofErr w:type="spellEnd"/>
            <w:r>
              <w:t>, uncleaned, in accordance with section 5.4.1.1.6.2.1 (a) and (b) of ADR</w:t>
            </w:r>
          </w:p>
        </w:tc>
      </w:tr>
      <w:tr w:rsidR="003D71FB" w:rsidRPr="00982178" w14:paraId="6A4CA1AF" w14:textId="77777777" w:rsidTr="008C65B1">
        <w:trPr>
          <w:cantSplit/>
        </w:trPr>
        <w:tc>
          <w:tcPr>
            <w:tcW w:w="3399" w:type="dxa"/>
          </w:tcPr>
          <w:p w14:paraId="5CD9110A" w14:textId="77777777" w:rsidR="003D71FB" w:rsidRPr="00982178" w:rsidRDefault="003D71FB" w:rsidP="008C65B1">
            <w:pPr>
              <w:spacing w:after="120"/>
              <w:ind w:right="139"/>
            </w:pPr>
            <w:r w:rsidRPr="00982178">
              <w:t>ECE/TRANS/WP.15/2020/1</w:t>
            </w:r>
            <w:r>
              <w:t xml:space="preserve">3 </w:t>
            </w:r>
            <w:r w:rsidRPr="00982178">
              <w:t>(</w:t>
            </w:r>
            <w:r>
              <w:t>Spain</w:t>
            </w:r>
            <w:r w:rsidRPr="00982178">
              <w:t>)</w:t>
            </w:r>
          </w:p>
        </w:tc>
        <w:tc>
          <w:tcPr>
            <w:tcW w:w="3966" w:type="dxa"/>
          </w:tcPr>
          <w:p w14:paraId="0E6F98FC" w14:textId="77777777" w:rsidR="003D71FB" w:rsidRDefault="003D71FB" w:rsidP="003D71FB">
            <w:pPr>
              <w:spacing w:after="120"/>
              <w:ind w:left="144"/>
            </w:pPr>
            <w:r w:rsidRPr="003D71FB">
              <w:t>Chapter 7.2 – Provisions concerning carriage in packages</w:t>
            </w:r>
          </w:p>
        </w:tc>
      </w:tr>
    </w:tbl>
    <w:p w14:paraId="18E3A1E0" w14:textId="77777777" w:rsidR="003A2CC1" w:rsidRPr="00982178" w:rsidRDefault="003A2CC1" w:rsidP="003A2CC1">
      <w:pPr>
        <w:keepNext/>
        <w:keepLines/>
        <w:tabs>
          <w:tab w:val="right" w:pos="851"/>
        </w:tabs>
        <w:spacing w:before="360" w:after="240" w:line="300" w:lineRule="exact"/>
        <w:ind w:left="1134" w:right="1134" w:hanging="1134"/>
        <w:rPr>
          <w:b/>
          <w:sz w:val="28"/>
        </w:rPr>
      </w:pPr>
      <w:r w:rsidRPr="00982178">
        <w:rPr>
          <w:b/>
          <w:sz w:val="28"/>
        </w:rPr>
        <w:tab/>
        <w:t>6.</w:t>
      </w:r>
      <w:r w:rsidRPr="00982178">
        <w:rPr>
          <w:b/>
          <w:sz w:val="28"/>
        </w:rPr>
        <w:tab/>
        <w:t>Interpretation of ADR</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3A2CC1" w:rsidRPr="00982178" w14:paraId="1B44DD11" w14:textId="77777777" w:rsidTr="008C65B1">
        <w:trPr>
          <w:cantSplit/>
        </w:trPr>
        <w:tc>
          <w:tcPr>
            <w:tcW w:w="3399" w:type="dxa"/>
          </w:tcPr>
          <w:p w14:paraId="6FC5C60B" w14:textId="77777777" w:rsidR="003A2CC1" w:rsidRPr="00982178" w:rsidRDefault="003A2CC1" w:rsidP="008C65B1">
            <w:pPr>
              <w:spacing w:after="120"/>
              <w:ind w:right="139"/>
            </w:pPr>
            <w:r w:rsidRPr="00982178">
              <w:t>ECE/TRANS/WP.15/2020/2 (Turkey)</w:t>
            </w:r>
          </w:p>
        </w:tc>
        <w:tc>
          <w:tcPr>
            <w:tcW w:w="3966" w:type="dxa"/>
          </w:tcPr>
          <w:p w14:paraId="114B92A1" w14:textId="77777777" w:rsidR="003A2CC1" w:rsidRPr="00982178" w:rsidRDefault="003A2CC1" w:rsidP="008C65B1">
            <w:pPr>
              <w:spacing w:after="120"/>
              <w:ind w:left="144"/>
            </w:pPr>
            <w:r w:rsidRPr="00982178">
              <w:t>Requirements for the construction or testing of the protective compartment / containment system in accordance with 7.5.2.2, note a</w:t>
            </w:r>
          </w:p>
        </w:tc>
      </w:tr>
      <w:tr w:rsidR="003A2CC1" w:rsidRPr="00982178" w14:paraId="0AEFC6FF" w14:textId="77777777" w:rsidTr="008C65B1">
        <w:trPr>
          <w:cantSplit/>
        </w:trPr>
        <w:tc>
          <w:tcPr>
            <w:tcW w:w="3399" w:type="dxa"/>
          </w:tcPr>
          <w:p w14:paraId="3BE19FF4" w14:textId="77777777" w:rsidR="003A2CC1" w:rsidRPr="00982178" w:rsidRDefault="003A2CC1" w:rsidP="008C65B1">
            <w:pPr>
              <w:spacing w:after="120"/>
              <w:ind w:right="139"/>
            </w:pPr>
            <w:r w:rsidRPr="00982178">
              <w:t>ECE/TRANS/WP.15/2020/6 (COSTHA)</w:t>
            </w:r>
          </w:p>
        </w:tc>
        <w:tc>
          <w:tcPr>
            <w:tcW w:w="3966" w:type="dxa"/>
          </w:tcPr>
          <w:p w14:paraId="59C2381E" w14:textId="77777777" w:rsidR="003A2CC1" w:rsidRPr="00982178" w:rsidRDefault="003A2CC1" w:rsidP="008C65B1">
            <w:pPr>
              <w:spacing w:after="120"/>
              <w:ind w:left="144"/>
            </w:pPr>
            <w:r w:rsidRPr="00982178">
              <w:t>Interpretation problem in sub-section 7.5.2.3</w:t>
            </w:r>
          </w:p>
        </w:tc>
      </w:tr>
      <w:tr w:rsidR="003A2CC1" w:rsidRPr="00982178" w14:paraId="2A3F6384" w14:textId="77777777" w:rsidTr="008C65B1">
        <w:trPr>
          <w:cantSplit/>
        </w:trPr>
        <w:tc>
          <w:tcPr>
            <w:tcW w:w="3399" w:type="dxa"/>
          </w:tcPr>
          <w:p w14:paraId="2BB1CDEC" w14:textId="77777777" w:rsidR="003A2CC1" w:rsidRPr="00982178" w:rsidRDefault="003A2CC1" w:rsidP="008C65B1">
            <w:pPr>
              <w:spacing w:after="120"/>
              <w:ind w:right="139"/>
            </w:pPr>
            <w:r w:rsidRPr="00982178">
              <w:t>ECE/TRANS/WP.15/2020/9 (Switzerland)</w:t>
            </w:r>
          </w:p>
        </w:tc>
        <w:tc>
          <w:tcPr>
            <w:tcW w:w="3966" w:type="dxa"/>
          </w:tcPr>
          <w:p w14:paraId="5F35B3CB" w14:textId="77777777" w:rsidR="003A2CC1" w:rsidRPr="00982178" w:rsidRDefault="003A2CC1" w:rsidP="008C65B1">
            <w:pPr>
              <w:spacing w:after="120"/>
              <w:ind w:left="144"/>
            </w:pPr>
            <w:r w:rsidRPr="00982178">
              <w:t>Interpretation of 5.4.1.1.1 (f)</w:t>
            </w:r>
          </w:p>
        </w:tc>
      </w:tr>
    </w:tbl>
    <w:p w14:paraId="5CD98097" w14:textId="77777777" w:rsidR="003A2CC1" w:rsidRPr="00982178" w:rsidRDefault="003A2CC1" w:rsidP="003A2CC1">
      <w:pPr>
        <w:keepNext/>
        <w:keepLines/>
        <w:tabs>
          <w:tab w:val="right" w:pos="851"/>
        </w:tabs>
        <w:spacing w:before="360" w:after="240" w:line="300" w:lineRule="exact"/>
        <w:ind w:left="1134" w:right="1134" w:hanging="1134"/>
        <w:rPr>
          <w:b/>
          <w:sz w:val="28"/>
        </w:rPr>
      </w:pPr>
      <w:r w:rsidRPr="00982178">
        <w:rPr>
          <w:b/>
          <w:sz w:val="28"/>
        </w:rPr>
        <w:tab/>
        <w:t>7.</w:t>
      </w:r>
      <w:r w:rsidRPr="00982178">
        <w:rPr>
          <w:b/>
          <w:sz w:val="28"/>
        </w:rPr>
        <w:tab/>
        <w:t>Programme of work</w:t>
      </w:r>
    </w:p>
    <w:p w14:paraId="1F26FF31" w14:textId="69A3558B" w:rsidR="003A2CC1" w:rsidRDefault="003A2CC1" w:rsidP="003A2CC1">
      <w:pPr>
        <w:pStyle w:val="SingleTxtG"/>
      </w:pPr>
      <w:r w:rsidRPr="00982178">
        <w:tab/>
      </w:r>
      <w:r w:rsidRPr="00982178">
        <w:tab/>
        <w:t>At the time of writing, no document has been submitted under this agenda item.</w:t>
      </w:r>
      <w:r>
        <w:t xml:space="preserve"> The Working Party may wish to adopt its programme of work for its next session </w:t>
      </w:r>
      <w:r w:rsidR="005B7F6C">
        <w:t>and</w:t>
      </w:r>
      <w:r>
        <w:t xml:space="preserve"> discuss its meeting schedule for 2021.</w:t>
      </w:r>
      <w:bookmarkStart w:id="0" w:name="_GoBack"/>
      <w:bookmarkEnd w:id="0"/>
    </w:p>
    <w:p w14:paraId="3618C894" w14:textId="77777777" w:rsidR="003A2CC1" w:rsidRPr="00982178" w:rsidRDefault="003A2CC1" w:rsidP="003A2CC1">
      <w:pPr>
        <w:keepNext/>
        <w:keepLines/>
        <w:tabs>
          <w:tab w:val="right" w:pos="851"/>
        </w:tabs>
        <w:spacing w:before="360" w:after="240" w:line="300" w:lineRule="exact"/>
        <w:ind w:left="1134" w:right="1134" w:hanging="1134"/>
        <w:rPr>
          <w:b/>
          <w:sz w:val="28"/>
        </w:rPr>
      </w:pPr>
      <w:r w:rsidRPr="00982178">
        <w:rPr>
          <w:b/>
          <w:sz w:val="28"/>
        </w:rPr>
        <w:tab/>
        <w:t>8.</w:t>
      </w:r>
      <w:r w:rsidRPr="00982178">
        <w:rPr>
          <w:b/>
          <w:sz w:val="28"/>
        </w:rPr>
        <w:tab/>
        <w:t>Any other business.</w:t>
      </w:r>
    </w:p>
    <w:p w14:paraId="6FD39E12" w14:textId="77777777" w:rsidR="003A2CC1" w:rsidRPr="00982178" w:rsidRDefault="003A2CC1" w:rsidP="003A2CC1">
      <w:pPr>
        <w:pStyle w:val="SingleTxtG"/>
      </w:pPr>
      <w:r w:rsidRPr="00982178">
        <w:tab/>
      </w:r>
      <w:r w:rsidRPr="00982178">
        <w:tab/>
        <w:t>At the time of writing, no document has been submitted under this agenda item.</w:t>
      </w:r>
    </w:p>
    <w:p w14:paraId="2463FD3F" w14:textId="77777777" w:rsidR="003D71FB" w:rsidRDefault="003D71FB" w:rsidP="003D71FB">
      <w:pPr>
        <w:keepNext/>
        <w:keepLines/>
        <w:tabs>
          <w:tab w:val="right" w:pos="851"/>
        </w:tabs>
        <w:spacing w:before="360" w:after="240" w:line="300" w:lineRule="exact"/>
        <w:ind w:left="1134" w:right="1134" w:hanging="1134"/>
        <w:rPr>
          <w:b/>
          <w:sz w:val="28"/>
        </w:rPr>
      </w:pPr>
      <w:r w:rsidRPr="00A64D4D">
        <w:rPr>
          <w:b/>
          <w:sz w:val="28"/>
        </w:rPr>
        <w:tab/>
        <w:t>9.</w:t>
      </w:r>
      <w:r w:rsidRPr="00A64D4D">
        <w:rPr>
          <w:b/>
          <w:sz w:val="28"/>
        </w:rPr>
        <w:tab/>
      </w:r>
      <w:r w:rsidRPr="007E715A">
        <w:rPr>
          <w:b/>
          <w:sz w:val="28"/>
        </w:rPr>
        <w:t>Election of officers for 20</w:t>
      </w:r>
      <w:r>
        <w:rPr>
          <w:b/>
          <w:sz w:val="28"/>
        </w:rPr>
        <w:t>21</w:t>
      </w:r>
    </w:p>
    <w:p w14:paraId="2AF71229" w14:textId="77777777" w:rsidR="003D71FB" w:rsidRPr="00A64D4D" w:rsidRDefault="003D71FB" w:rsidP="003D71FB">
      <w:pPr>
        <w:pStyle w:val="SingleTxtG"/>
        <w:ind w:firstLine="567"/>
      </w:pPr>
      <w:r>
        <w:t>In accordance with Chapter V of the Rules and Procedures of the Working Party, as contained in document ECE/TRANS/WP.15/190/Add.1, the Working Party will elect a Chairperson and a vice-Chairperson for 2021.</w:t>
      </w:r>
    </w:p>
    <w:p w14:paraId="6380722E" w14:textId="77777777" w:rsidR="003A2CC1" w:rsidRPr="00982178" w:rsidRDefault="003A2CC1" w:rsidP="003A2CC1">
      <w:pPr>
        <w:keepNext/>
        <w:keepLines/>
        <w:tabs>
          <w:tab w:val="right" w:pos="851"/>
        </w:tabs>
        <w:spacing w:before="360" w:after="240" w:line="300" w:lineRule="exact"/>
        <w:ind w:left="1134" w:right="1134" w:hanging="1134"/>
        <w:rPr>
          <w:b/>
          <w:sz w:val="28"/>
        </w:rPr>
      </w:pPr>
      <w:r w:rsidRPr="00982178">
        <w:rPr>
          <w:b/>
          <w:sz w:val="28"/>
        </w:rPr>
        <w:tab/>
      </w:r>
      <w:r w:rsidR="003D71FB">
        <w:rPr>
          <w:b/>
          <w:sz w:val="28"/>
        </w:rPr>
        <w:t>10</w:t>
      </w:r>
      <w:r w:rsidRPr="00982178">
        <w:rPr>
          <w:b/>
          <w:sz w:val="28"/>
        </w:rPr>
        <w:t>.</w:t>
      </w:r>
      <w:r w:rsidRPr="00982178">
        <w:rPr>
          <w:b/>
          <w:sz w:val="28"/>
        </w:rPr>
        <w:tab/>
        <w:t>Adoption of the report</w:t>
      </w:r>
    </w:p>
    <w:p w14:paraId="51A92CE5" w14:textId="77777777" w:rsidR="003A2CC1" w:rsidRDefault="003A2CC1" w:rsidP="003A2CC1">
      <w:pPr>
        <w:pStyle w:val="SingleTxtG"/>
      </w:pPr>
      <w:r w:rsidRPr="00982178">
        <w:tab/>
      </w:r>
      <w:r w:rsidRPr="00982178">
        <w:tab/>
        <w:t xml:space="preserve">The Working Party may wish to adopt the report of its 108th session based on a draft prepared by the secretariat. </w:t>
      </w:r>
    </w:p>
    <w:p w14:paraId="622C3364" w14:textId="77777777" w:rsidR="003D71FB" w:rsidRPr="003D71FB" w:rsidRDefault="003D71FB" w:rsidP="003D71FB">
      <w:pPr>
        <w:spacing w:before="240"/>
        <w:jc w:val="center"/>
        <w:rPr>
          <w:u w:val="single"/>
        </w:rPr>
      </w:pPr>
      <w:r>
        <w:rPr>
          <w:u w:val="single"/>
        </w:rPr>
        <w:tab/>
      </w:r>
      <w:r>
        <w:rPr>
          <w:u w:val="single"/>
        </w:rPr>
        <w:tab/>
      </w:r>
      <w:r>
        <w:rPr>
          <w:u w:val="single"/>
        </w:rPr>
        <w:tab/>
      </w:r>
    </w:p>
    <w:p w14:paraId="54BC7A3D" w14:textId="77777777" w:rsidR="001C6663" w:rsidRPr="007147F4" w:rsidRDefault="001C6663" w:rsidP="00C411EB"/>
    <w:sectPr w:rsidR="001C6663" w:rsidRPr="007147F4" w:rsidSect="00F2163E">
      <w:headerReference w:type="even" r:id="rId10"/>
      <w:headerReference w:type="default" r:id="rId11"/>
      <w:footerReference w:type="even" r:id="rId12"/>
      <w:footerReference w:type="default" r:id="rId13"/>
      <w:endnotePr>
        <w:numFmt w:val="decimal"/>
      </w:endnotePr>
      <w:pgSz w:w="11907" w:h="16840" w:code="9"/>
      <w:pgMar w:top="993"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51A80" w14:textId="77777777" w:rsidR="007147F4" w:rsidRDefault="007147F4"/>
  </w:endnote>
  <w:endnote w:type="continuationSeparator" w:id="0">
    <w:p w14:paraId="1896CAD3" w14:textId="77777777" w:rsidR="007147F4" w:rsidRDefault="007147F4"/>
  </w:endnote>
  <w:endnote w:type="continuationNotice" w:id="1">
    <w:p w14:paraId="65908B26" w14:textId="77777777" w:rsidR="007147F4" w:rsidRDefault="007147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7C980" w14:textId="77777777" w:rsidR="007147F4" w:rsidRPr="007147F4" w:rsidRDefault="007147F4" w:rsidP="007147F4">
    <w:pPr>
      <w:pStyle w:val="Pieddepage"/>
      <w:tabs>
        <w:tab w:val="right" w:pos="9638"/>
      </w:tabs>
      <w:rPr>
        <w:sz w:val="18"/>
      </w:rPr>
    </w:pPr>
    <w:r w:rsidRPr="007147F4">
      <w:rPr>
        <w:b/>
        <w:sz w:val="18"/>
      </w:rPr>
      <w:fldChar w:fldCharType="begin"/>
    </w:r>
    <w:r w:rsidRPr="007147F4">
      <w:rPr>
        <w:b/>
        <w:sz w:val="18"/>
      </w:rPr>
      <w:instrText xml:space="preserve"> PAGE  \* MERGEFORMAT </w:instrText>
    </w:r>
    <w:r w:rsidRPr="007147F4">
      <w:rPr>
        <w:b/>
        <w:sz w:val="18"/>
      </w:rPr>
      <w:fldChar w:fldCharType="separate"/>
    </w:r>
    <w:r w:rsidRPr="007147F4">
      <w:rPr>
        <w:b/>
        <w:noProof/>
        <w:sz w:val="18"/>
      </w:rPr>
      <w:t>2</w:t>
    </w:r>
    <w:r w:rsidRPr="007147F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7FB22" w14:textId="77777777" w:rsidR="007147F4" w:rsidRPr="007147F4" w:rsidRDefault="007147F4" w:rsidP="007147F4">
    <w:pPr>
      <w:pStyle w:val="Pieddepage"/>
      <w:tabs>
        <w:tab w:val="right" w:pos="9638"/>
      </w:tabs>
      <w:rPr>
        <w:b/>
        <w:sz w:val="18"/>
      </w:rPr>
    </w:pPr>
    <w:r>
      <w:tab/>
    </w:r>
    <w:r w:rsidRPr="007147F4">
      <w:rPr>
        <w:b/>
        <w:sz w:val="18"/>
      </w:rPr>
      <w:fldChar w:fldCharType="begin"/>
    </w:r>
    <w:r w:rsidRPr="007147F4">
      <w:rPr>
        <w:b/>
        <w:sz w:val="18"/>
      </w:rPr>
      <w:instrText xml:space="preserve"> PAGE  \* MERGEFORMAT </w:instrText>
    </w:r>
    <w:r w:rsidRPr="007147F4">
      <w:rPr>
        <w:b/>
        <w:sz w:val="18"/>
      </w:rPr>
      <w:fldChar w:fldCharType="separate"/>
    </w:r>
    <w:r w:rsidRPr="007147F4">
      <w:rPr>
        <w:b/>
        <w:noProof/>
        <w:sz w:val="18"/>
      </w:rPr>
      <w:t>3</w:t>
    </w:r>
    <w:r w:rsidRPr="007147F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F341C" w14:textId="77777777" w:rsidR="007147F4" w:rsidRPr="000B175B" w:rsidRDefault="007147F4" w:rsidP="000B175B">
      <w:pPr>
        <w:tabs>
          <w:tab w:val="right" w:pos="2155"/>
        </w:tabs>
        <w:spacing w:after="80"/>
        <w:ind w:left="680"/>
        <w:rPr>
          <w:u w:val="single"/>
        </w:rPr>
      </w:pPr>
      <w:r>
        <w:rPr>
          <w:u w:val="single"/>
        </w:rPr>
        <w:tab/>
      </w:r>
    </w:p>
  </w:footnote>
  <w:footnote w:type="continuationSeparator" w:id="0">
    <w:p w14:paraId="1D613197" w14:textId="77777777" w:rsidR="007147F4" w:rsidRPr="00FC68B7" w:rsidRDefault="007147F4" w:rsidP="00FC68B7">
      <w:pPr>
        <w:tabs>
          <w:tab w:val="left" w:pos="2155"/>
        </w:tabs>
        <w:spacing w:after="80"/>
        <w:ind w:left="680"/>
        <w:rPr>
          <w:u w:val="single"/>
        </w:rPr>
      </w:pPr>
      <w:r>
        <w:rPr>
          <w:u w:val="single"/>
        </w:rPr>
        <w:tab/>
      </w:r>
    </w:p>
  </w:footnote>
  <w:footnote w:type="continuationNotice" w:id="1">
    <w:p w14:paraId="18AC96FE" w14:textId="77777777" w:rsidR="007147F4" w:rsidRDefault="007147F4"/>
  </w:footnote>
  <w:footnote w:id="2">
    <w:p w14:paraId="76918220" w14:textId="77777777" w:rsidR="003A2CC1" w:rsidRPr="00E04D2F" w:rsidRDefault="003A2CC1" w:rsidP="003A2CC1">
      <w:pPr>
        <w:pStyle w:val="Notedebasdepage"/>
      </w:pPr>
      <w:r>
        <w:tab/>
      </w:r>
      <w:r>
        <w:rPr>
          <w:rStyle w:val="Appelnotedebasdep"/>
        </w:rPr>
        <w:footnoteRef/>
      </w:r>
      <w:r>
        <w:t xml:space="preserve"> </w:t>
      </w:r>
      <w:r>
        <w:tab/>
      </w:r>
      <w:hyperlink r:id="rId1" w:history="1">
        <w:r>
          <w:rPr>
            <w:rStyle w:val="Lienhypertexte"/>
          </w:rPr>
          <w:t>https://treaties.un.org/Pages/ViewDetails.aspx?src=TREATY&amp;mtdsg_no=XI-B-14&amp;chapter=11&amp;clang=_en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F2A4" w14:textId="77777777" w:rsidR="007147F4" w:rsidRPr="007147F4" w:rsidRDefault="005B7F6C">
    <w:pPr>
      <w:pStyle w:val="En-tte"/>
    </w:pPr>
    <w:r>
      <w:fldChar w:fldCharType="begin"/>
    </w:r>
    <w:r>
      <w:instrText xml:space="preserve"> TITLE  \* MERGEFORMAT </w:instrText>
    </w:r>
    <w:r>
      <w:fldChar w:fldCharType="separate"/>
    </w:r>
    <w:r w:rsidR="007147F4">
      <w:t>ECE/TRANS/WP.15/250/Add.1/Rev.1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4F508" w14:textId="77777777" w:rsidR="007147F4" w:rsidRPr="007147F4" w:rsidRDefault="005B7F6C" w:rsidP="007147F4">
    <w:pPr>
      <w:pStyle w:val="En-tte"/>
      <w:jc w:val="right"/>
    </w:pPr>
    <w:r>
      <w:fldChar w:fldCharType="begin"/>
    </w:r>
    <w:r>
      <w:instrText xml:space="preserve"> TITLE  \* MERGEFORMAT </w:instrText>
    </w:r>
    <w:r>
      <w:fldChar w:fldCharType="separate"/>
    </w:r>
    <w:r w:rsidR="007147F4">
      <w:t>ECE/TRANS/WP.15/250/Add.1/Rev.1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F4"/>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16F3"/>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2CC1"/>
    <w:rsid w:val="003A46BB"/>
    <w:rsid w:val="003A4EC7"/>
    <w:rsid w:val="003A7295"/>
    <w:rsid w:val="003B1F60"/>
    <w:rsid w:val="003C2CC4"/>
    <w:rsid w:val="003D4B23"/>
    <w:rsid w:val="003D71FB"/>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B7F6C"/>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147F4"/>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63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4BBDBC"/>
  <w15:docId w15:val="{B0FD0DE1-D600-4B7F-9A00-193BC1E4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Titre1">
    <w:name w:val="heading 1"/>
    <w:aliases w:val="Table_G"/>
    <w:basedOn w:val="SingleTxtG"/>
    <w:next w:val="SingleTxtG"/>
    <w:qFormat/>
    <w:rsid w:val="00E925AD"/>
    <w:pPr>
      <w:spacing w:after="0" w:line="240" w:lineRule="auto"/>
      <w:ind w:right="0"/>
      <w:jc w:val="left"/>
      <w:outlineLvl w:val="0"/>
    </w:pPr>
  </w:style>
  <w:style w:type="paragraph" w:styleId="Titre2">
    <w:name w:val="heading 2"/>
    <w:basedOn w:val="Normal"/>
    <w:next w:val="Normal"/>
    <w:semiHidden/>
    <w:qFormat/>
    <w:rsid w:val="00E925AD"/>
    <w:pPr>
      <w:spacing w:line="240" w:lineRule="auto"/>
      <w:outlineLvl w:val="1"/>
    </w:pPr>
  </w:style>
  <w:style w:type="paragraph" w:styleId="Titre3">
    <w:name w:val="heading 3"/>
    <w:basedOn w:val="Normal"/>
    <w:next w:val="Normal"/>
    <w:semiHidden/>
    <w:qFormat/>
    <w:rsid w:val="00E925AD"/>
    <w:pPr>
      <w:spacing w:line="240" w:lineRule="auto"/>
      <w:outlineLvl w:val="2"/>
    </w:pPr>
  </w:style>
  <w:style w:type="paragraph" w:styleId="Titre4">
    <w:name w:val="heading 4"/>
    <w:basedOn w:val="Normal"/>
    <w:next w:val="Normal"/>
    <w:semiHidden/>
    <w:qFormat/>
    <w:rsid w:val="00E925AD"/>
    <w:pPr>
      <w:spacing w:line="240" w:lineRule="auto"/>
      <w:outlineLvl w:val="3"/>
    </w:pPr>
  </w:style>
  <w:style w:type="paragraph" w:styleId="Titre5">
    <w:name w:val="heading 5"/>
    <w:basedOn w:val="Normal"/>
    <w:next w:val="Normal"/>
    <w:semiHidden/>
    <w:qFormat/>
    <w:rsid w:val="00E925AD"/>
    <w:pPr>
      <w:spacing w:line="240" w:lineRule="auto"/>
      <w:outlineLvl w:val="4"/>
    </w:pPr>
  </w:style>
  <w:style w:type="paragraph" w:styleId="Titre6">
    <w:name w:val="heading 6"/>
    <w:basedOn w:val="Normal"/>
    <w:next w:val="Normal"/>
    <w:semiHidden/>
    <w:qFormat/>
    <w:rsid w:val="00E925AD"/>
    <w:pPr>
      <w:spacing w:line="240" w:lineRule="auto"/>
      <w:outlineLvl w:val="5"/>
    </w:pPr>
  </w:style>
  <w:style w:type="paragraph" w:styleId="Titre7">
    <w:name w:val="heading 7"/>
    <w:basedOn w:val="Normal"/>
    <w:next w:val="Normal"/>
    <w:semiHidden/>
    <w:qFormat/>
    <w:rsid w:val="00E925AD"/>
    <w:pPr>
      <w:spacing w:line="240" w:lineRule="auto"/>
      <w:outlineLvl w:val="6"/>
    </w:pPr>
  </w:style>
  <w:style w:type="paragraph" w:styleId="Titre8">
    <w:name w:val="heading 8"/>
    <w:basedOn w:val="Normal"/>
    <w:next w:val="Normal"/>
    <w:semiHidden/>
    <w:qFormat/>
    <w:rsid w:val="00E925AD"/>
    <w:pPr>
      <w:spacing w:line="240" w:lineRule="auto"/>
      <w:outlineLvl w:val="7"/>
    </w:pPr>
  </w:style>
  <w:style w:type="paragraph" w:styleId="Titre9">
    <w:name w:val="heading 9"/>
    <w:basedOn w:val="Normal"/>
    <w:next w:val="Normal"/>
    <w:semiHidden/>
    <w:qFormat/>
    <w:rsid w:val="00E925A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Appeldenotedefin">
    <w:name w:val="endnote reference"/>
    <w:aliases w:val="1_G"/>
    <w:basedOn w:val="Appelnotedebasdep"/>
    <w:qFormat/>
    <w:rsid w:val="00E925AD"/>
    <w:rPr>
      <w:rFonts w:ascii="Times New Roman" w:hAnsi="Times New Roman"/>
      <w:sz w:val="18"/>
      <w:vertAlign w:val="superscript"/>
    </w:rPr>
  </w:style>
  <w:style w:type="character" w:styleId="Appelnotedebasdep">
    <w:name w:val="footnote reference"/>
    <w:aliases w:val="4_G,Footnote Reference/"/>
    <w:basedOn w:val="Policepardfaut"/>
    <w:uiPriority w:val="99"/>
    <w:qFormat/>
    <w:rsid w:val="00E925AD"/>
    <w:rPr>
      <w:rFonts w:ascii="Times New Roman" w:hAnsi="Times New Roman"/>
      <w:sz w:val="18"/>
      <w:vertAlign w:val="superscript"/>
    </w:rPr>
  </w:style>
  <w:style w:type="paragraph" w:styleId="Notedebasdepage">
    <w:name w:val="footnote text"/>
    <w:aliases w:val="5_G"/>
    <w:basedOn w:val="Normal"/>
    <w:link w:val="NotedebasdepageC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Notedefin">
    <w:name w:val="endnote text"/>
    <w:aliases w:val="2_G"/>
    <w:basedOn w:val="Notedebasdepage"/>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Lienhypertexte">
    <w:name w:val="Hyperlink"/>
    <w:basedOn w:val="Policepardfaut"/>
    <w:rsid w:val="008A77AE"/>
    <w:rPr>
      <w:color w:val="0000FF"/>
      <w:u w:val="none"/>
    </w:rPr>
  </w:style>
  <w:style w:type="paragraph" w:styleId="Pieddepage">
    <w:name w:val="footer"/>
    <w:aliases w:val="3_G"/>
    <w:basedOn w:val="Normal"/>
    <w:qFormat/>
    <w:rsid w:val="00E925AD"/>
    <w:pPr>
      <w:spacing w:line="240" w:lineRule="auto"/>
    </w:pPr>
    <w:rPr>
      <w:sz w:val="16"/>
    </w:rPr>
  </w:style>
  <w:style w:type="paragraph" w:styleId="En-tte">
    <w:name w:val="header"/>
    <w:aliases w:val="6_G"/>
    <w:basedOn w:val="Normal"/>
    <w:qFormat/>
    <w:rsid w:val="00E925AD"/>
    <w:pPr>
      <w:pBdr>
        <w:bottom w:val="single" w:sz="4" w:space="4" w:color="auto"/>
      </w:pBdr>
      <w:spacing w:line="240" w:lineRule="auto"/>
    </w:pPr>
    <w:rPr>
      <w:b/>
      <w:sz w:val="18"/>
    </w:rPr>
  </w:style>
  <w:style w:type="table" w:styleId="Grilledutableau">
    <w:name w:val="Table Grid"/>
    <w:basedOn w:val="Tableau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rsid w:val="008A77AE"/>
    <w:rPr>
      <w:color w:val="0000FF"/>
      <w:u w:val="none"/>
    </w:rPr>
  </w:style>
  <w:style w:type="paragraph" w:styleId="Textedebulles">
    <w:name w:val="Balloon Text"/>
    <w:basedOn w:val="Normal"/>
    <w:link w:val="TextedebullesCar"/>
    <w:semiHidden/>
    <w:rsid w:val="0065766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NotedebasdepageCar">
    <w:name w:val="Note de bas de page Car"/>
    <w:aliases w:val="5_G Car"/>
    <w:basedOn w:val="Policepardfaut"/>
    <w:link w:val="Notedebasdepage"/>
    <w:uiPriority w:val="99"/>
    <w:locked/>
    <w:rsid w:val="003A2CC1"/>
    <w:rPr>
      <w:sz w:val="18"/>
      <w:lang w:val="en-GB"/>
    </w:rPr>
  </w:style>
  <w:style w:type="character" w:styleId="Mentionnonrsolue">
    <w:name w:val="Unresolved Mention"/>
    <w:basedOn w:val="Policepardfaut"/>
    <w:uiPriority w:val="99"/>
    <w:semiHidden/>
    <w:unhideWhenUsed/>
    <w:rsid w:val="003A2CC1"/>
    <w:rPr>
      <w:color w:val="605E5C"/>
      <w:shd w:val="clear" w:color="auto" w:fill="E1DFDD"/>
    </w:rPr>
  </w:style>
  <w:style w:type="character" w:customStyle="1" w:styleId="SingleTxtGCar">
    <w:name w:val="_ Single Txt_G Car"/>
    <w:locked/>
    <w:rsid w:val="003D71F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ns/main/dgdb/wp15/wp15inf108.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reaties.un.org/Pages/ViewDetails.aspx?src=TREATY&amp;mtdsg_no=XI-B-14&amp;chapter=11&amp;clang=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8C01-022E-4C13-A764-EB2C1513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25</TotalTime>
  <Pages>3</Pages>
  <Words>763</Words>
  <Characters>4197</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ECE/TRANS/WP.15/250/Add.1/Rev.1</vt:lpstr>
      <vt:lpstr>United Nations</vt:lpstr>
    </vt:vector>
  </TitlesOfParts>
  <Company>CSD</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ECE/TRANS/WP.15/250/Add.1/Rev.1</dc:title>
  <dc:creator>UNECE SM</dc:creator>
  <cp:lastModifiedBy>UNECE SM</cp:lastModifiedBy>
  <cp:revision>5</cp:revision>
  <cp:lastPrinted>2009-02-18T09:36:00Z</cp:lastPrinted>
  <dcterms:created xsi:type="dcterms:W3CDTF">2020-08-28T11:51:00Z</dcterms:created>
  <dcterms:modified xsi:type="dcterms:W3CDTF">2020-08-31T12:34:00Z</dcterms:modified>
</cp:coreProperties>
</file>