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77D2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77D20" w:rsidP="00677D20">
            <w:pPr>
              <w:jc w:val="right"/>
            </w:pPr>
            <w:r w:rsidRPr="00677D20">
              <w:rPr>
                <w:sz w:val="40"/>
              </w:rPr>
              <w:t>ECE</w:t>
            </w:r>
            <w:r>
              <w:t>/TRANS/WP.15/250/Add.1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77D20" w:rsidP="00C97039">
            <w:pPr>
              <w:spacing w:before="240"/>
            </w:pPr>
            <w:r>
              <w:t>Distr. générale</w:t>
            </w:r>
          </w:p>
          <w:p w:rsidR="00677D20" w:rsidRDefault="00677D20" w:rsidP="00677D20">
            <w:pPr>
              <w:spacing w:line="240" w:lineRule="exact"/>
            </w:pPr>
            <w:r>
              <w:t>27 février 2020</w:t>
            </w:r>
          </w:p>
          <w:p w:rsidR="00677D20" w:rsidRDefault="00677D20" w:rsidP="00677D20">
            <w:pPr>
              <w:spacing w:line="240" w:lineRule="exact"/>
            </w:pPr>
            <w:r>
              <w:t>Français</w:t>
            </w:r>
          </w:p>
          <w:p w:rsidR="00677D20" w:rsidRPr="00DB58B5" w:rsidRDefault="00677D20" w:rsidP="00677D2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31CB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77D20" w:rsidRPr="00677D20" w:rsidRDefault="00677D20" w:rsidP="00677D20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eastAsia="fr-FR"/>
        </w:rPr>
      </w:pPr>
      <w:r w:rsidRPr="00677D20">
        <w:rPr>
          <w:rFonts w:eastAsia="Times New Roman"/>
          <w:b/>
          <w:sz w:val="24"/>
          <w:szCs w:val="24"/>
          <w:lang w:eastAsia="fr-FR"/>
        </w:rPr>
        <w:t>Groupe de travail des transports de marchandises dangereuses</w:t>
      </w:r>
    </w:p>
    <w:p w:rsidR="00677D20" w:rsidRPr="00F965F4" w:rsidRDefault="00677D20" w:rsidP="00677D20">
      <w:pPr>
        <w:kinsoku/>
        <w:overflowPunct/>
        <w:autoSpaceDE/>
        <w:autoSpaceDN/>
        <w:adjustRightInd/>
        <w:snapToGrid/>
        <w:spacing w:before="120" w:line="276" w:lineRule="auto"/>
        <w:rPr>
          <w:rFonts w:eastAsia="Times New Roman"/>
          <w:b/>
          <w:szCs w:val="24"/>
          <w:lang w:eastAsia="fr-FR"/>
        </w:rPr>
      </w:pPr>
      <w:r w:rsidRPr="00F965F4">
        <w:rPr>
          <w:rFonts w:eastAsia="Times New Roman"/>
          <w:b/>
          <w:szCs w:val="24"/>
          <w:lang w:eastAsia="fr-FR"/>
        </w:rPr>
        <w:t>108</w:t>
      </w:r>
      <w:r w:rsidRPr="00831CB9">
        <w:rPr>
          <w:rFonts w:eastAsia="Times New Roman"/>
          <w:b/>
          <w:szCs w:val="24"/>
          <w:vertAlign w:val="superscript"/>
          <w:lang w:eastAsia="fr-FR"/>
        </w:rPr>
        <w:t>e</w:t>
      </w:r>
      <w:r w:rsidR="00831CB9">
        <w:rPr>
          <w:rFonts w:eastAsia="Times New Roman"/>
          <w:b/>
          <w:szCs w:val="24"/>
          <w:lang w:eastAsia="fr-FR"/>
        </w:rPr>
        <w:t> </w:t>
      </w:r>
      <w:r w:rsidRPr="00F965F4">
        <w:rPr>
          <w:rFonts w:eastAsia="Times New Roman"/>
          <w:b/>
          <w:szCs w:val="24"/>
          <w:lang w:eastAsia="fr-FR"/>
        </w:rPr>
        <w:t>session</w:t>
      </w:r>
    </w:p>
    <w:p w:rsidR="00677D20" w:rsidRPr="00F965F4" w:rsidRDefault="00677D20" w:rsidP="00677D20">
      <w:pPr>
        <w:kinsoku/>
        <w:overflowPunct/>
        <w:autoSpaceDE/>
        <w:autoSpaceDN/>
        <w:adjustRightInd/>
        <w:snapToGrid/>
        <w:spacing w:line="276" w:lineRule="auto"/>
        <w:rPr>
          <w:rFonts w:eastAsia="Times New Roman"/>
          <w:szCs w:val="24"/>
          <w:lang w:eastAsia="fr-FR"/>
        </w:rPr>
      </w:pPr>
      <w:r w:rsidRPr="00F965F4">
        <w:rPr>
          <w:rFonts w:eastAsia="Times New Roman"/>
          <w:szCs w:val="24"/>
          <w:lang w:eastAsia="fr-FR"/>
        </w:rPr>
        <w:t>Genève, 11-15</w:t>
      </w:r>
      <w:r w:rsidR="00831CB9">
        <w:rPr>
          <w:rFonts w:eastAsia="Times New Roman"/>
          <w:szCs w:val="24"/>
          <w:lang w:eastAsia="fr-FR"/>
        </w:rPr>
        <w:t> </w:t>
      </w:r>
      <w:r w:rsidRPr="00F965F4">
        <w:rPr>
          <w:rFonts w:eastAsia="Times New Roman"/>
          <w:szCs w:val="24"/>
          <w:lang w:eastAsia="fr-FR"/>
        </w:rPr>
        <w:t>mai 2020</w:t>
      </w:r>
    </w:p>
    <w:p w:rsidR="00677D20" w:rsidRPr="00F965F4" w:rsidRDefault="00677D20" w:rsidP="00677D20">
      <w:pPr>
        <w:kinsoku/>
        <w:overflowPunct/>
        <w:autoSpaceDE/>
        <w:autoSpaceDN/>
        <w:adjustRightInd/>
        <w:snapToGrid/>
        <w:spacing w:line="276" w:lineRule="auto"/>
        <w:rPr>
          <w:rFonts w:eastAsia="Times New Roman"/>
          <w:szCs w:val="24"/>
          <w:lang w:eastAsia="fr-FR"/>
        </w:rPr>
      </w:pPr>
      <w:r w:rsidRPr="00F965F4">
        <w:rPr>
          <w:rFonts w:eastAsia="Times New Roman"/>
          <w:szCs w:val="24"/>
          <w:lang w:eastAsia="fr-FR"/>
        </w:rPr>
        <w:t>Point 1 de l</w:t>
      </w:r>
      <w:r w:rsidR="00831CB9">
        <w:rPr>
          <w:rFonts w:eastAsia="Times New Roman"/>
          <w:szCs w:val="24"/>
          <w:lang w:eastAsia="fr-FR"/>
        </w:rPr>
        <w:t>’</w:t>
      </w:r>
      <w:r w:rsidRPr="00F965F4">
        <w:rPr>
          <w:rFonts w:eastAsia="Times New Roman"/>
          <w:szCs w:val="24"/>
          <w:lang w:eastAsia="fr-FR"/>
        </w:rPr>
        <w:t>ordre du jour provisoire</w:t>
      </w:r>
    </w:p>
    <w:p w:rsidR="00677D20" w:rsidRDefault="00677D20" w:rsidP="00677D20">
      <w:pPr>
        <w:kinsoku/>
        <w:overflowPunct/>
        <w:autoSpaceDE/>
        <w:autoSpaceDN/>
        <w:adjustRightInd/>
        <w:snapToGrid/>
        <w:spacing w:line="276" w:lineRule="auto"/>
        <w:rPr>
          <w:rFonts w:eastAsia="Times New Roman"/>
          <w:b/>
          <w:szCs w:val="24"/>
          <w:lang w:eastAsia="fr-FR"/>
        </w:rPr>
      </w:pPr>
      <w:r w:rsidRPr="00F965F4">
        <w:rPr>
          <w:rFonts w:eastAsia="Times New Roman"/>
          <w:b/>
          <w:szCs w:val="24"/>
          <w:lang w:eastAsia="fr-FR"/>
        </w:rPr>
        <w:t>Adoption de l</w:t>
      </w:r>
      <w:r w:rsidR="00831CB9">
        <w:rPr>
          <w:rFonts w:eastAsia="Times New Roman"/>
          <w:b/>
          <w:szCs w:val="24"/>
          <w:lang w:eastAsia="fr-FR"/>
        </w:rPr>
        <w:t>’</w:t>
      </w:r>
      <w:r w:rsidRPr="00F965F4">
        <w:rPr>
          <w:rFonts w:eastAsia="Times New Roman"/>
          <w:b/>
          <w:szCs w:val="24"/>
          <w:lang w:eastAsia="fr-FR"/>
        </w:rPr>
        <w:t>ordre du jour</w:t>
      </w:r>
    </w:p>
    <w:p w:rsidR="00677D20" w:rsidRPr="00F965F4" w:rsidRDefault="00677D20" w:rsidP="00677D20">
      <w:pPr>
        <w:pStyle w:val="HChG"/>
        <w:rPr>
          <w:lang w:eastAsia="fr-FR"/>
        </w:rPr>
      </w:pPr>
      <w:r w:rsidRPr="00F965F4">
        <w:rPr>
          <w:lang w:eastAsia="fr-FR"/>
        </w:rPr>
        <w:tab/>
      </w:r>
      <w:r w:rsidRPr="00F965F4">
        <w:rPr>
          <w:lang w:eastAsia="fr-FR"/>
        </w:rPr>
        <w:tab/>
        <w:t>Ordre du jour provisoire de la 108</w:t>
      </w:r>
      <w:r w:rsidRPr="00F965F4">
        <w:rPr>
          <w:vertAlign w:val="superscript"/>
          <w:lang w:eastAsia="fr-FR"/>
        </w:rPr>
        <w:t>e</w:t>
      </w:r>
      <w:r w:rsidRPr="00F965F4">
        <w:rPr>
          <w:lang w:eastAsia="fr-FR"/>
        </w:rPr>
        <w:t xml:space="preserve"> session</w:t>
      </w:r>
    </w:p>
    <w:p w:rsidR="00677D20" w:rsidRPr="00F965F4" w:rsidRDefault="00677D20" w:rsidP="00677D20">
      <w:pPr>
        <w:pStyle w:val="H23G"/>
        <w:rPr>
          <w:lang w:eastAsia="fr-FR"/>
        </w:rPr>
      </w:pPr>
      <w:r w:rsidRPr="00F965F4">
        <w:rPr>
          <w:lang w:eastAsia="fr-FR"/>
        </w:rPr>
        <w:tab/>
      </w:r>
      <w:r w:rsidRPr="00F965F4">
        <w:rPr>
          <w:lang w:eastAsia="fr-FR"/>
        </w:rPr>
        <w:tab/>
        <w:t>Additif</w:t>
      </w:r>
    </w:p>
    <w:p w:rsidR="00677D20" w:rsidRPr="00F965F4" w:rsidRDefault="00677D20" w:rsidP="00677D20">
      <w:pPr>
        <w:pStyle w:val="H1G"/>
        <w:rPr>
          <w:lang w:eastAsia="fr-FR"/>
        </w:rPr>
      </w:pPr>
      <w:r w:rsidRPr="00F965F4">
        <w:rPr>
          <w:lang w:eastAsia="fr-FR"/>
        </w:rPr>
        <w:tab/>
      </w:r>
      <w:r w:rsidRPr="00F965F4">
        <w:rPr>
          <w:lang w:eastAsia="fr-FR"/>
        </w:rPr>
        <w:tab/>
        <w:t>Annotations et liste des documents</w:t>
      </w:r>
    </w:p>
    <w:p w:rsidR="00677D20" w:rsidRPr="00F965F4" w:rsidRDefault="00677D20" w:rsidP="00677D20">
      <w:pPr>
        <w:pStyle w:val="HChG"/>
        <w:rPr>
          <w:lang w:eastAsia="fr-FR"/>
        </w:rPr>
      </w:pPr>
      <w:r w:rsidRPr="00F965F4">
        <w:rPr>
          <w:lang w:eastAsia="fr-FR"/>
        </w:rPr>
        <w:tab/>
        <w:t>1.</w:t>
      </w:r>
      <w:r w:rsidRPr="00F965F4">
        <w:rPr>
          <w:lang w:eastAsia="fr-FR"/>
        </w:rPr>
        <w:tab/>
        <w:t>Adoption de l</w:t>
      </w:r>
      <w:r w:rsidR="00831CB9">
        <w:rPr>
          <w:lang w:eastAsia="fr-FR"/>
        </w:rPr>
        <w:t>’</w:t>
      </w:r>
      <w:r w:rsidRPr="00F965F4">
        <w:rPr>
          <w:lang w:eastAsia="fr-FR"/>
        </w:rPr>
        <w:t>ordre du jour</w:t>
      </w:r>
    </w:p>
    <w:p w:rsidR="00F9573C" w:rsidRDefault="00677D20" w:rsidP="00677D20">
      <w:pPr>
        <w:pStyle w:val="SingleTxtG"/>
        <w:ind w:firstLine="567"/>
        <w:rPr>
          <w:lang w:eastAsia="fr-FR"/>
        </w:rPr>
      </w:pPr>
      <w:r w:rsidRPr="00F965F4">
        <w:rPr>
          <w:lang w:eastAsia="fr-FR"/>
        </w:rPr>
        <w:t>Au vu du nombre de documents soumis pour la session, et après consultation du Bureau du Groupe de travail des transports de marchandises dangereuses, il a été décidé de réduire le nombre de jours de réunion à quatre jours et demi. En conséquence, la session se tiendra du lundi 11</w:t>
      </w:r>
      <w:r>
        <w:rPr>
          <w:lang w:eastAsia="fr-FR"/>
        </w:rPr>
        <w:t> </w:t>
      </w:r>
      <w:r w:rsidRPr="00F965F4">
        <w:rPr>
          <w:lang w:eastAsia="fr-FR"/>
        </w:rPr>
        <w:t>mai 2020 à 10</w:t>
      </w:r>
      <w:r>
        <w:rPr>
          <w:lang w:eastAsia="fr-FR"/>
        </w:rPr>
        <w:t> </w:t>
      </w:r>
      <w:r w:rsidRPr="00F965F4">
        <w:rPr>
          <w:lang w:eastAsia="fr-FR"/>
        </w:rPr>
        <w:t>heures au vendredi 15</w:t>
      </w:r>
      <w:r>
        <w:rPr>
          <w:lang w:eastAsia="fr-FR"/>
        </w:rPr>
        <w:t> </w:t>
      </w:r>
      <w:r w:rsidRPr="00F965F4">
        <w:rPr>
          <w:lang w:eastAsia="fr-FR"/>
        </w:rPr>
        <w:t>mai 2020 à 12</w:t>
      </w:r>
      <w:r>
        <w:rPr>
          <w:lang w:eastAsia="fr-FR"/>
        </w:rPr>
        <w:t> </w:t>
      </w:r>
      <w:r w:rsidRPr="00F965F4">
        <w:rPr>
          <w:lang w:eastAsia="fr-FR"/>
        </w:rPr>
        <w:t>h</w:t>
      </w:r>
      <w:r>
        <w:rPr>
          <w:lang w:eastAsia="fr-FR"/>
        </w:rPr>
        <w:t> </w:t>
      </w:r>
      <w:r w:rsidRPr="00F965F4">
        <w:rPr>
          <w:lang w:eastAsia="fr-FR"/>
        </w:rPr>
        <w:t>30.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677D20" w:rsidRPr="00F965F4" w:rsidTr="00677D20">
        <w:trPr>
          <w:cantSplit/>
        </w:trPr>
        <w:tc>
          <w:tcPr>
            <w:tcW w:w="3399" w:type="dxa"/>
            <w:hideMark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ind w:right="99"/>
              <w:rPr>
                <w:rFonts w:eastAsia="Times New Roman"/>
                <w:b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ECE/TRANS/WP.15/250 (</w:t>
            </w:r>
            <w:r>
              <w:rPr>
                <w:rFonts w:eastAsia="Times New Roman"/>
                <w:lang w:eastAsia="fr-FR"/>
              </w:rPr>
              <w:t>s</w:t>
            </w:r>
            <w:r w:rsidRPr="00F965F4">
              <w:rPr>
                <w:rFonts w:eastAsia="Times New Roman"/>
                <w:lang w:eastAsia="fr-FR"/>
              </w:rPr>
              <w:t>ecrétariat)</w:t>
            </w:r>
          </w:p>
        </w:tc>
        <w:tc>
          <w:tcPr>
            <w:tcW w:w="3966" w:type="dxa"/>
            <w:hideMark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rPr>
                <w:rFonts w:eastAsia="Times New Roman"/>
                <w:b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Ordre du jour provisoire de la 108</w:t>
            </w:r>
            <w:r w:rsidRPr="00614159">
              <w:rPr>
                <w:rFonts w:eastAsia="Times New Roman"/>
                <w:vertAlign w:val="superscript"/>
                <w:lang w:eastAsia="fr-FR"/>
              </w:rPr>
              <w:t>e</w:t>
            </w:r>
            <w:r w:rsidR="00614159">
              <w:rPr>
                <w:rFonts w:eastAsia="Times New Roman"/>
                <w:lang w:eastAsia="fr-FR"/>
              </w:rPr>
              <w:t> </w:t>
            </w:r>
            <w:r w:rsidRPr="00F965F4">
              <w:rPr>
                <w:rFonts w:eastAsia="Times New Roman"/>
                <w:lang w:eastAsia="fr-FR"/>
              </w:rPr>
              <w:t>session</w:t>
            </w:r>
          </w:p>
        </w:tc>
      </w:tr>
      <w:tr w:rsidR="00677D20" w:rsidRPr="00F965F4" w:rsidTr="00677D20">
        <w:trPr>
          <w:cantSplit/>
        </w:trPr>
        <w:tc>
          <w:tcPr>
            <w:tcW w:w="3399" w:type="dxa"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ind w:right="9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ECE/TRANS/WP.15/250/Add.1 (</w:t>
            </w:r>
            <w:r>
              <w:rPr>
                <w:rFonts w:eastAsia="Times New Roman"/>
                <w:lang w:eastAsia="fr-FR"/>
              </w:rPr>
              <w:t>s</w:t>
            </w:r>
            <w:r w:rsidRPr="00F965F4">
              <w:rPr>
                <w:rFonts w:eastAsia="Times New Roman"/>
                <w:lang w:eastAsia="fr-FR"/>
              </w:rPr>
              <w:t>ecrétariat)</w:t>
            </w:r>
          </w:p>
        </w:tc>
        <w:tc>
          <w:tcPr>
            <w:tcW w:w="3966" w:type="dxa"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Annotations et liste des documents</w:t>
            </w:r>
          </w:p>
        </w:tc>
      </w:tr>
    </w:tbl>
    <w:p w:rsidR="00677D20" w:rsidRDefault="00677D20" w:rsidP="00677D20">
      <w:pPr>
        <w:pStyle w:val="HChG"/>
        <w:rPr>
          <w:lang w:eastAsia="fr-FR"/>
        </w:rPr>
      </w:pPr>
      <w:r w:rsidRPr="00F965F4">
        <w:rPr>
          <w:lang w:eastAsia="fr-FR"/>
        </w:rPr>
        <w:tab/>
      </w:r>
      <w:r w:rsidRPr="00F965F4">
        <w:rPr>
          <w:lang w:eastAsia="fr-FR"/>
        </w:rPr>
        <w:tab/>
        <w:t>Documents de base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677D20" w:rsidRPr="00F965F4" w:rsidTr="00CD6F50">
        <w:trPr>
          <w:cantSplit/>
        </w:trPr>
        <w:tc>
          <w:tcPr>
            <w:tcW w:w="3402" w:type="dxa"/>
            <w:hideMark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ind w:right="99"/>
              <w:rPr>
                <w:rFonts w:eastAsia="Times New Roman"/>
                <w:b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ECE/TRANS/WP.15/190/Add.1 (</w:t>
            </w:r>
            <w:r>
              <w:rPr>
                <w:rFonts w:eastAsia="Times New Roman"/>
                <w:lang w:eastAsia="fr-FR"/>
              </w:rPr>
              <w:t>s</w:t>
            </w:r>
            <w:r w:rsidRPr="00F965F4">
              <w:rPr>
                <w:rFonts w:eastAsia="Times New Roman"/>
                <w:lang w:eastAsia="fr-FR"/>
              </w:rPr>
              <w:t>ecrétariat)</w:t>
            </w:r>
          </w:p>
        </w:tc>
        <w:tc>
          <w:tcPr>
            <w:tcW w:w="3969" w:type="dxa"/>
            <w:hideMark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rPr>
                <w:rFonts w:eastAsia="Times New Roman"/>
                <w:b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Mandat et Règlement intérieur du Groupe de travail des transports de marchandises dangereuses (WP.15)</w:t>
            </w:r>
          </w:p>
        </w:tc>
      </w:tr>
      <w:tr w:rsidR="00677D20" w:rsidRPr="00F965F4" w:rsidTr="00CD6F50">
        <w:trPr>
          <w:cantSplit/>
        </w:trPr>
        <w:tc>
          <w:tcPr>
            <w:tcW w:w="3402" w:type="dxa"/>
            <w:hideMark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ind w:right="9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ECE/TRANS/WP.15/248 (</w:t>
            </w:r>
            <w:r>
              <w:rPr>
                <w:rFonts w:eastAsia="Times New Roman"/>
                <w:lang w:eastAsia="fr-FR"/>
              </w:rPr>
              <w:t>s</w:t>
            </w:r>
            <w:r w:rsidRPr="00F965F4">
              <w:rPr>
                <w:rFonts w:eastAsia="Times New Roman"/>
                <w:lang w:eastAsia="fr-FR"/>
              </w:rPr>
              <w:t>ecrétariat)</w:t>
            </w:r>
          </w:p>
        </w:tc>
        <w:tc>
          <w:tcPr>
            <w:tcW w:w="3969" w:type="dxa"/>
            <w:hideMark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Rapport du Groupe de travail sur sa 107</w:t>
            </w:r>
            <w:r w:rsidRPr="00614159">
              <w:rPr>
                <w:rFonts w:eastAsia="Times New Roman"/>
                <w:vertAlign w:val="superscript"/>
                <w:lang w:eastAsia="fr-FR"/>
              </w:rPr>
              <w:t>e</w:t>
            </w:r>
            <w:r w:rsidR="00614159">
              <w:rPr>
                <w:rFonts w:eastAsia="Times New Roman"/>
                <w:lang w:eastAsia="fr-FR"/>
              </w:rPr>
              <w:t> </w:t>
            </w:r>
            <w:r w:rsidRPr="00F965F4">
              <w:rPr>
                <w:rFonts w:eastAsia="Times New Roman"/>
                <w:lang w:eastAsia="fr-FR"/>
              </w:rPr>
              <w:t>session (Genève, 6</w:t>
            </w:r>
            <w:r>
              <w:rPr>
                <w:rFonts w:eastAsia="Times New Roman"/>
                <w:lang w:eastAsia="fr-FR"/>
              </w:rPr>
              <w:t>-</w:t>
            </w:r>
            <w:r w:rsidRPr="00F965F4">
              <w:rPr>
                <w:rFonts w:eastAsia="Times New Roman"/>
                <w:lang w:eastAsia="fr-FR"/>
              </w:rPr>
              <w:t>10</w:t>
            </w:r>
            <w:r w:rsidR="00614159">
              <w:rPr>
                <w:rFonts w:eastAsia="Times New Roman"/>
                <w:lang w:eastAsia="fr-FR"/>
              </w:rPr>
              <w:t> </w:t>
            </w:r>
            <w:r w:rsidRPr="00F965F4">
              <w:rPr>
                <w:rFonts w:eastAsia="Times New Roman"/>
                <w:lang w:eastAsia="fr-FR"/>
              </w:rPr>
              <w:t>novembre 2019)</w:t>
            </w:r>
          </w:p>
        </w:tc>
      </w:tr>
      <w:tr w:rsidR="00677D20" w:rsidRPr="00F965F4" w:rsidTr="00CD6F50">
        <w:trPr>
          <w:cantSplit/>
        </w:trPr>
        <w:tc>
          <w:tcPr>
            <w:tcW w:w="3402" w:type="dxa"/>
            <w:hideMark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ind w:right="9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ECE/TRANS/275</w:t>
            </w:r>
          </w:p>
        </w:tc>
        <w:tc>
          <w:tcPr>
            <w:tcW w:w="3969" w:type="dxa"/>
            <w:hideMark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ADR en vigueur le 1</w:t>
            </w:r>
            <w:r w:rsidRPr="00614159">
              <w:rPr>
                <w:rFonts w:eastAsia="Times New Roman"/>
                <w:vertAlign w:val="superscript"/>
                <w:lang w:eastAsia="fr-FR"/>
              </w:rPr>
              <w:t>er</w:t>
            </w:r>
            <w:r w:rsidR="00614159">
              <w:rPr>
                <w:rFonts w:eastAsia="Times New Roman"/>
                <w:lang w:eastAsia="fr-FR"/>
              </w:rPr>
              <w:t> </w:t>
            </w:r>
            <w:r w:rsidRPr="00F965F4">
              <w:rPr>
                <w:rFonts w:eastAsia="Times New Roman"/>
                <w:lang w:eastAsia="fr-FR"/>
              </w:rPr>
              <w:t>janvier 2019</w:t>
            </w:r>
          </w:p>
        </w:tc>
      </w:tr>
      <w:tr w:rsidR="00677D20" w:rsidRPr="00F965F4" w:rsidTr="00CD6F50">
        <w:trPr>
          <w:cantSplit/>
        </w:trPr>
        <w:tc>
          <w:tcPr>
            <w:tcW w:w="3402" w:type="dxa"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ind w:right="9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ECE/TRANS/WP.15/249</w:t>
            </w:r>
          </w:p>
        </w:tc>
        <w:tc>
          <w:tcPr>
            <w:tcW w:w="3969" w:type="dxa"/>
          </w:tcPr>
          <w:p w:rsidR="00677D20" w:rsidRPr="00F965F4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60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Projet d</w:t>
            </w:r>
            <w:r w:rsidR="00831CB9">
              <w:rPr>
                <w:rFonts w:eastAsia="Times New Roman"/>
                <w:lang w:eastAsia="fr-FR"/>
              </w:rPr>
              <w:t>’</w:t>
            </w:r>
            <w:r w:rsidRPr="00F965F4">
              <w:rPr>
                <w:rFonts w:eastAsia="Times New Roman"/>
                <w:lang w:eastAsia="fr-FR"/>
              </w:rPr>
              <w:t>amendements aux annexes A et B de l</w:t>
            </w:r>
            <w:r w:rsidR="00831CB9">
              <w:rPr>
                <w:rFonts w:eastAsia="Times New Roman"/>
                <w:lang w:eastAsia="fr-FR"/>
              </w:rPr>
              <w:t>’</w:t>
            </w:r>
            <w:r w:rsidRPr="00F965F4">
              <w:rPr>
                <w:rFonts w:eastAsia="Times New Roman"/>
                <w:lang w:eastAsia="fr-FR"/>
              </w:rPr>
              <w:t>ADR</w:t>
            </w:r>
          </w:p>
        </w:tc>
      </w:tr>
    </w:tbl>
    <w:p w:rsidR="00677D20" w:rsidRPr="00F965F4" w:rsidRDefault="00677D20" w:rsidP="00677D20">
      <w:pPr>
        <w:pStyle w:val="HChG"/>
      </w:pPr>
      <w:r w:rsidRPr="00F965F4">
        <w:rPr>
          <w:lang w:eastAsia="fr-FR"/>
        </w:rPr>
        <w:lastRenderedPageBreak/>
        <w:tab/>
        <w:t>2.</w:t>
      </w:r>
      <w:r w:rsidRPr="00F965F4">
        <w:rPr>
          <w:lang w:eastAsia="fr-FR"/>
        </w:rPr>
        <w:tab/>
        <w:t>Quatre-vingt-deuxième session du Comité des transports intérieurs</w:t>
      </w:r>
    </w:p>
    <w:p w:rsidR="00677D20" w:rsidRPr="00F965F4" w:rsidRDefault="00677D20" w:rsidP="00677D20">
      <w:pPr>
        <w:pStyle w:val="SingleTxtG"/>
        <w:ind w:firstLine="567"/>
        <w:rPr>
          <w:lang w:eastAsia="fr-FR"/>
        </w:rPr>
      </w:pPr>
      <w:r w:rsidRPr="00F965F4">
        <w:rPr>
          <w:lang w:eastAsia="fr-FR"/>
        </w:rPr>
        <w:t>Un membre du secrétariat informera le Groupe de travail des décisions prises par le Comité des transports intérieurs</w:t>
      </w:r>
      <w:r>
        <w:rPr>
          <w:lang w:eastAsia="fr-FR"/>
        </w:rPr>
        <w:t>,</w:t>
      </w:r>
      <w:r w:rsidRPr="00F965F4">
        <w:rPr>
          <w:lang w:eastAsia="fr-FR"/>
        </w:rPr>
        <w:t xml:space="preserve"> à sa quatre-vingt-deuxième session (Genève, 25-28</w:t>
      </w:r>
      <w:r w:rsidR="00831CB9">
        <w:rPr>
          <w:lang w:eastAsia="fr-FR"/>
        </w:rPr>
        <w:t> </w:t>
      </w:r>
      <w:r w:rsidRPr="00F965F4">
        <w:rPr>
          <w:lang w:eastAsia="fr-FR"/>
        </w:rPr>
        <w:t>février 2020)</w:t>
      </w:r>
      <w:r>
        <w:rPr>
          <w:lang w:eastAsia="fr-FR"/>
        </w:rPr>
        <w:t>,</w:t>
      </w:r>
      <w:r w:rsidRPr="00F965F4">
        <w:rPr>
          <w:lang w:eastAsia="fr-FR"/>
        </w:rPr>
        <w:t xml:space="preserve"> qui requièrent des actions de suivi de la part des organes subsidiaires.</w:t>
      </w:r>
    </w:p>
    <w:p w:rsidR="00677D20" w:rsidRPr="00F965F4" w:rsidRDefault="00677D20" w:rsidP="00677D20">
      <w:pPr>
        <w:pStyle w:val="HChG"/>
        <w:rPr>
          <w:lang w:eastAsia="fr-FR"/>
        </w:rPr>
      </w:pPr>
      <w:r w:rsidRPr="00F965F4">
        <w:rPr>
          <w:lang w:eastAsia="fr-FR"/>
        </w:rPr>
        <w:tab/>
        <w:t>3.</w:t>
      </w:r>
      <w:r w:rsidRPr="00F965F4">
        <w:rPr>
          <w:lang w:eastAsia="fr-FR"/>
        </w:rPr>
        <w:tab/>
        <w:t xml:space="preserve">État de </w:t>
      </w:r>
      <w:r>
        <w:rPr>
          <w:lang w:eastAsia="fr-FR"/>
        </w:rPr>
        <w:t>l</w:t>
      </w:r>
      <w:r w:rsidR="00831CB9">
        <w:rPr>
          <w:lang w:eastAsia="fr-FR"/>
        </w:rPr>
        <w:t>’</w:t>
      </w:r>
      <w:r w:rsidRPr="00F965F4">
        <w:rPr>
          <w:lang w:eastAsia="fr-FR"/>
        </w:rPr>
        <w:t xml:space="preserve">Accord européen relatif au transport international des marchandises dangereuses par route (ADR) </w:t>
      </w:r>
      <w:r w:rsidR="00831CB9">
        <w:rPr>
          <w:lang w:eastAsia="fr-FR"/>
        </w:rPr>
        <w:br/>
      </w:r>
      <w:r w:rsidRPr="00F965F4">
        <w:rPr>
          <w:lang w:eastAsia="fr-FR"/>
        </w:rPr>
        <w:t>et questions connexes</w:t>
      </w:r>
    </w:p>
    <w:p w:rsidR="00677D20" w:rsidRPr="00F965F4" w:rsidRDefault="00677D20" w:rsidP="00677D20">
      <w:pPr>
        <w:pStyle w:val="SingleTxtG"/>
        <w:ind w:firstLine="567"/>
        <w:rPr>
          <w:lang w:eastAsia="fr-FR"/>
        </w:rPr>
      </w:pPr>
      <w:r w:rsidRPr="00F965F4">
        <w:rPr>
          <w:lang w:eastAsia="fr-FR"/>
        </w:rPr>
        <w:t>Un membre du secrétariat informera le Groupe de travail de l</w:t>
      </w:r>
      <w:r w:rsidR="00831CB9">
        <w:rPr>
          <w:lang w:eastAsia="fr-FR"/>
        </w:rPr>
        <w:t>’</w:t>
      </w:r>
      <w:r w:rsidRPr="00F965F4">
        <w:rPr>
          <w:lang w:eastAsia="fr-FR"/>
        </w:rPr>
        <w:t>état de l</w:t>
      </w:r>
      <w:r w:rsidR="00831CB9">
        <w:rPr>
          <w:lang w:eastAsia="fr-FR"/>
        </w:rPr>
        <w:t>’</w:t>
      </w:r>
      <w:r w:rsidRPr="00F965F4">
        <w:rPr>
          <w:lang w:eastAsia="fr-FR"/>
        </w:rPr>
        <w:t>ADR, du Protocole de 1993 portant amendement de l</w:t>
      </w:r>
      <w:r w:rsidR="00831CB9">
        <w:rPr>
          <w:lang w:eastAsia="fr-FR"/>
        </w:rPr>
        <w:t>’</w:t>
      </w:r>
      <w:r w:rsidRPr="00F965F4">
        <w:rPr>
          <w:lang w:eastAsia="fr-FR"/>
        </w:rPr>
        <w:t>ADR, des accords spéciaux et des notifications en application du chapitre 1.9.</w:t>
      </w:r>
    </w:p>
    <w:p w:rsidR="00677D20" w:rsidRPr="00F965F4" w:rsidRDefault="00677D20" w:rsidP="00677D20">
      <w:pPr>
        <w:pStyle w:val="SingleTxtG"/>
        <w:ind w:firstLine="567"/>
        <w:rPr>
          <w:lang w:eastAsia="fr-FR"/>
        </w:rPr>
      </w:pPr>
      <w:r w:rsidRPr="00F965F4">
        <w:rPr>
          <w:lang w:eastAsia="fr-FR"/>
        </w:rPr>
        <w:t>Avec l</w:t>
      </w:r>
      <w:r w:rsidR="00831CB9">
        <w:rPr>
          <w:lang w:eastAsia="fr-FR"/>
        </w:rPr>
        <w:t>’</w:t>
      </w:r>
      <w:r w:rsidRPr="00F965F4">
        <w:rPr>
          <w:lang w:eastAsia="fr-FR"/>
        </w:rPr>
        <w:t>adhésion de l</w:t>
      </w:r>
      <w:r w:rsidR="00831CB9">
        <w:rPr>
          <w:lang w:eastAsia="fr-FR"/>
        </w:rPr>
        <w:t>’</w:t>
      </w:r>
      <w:r w:rsidRPr="00F965F4">
        <w:rPr>
          <w:lang w:eastAsia="fr-FR"/>
        </w:rPr>
        <w:t>Ouzbékistan (24</w:t>
      </w:r>
      <w:r w:rsidR="00831CB9">
        <w:rPr>
          <w:lang w:eastAsia="fr-FR"/>
        </w:rPr>
        <w:t> </w:t>
      </w:r>
      <w:r w:rsidRPr="00F965F4">
        <w:rPr>
          <w:lang w:eastAsia="fr-FR"/>
        </w:rPr>
        <w:t>janvier 2020), le nombre de Parties contractantes à l</w:t>
      </w:r>
      <w:r w:rsidR="00831CB9">
        <w:rPr>
          <w:lang w:eastAsia="fr-FR"/>
        </w:rPr>
        <w:t>’</w:t>
      </w:r>
      <w:r w:rsidRPr="00F965F4">
        <w:rPr>
          <w:lang w:eastAsia="fr-FR"/>
        </w:rPr>
        <w:t>ADR s</w:t>
      </w:r>
      <w:r w:rsidR="00831CB9">
        <w:rPr>
          <w:lang w:eastAsia="fr-FR"/>
        </w:rPr>
        <w:t>’</w:t>
      </w:r>
      <w:r w:rsidRPr="00F965F4">
        <w:rPr>
          <w:lang w:eastAsia="fr-FR"/>
        </w:rPr>
        <w:t>élève à 52.</w:t>
      </w:r>
    </w:p>
    <w:p w:rsidR="00677D20" w:rsidRPr="00F965F4" w:rsidRDefault="00677D20" w:rsidP="00677D20">
      <w:pPr>
        <w:pStyle w:val="SingleTxtG"/>
        <w:ind w:firstLine="567"/>
        <w:rPr>
          <w:lang w:eastAsia="fr-FR"/>
        </w:rPr>
      </w:pPr>
      <w:r w:rsidRPr="00F965F4">
        <w:rPr>
          <w:lang w:eastAsia="fr-FR"/>
        </w:rPr>
        <w:t>Avec l</w:t>
      </w:r>
      <w:r w:rsidR="00831CB9">
        <w:rPr>
          <w:lang w:eastAsia="fr-FR"/>
        </w:rPr>
        <w:t>’</w:t>
      </w:r>
      <w:r w:rsidRPr="00F965F4">
        <w:rPr>
          <w:lang w:eastAsia="fr-FR"/>
        </w:rPr>
        <w:t>adhésion de Malte (18</w:t>
      </w:r>
      <w:r w:rsidR="00831CB9">
        <w:rPr>
          <w:lang w:eastAsia="fr-FR"/>
        </w:rPr>
        <w:t> </w:t>
      </w:r>
      <w:r w:rsidRPr="00F965F4">
        <w:rPr>
          <w:lang w:eastAsia="fr-FR"/>
        </w:rPr>
        <w:t>novembre 2020) et de l</w:t>
      </w:r>
      <w:r w:rsidR="00831CB9">
        <w:rPr>
          <w:lang w:eastAsia="fr-FR"/>
        </w:rPr>
        <w:t>’</w:t>
      </w:r>
      <w:r w:rsidRPr="00F965F4">
        <w:rPr>
          <w:lang w:eastAsia="fr-FR"/>
        </w:rPr>
        <w:t>Ouzbékistan (24</w:t>
      </w:r>
      <w:r w:rsidR="00831CB9">
        <w:rPr>
          <w:lang w:eastAsia="fr-FR"/>
        </w:rPr>
        <w:t> </w:t>
      </w:r>
      <w:r w:rsidRPr="00F965F4">
        <w:rPr>
          <w:lang w:eastAsia="fr-FR"/>
        </w:rPr>
        <w:t>janvier 2020), le nombre de Parties contractantes au Protocole de 1993 portant amendement de l</w:t>
      </w:r>
      <w:r w:rsidR="00831CB9">
        <w:rPr>
          <w:lang w:eastAsia="fr-FR"/>
        </w:rPr>
        <w:t>’</w:t>
      </w:r>
      <w:r w:rsidRPr="00F965F4">
        <w:rPr>
          <w:lang w:eastAsia="fr-FR"/>
        </w:rPr>
        <w:t>ADR s</w:t>
      </w:r>
      <w:r w:rsidR="00831CB9">
        <w:rPr>
          <w:lang w:eastAsia="fr-FR"/>
        </w:rPr>
        <w:t>’</w:t>
      </w:r>
      <w:r w:rsidRPr="00F965F4">
        <w:rPr>
          <w:lang w:eastAsia="fr-FR"/>
        </w:rPr>
        <w:t>élève à 39.</w:t>
      </w:r>
    </w:p>
    <w:p w:rsidR="00677D20" w:rsidRPr="00F965F4" w:rsidRDefault="00677D20" w:rsidP="00677D20">
      <w:pPr>
        <w:pStyle w:val="SingleTxtG"/>
        <w:ind w:firstLine="567"/>
        <w:rPr>
          <w:rFonts w:eastAsia="Times New Roman"/>
          <w:sz w:val="28"/>
          <w:szCs w:val="28"/>
          <w:lang w:eastAsia="fr-FR"/>
        </w:rPr>
      </w:pPr>
      <w:r w:rsidRPr="00677D20">
        <w:rPr>
          <w:lang w:eastAsia="fr-FR"/>
        </w:rPr>
        <w:t>Le Groupe de travail voudra sans doute noter que le Protocole portant modification du titre de l</w:t>
      </w:r>
      <w:r w:rsidR="00831CB9">
        <w:rPr>
          <w:lang w:eastAsia="fr-FR"/>
        </w:rPr>
        <w:t>’</w:t>
      </w:r>
      <w:r w:rsidRPr="00677D20">
        <w:rPr>
          <w:lang w:eastAsia="fr-FR"/>
        </w:rPr>
        <w:t>ADR, adopté par la Conférence des Parties le 13</w:t>
      </w:r>
      <w:r w:rsidR="00831CB9">
        <w:rPr>
          <w:lang w:eastAsia="fr-FR"/>
        </w:rPr>
        <w:t> </w:t>
      </w:r>
      <w:r w:rsidRPr="00677D20">
        <w:rPr>
          <w:lang w:eastAsia="fr-FR"/>
        </w:rPr>
        <w:t>mai 2019, a été réputé accepté le 30</w:t>
      </w:r>
      <w:r w:rsidR="00831CB9">
        <w:rPr>
          <w:lang w:eastAsia="fr-FR"/>
        </w:rPr>
        <w:t> </w:t>
      </w:r>
      <w:r w:rsidRPr="00677D20">
        <w:rPr>
          <w:lang w:eastAsia="fr-FR"/>
        </w:rPr>
        <w:t>novembre 2019 (référence de la notification dépositaire : C.N.606.2019.TREATIES-XI.B.14)</w:t>
      </w:r>
      <w:r w:rsidRPr="00831CB9">
        <w:rPr>
          <w:rStyle w:val="FootnoteReference"/>
        </w:rPr>
        <w:footnoteReference w:id="2"/>
      </w:r>
      <w:r w:rsidRPr="00677D20">
        <w:rPr>
          <w:lang w:eastAsia="fr-FR"/>
        </w:rPr>
        <w:t>. L</w:t>
      </w:r>
      <w:r w:rsidR="00831CB9">
        <w:rPr>
          <w:lang w:eastAsia="fr-FR"/>
        </w:rPr>
        <w:t>’</w:t>
      </w:r>
      <w:r w:rsidRPr="00677D20">
        <w:rPr>
          <w:lang w:eastAsia="fr-FR"/>
        </w:rPr>
        <w:t>amendement entrera en vigueur pour toutes les Parties contractantes à l</w:t>
      </w:r>
      <w:r w:rsidR="00831CB9">
        <w:rPr>
          <w:lang w:eastAsia="fr-FR"/>
        </w:rPr>
        <w:t>’</w:t>
      </w:r>
      <w:r w:rsidRPr="00677D20">
        <w:rPr>
          <w:lang w:eastAsia="fr-FR"/>
        </w:rPr>
        <w:t>ADR le 1</w:t>
      </w:r>
      <w:r w:rsidRPr="00831CB9">
        <w:rPr>
          <w:vertAlign w:val="superscript"/>
          <w:lang w:eastAsia="fr-FR"/>
        </w:rPr>
        <w:t>er</w:t>
      </w:r>
      <w:r w:rsidR="00831CB9">
        <w:rPr>
          <w:lang w:eastAsia="fr-FR"/>
        </w:rPr>
        <w:t> </w:t>
      </w:r>
      <w:r w:rsidRPr="00677D20">
        <w:rPr>
          <w:lang w:eastAsia="fr-FR"/>
        </w:rPr>
        <w:t>janvier 2021.</w:t>
      </w:r>
    </w:p>
    <w:p w:rsidR="00677D20" w:rsidRPr="00F965F4" w:rsidRDefault="00677D20" w:rsidP="00677D20">
      <w:pPr>
        <w:pStyle w:val="HChG"/>
        <w:rPr>
          <w:lang w:eastAsia="fr-FR"/>
        </w:rPr>
      </w:pPr>
      <w:r w:rsidRPr="00F965F4">
        <w:rPr>
          <w:lang w:eastAsia="fr-FR"/>
        </w:rPr>
        <w:tab/>
        <w:t>4.</w:t>
      </w:r>
      <w:r w:rsidRPr="00F965F4">
        <w:rPr>
          <w:lang w:eastAsia="fr-FR"/>
        </w:rPr>
        <w:tab/>
        <w:t>Travaux de la Réunion commune RID/ADR/ADN</w:t>
      </w:r>
    </w:p>
    <w:p w:rsidR="00677D20" w:rsidRPr="00677D20" w:rsidRDefault="00677D20" w:rsidP="00677D20">
      <w:pPr>
        <w:pStyle w:val="SingleTxtG"/>
        <w:ind w:firstLine="567"/>
        <w:rPr>
          <w:lang w:eastAsia="fr-FR"/>
        </w:rPr>
      </w:pPr>
      <w:r w:rsidRPr="00677D20">
        <w:rPr>
          <w:lang w:eastAsia="fr-FR"/>
        </w:rPr>
        <w:t>Les textes adoptés par la Réunion commune à sa session de printemps 2020 (16</w:t>
      </w:r>
      <w:r w:rsidR="00831CB9">
        <w:rPr>
          <w:lang w:eastAsia="fr-FR"/>
        </w:rPr>
        <w:noBreakHyphen/>
      </w:r>
      <w:r w:rsidRPr="00677D20">
        <w:rPr>
          <w:lang w:eastAsia="fr-FR"/>
        </w:rPr>
        <w:t>20</w:t>
      </w:r>
      <w:r w:rsidR="00831CB9">
        <w:rPr>
          <w:lang w:eastAsia="fr-FR"/>
        </w:rPr>
        <w:t> </w:t>
      </w:r>
      <w:r w:rsidRPr="00677D20">
        <w:rPr>
          <w:lang w:eastAsia="fr-FR"/>
        </w:rPr>
        <w:t>mars 2020) seront mis à disposition pour approbation par le Groupe de travail.</w:t>
      </w:r>
    </w:p>
    <w:p w:rsidR="00677D20" w:rsidRPr="00F965F4" w:rsidRDefault="00677D20" w:rsidP="00677D20">
      <w:pPr>
        <w:pStyle w:val="HChG"/>
        <w:rPr>
          <w:lang w:eastAsia="fr-FR"/>
        </w:rPr>
      </w:pPr>
      <w:r w:rsidRPr="00F965F4">
        <w:rPr>
          <w:lang w:eastAsia="fr-FR"/>
        </w:rPr>
        <w:tab/>
        <w:t>5.</w:t>
      </w:r>
      <w:r w:rsidRPr="00F965F4">
        <w:rPr>
          <w:lang w:eastAsia="fr-FR"/>
        </w:rPr>
        <w:tab/>
        <w:t>Propositions d</w:t>
      </w:r>
      <w:r w:rsidR="00831CB9">
        <w:rPr>
          <w:lang w:eastAsia="fr-FR"/>
        </w:rPr>
        <w:t>’</w:t>
      </w:r>
      <w:r w:rsidRPr="00F965F4">
        <w:rPr>
          <w:lang w:eastAsia="fr-FR"/>
        </w:rPr>
        <w:t>amendement</w:t>
      </w:r>
      <w:r>
        <w:rPr>
          <w:lang w:eastAsia="fr-FR"/>
        </w:rPr>
        <w:t>s</w:t>
      </w:r>
      <w:r w:rsidRPr="00F965F4">
        <w:rPr>
          <w:lang w:eastAsia="fr-FR"/>
        </w:rPr>
        <w:t xml:space="preserve"> aux annexes A et B de l</w:t>
      </w:r>
      <w:r w:rsidR="00831CB9">
        <w:rPr>
          <w:lang w:eastAsia="fr-FR"/>
        </w:rPr>
        <w:t>’</w:t>
      </w:r>
      <w:r w:rsidRPr="00F965F4">
        <w:rPr>
          <w:lang w:eastAsia="fr-FR"/>
        </w:rPr>
        <w:t>ADR</w:t>
      </w:r>
    </w:p>
    <w:p w:rsidR="00677D20" w:rsidRDefault="00677D20" w:rsidP="00677D20">
      <w:pPr>
        <w:pStyle w:val="H23G"/>
      </w:pPr>
      <w:r w:rsidRPr="00F965F4">
        <w:rPr>
          <w:lang w:eastAsia="fr-FR"/>
        </w:rPr>
        <w:tab/>
        <w:t>a)</w:t>
      </w:r>
      <w:r w:rsidRPr="00F965F4">
        <w:rPr>
          <w:lang w:eastAsia="fr-FR"/>
        </w:rPr>
        <w:tab/>
        <w:t xml:space="preserve">Construction et </w:t>
      </w:r>
      <w:r>
        <w:rPr>
          <w:lang w:eastAsia="fr-FR"/>
        </w:rPr>
        <w:t>agrément</w:t>
      </w:r>
      <w:r w:rsidRPr="00F965F4">
        <w:rPr>
          <w:lang w:eastAsia="fr-FR"/>
        </w:rPr>
        <w:t xml:space="preserve"> des véhicules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677D20" w:rsidRPr="00677D20" w:rsidTr="00677D20">
        <w:trPr>
          <w:cantSplit/>
        </w:trPr>
        <w:tc>
          <w:tcPr>
            <w:tcW w:w="3399" w:type="dxa"/>
          </w:tcPr>
          <w:p w:rsidR="00677D20" w:rsidRPr="00677D20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120" w:line="276" w:lineRule="auto"/>
              <w:rPr>
                <w:rFonts w:eastAsia="Times New Roman"/>
                <w:lang w:eastAsia="fr-FR"/>
              </w:rPr>
            </w:pPr>
            <w:r w:rsidRPr="00677D20">
              <w:rPr>
                <w:rFonts w:eastAsia="Times New Roman"/>
                <w:lang w:eastAsia="fr-FR"/>
              </w:rPr>
              <w:t>ECE/TRANS/WP.15/2020/5 (France)</w:t>
            </w:r>
          </w:p>
        </w:tc>
        <w:tc>
          <w:tcPr>
            <w:tcW w:w="3966" w:type="dxa"/>
          </w:tcPr>
          <w:p w:rsidR="00677D20" w:rsidRPr="00677D20" w:rsidRDefault="00677D20" w:rsidP="00CD6F50">
            <w:pPr>
              <w:kinsoku/>
              <w:overflowPunct/>
              <w:autoSpaceDE/>
              <w:autoSpaceDN/>
              <w:adjustRightInd/>
              <w:snapToGrid/>
              <w:spacing w:after="120" w:line="276" w:lineRule="auto"/>
              <w:rPr>
                <w:rFonts w:eastAsia="Times New Roman"/>
                <w:lang w:eastAsia="fr-FR"/>
              </w:rPr>
            </w:pPr>
            <w:r w:rsidRPr="00677D20">
              <w:rPr>
                <w:rFonts w:eastAsia="Times New Roman"/>
                <w:lang w:eastAsia="fr-FR"/>
              </w:rPr>
              <w:t>Section 9.7.6 sur la protection arrière des véhicules</w:t>
            </w:r>
          </w:p>
        </w:tc>
      </w:tr>
    </w:tbl>
    <w:p w:rsidR="00677D20" w:rsidRDefault="00677D20" w:rsidP="00677D20">
      <w:pPr>
        <w:pStyle w:val="H23G"/>
        <w:rPr>
          <w:lang w:eastAsia="fr-FR"/>
        </w:rPr>
      </w:pPr>
      <w:r w:rsidRPr="00F965F4">
        <w:rPr>
          <w:lang w:eastAsia="fr-FR"/>
        </w:rPr>
        <w:tab/>
        <w:t>b)</w:t>
      </w:r>
      <w:r w:rsidRPr="00F965F4">
        <w:rPr>
          <w:lang w:eastAsia="fr-FR"/>
        </w:rPr>
        <w:tab/>
        <w:t>Propositions diverses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831CB9" w:rsidRPr="00F965F4" w:rsidTr="00CD6F50">
        <w:trPr>
          <w:cantSplit/>
        </w:trPr>
        <w:tc>
          <w:tcPr>
            <w:tcW w:w="3399" w:type="dxa"/>
            <w:hideMark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3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ECE/TRANS/WP.15/2020/1 (Pays-Bas et CEFIC)</w:t>
            </w:r>
          </w:p>
        </w:tc>
        <w:tc>
          <w:tcPr>
            <w:tcW w:w="3966" w:type="dxa"/>
            <w:hideMark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left="144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Transport</w:t>
            </w:r>
            <w:r>
              <w:rPr>
                <w:rFonts w:eastAsia="Times New Roman"/>
                <w:lang w:eastAsia="fr-FR"/>
              </w:rPr>
              <w:t xml:space="preserve"> sous</w:t>
            </w:r>
            <w:r w:rsidRPr="00F965F4">
              <w:rPr>
                <w:rFonts w:eastAsia="Times New Roman"/>
                <w:lang w:eastAsia="fr-FR"/>
              </w:rPr>
              <w:t xml:space="preserve"> température dirigée</w:t>
            </w:r>
          </w:p>
        </w:tc>
      </w:tr>
      <w:tr w:rsidR="00831CB9" w:rsidRPr="00F965F4" w:rsidTr="00CD6F50">
        <w:trPr>
          <w:cantSplit/>
        </w:trPr>
        <w:tc>
          <w:tcPr>
            <w:tcW w:w="3399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3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ECE/TRANS/WP.15/2020/3 (Allemagne)</w:t>
            </w:r>
          </w:p>
        </w:tc>
        <w:tc>
          <w:tcPr>
            <w:tcW w:w="3966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left="144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Proposition complémentaire</w:t>
            </w:r>
            <w:r>
              <w:rPr>
                <w:rFonts w:eastAsia="Times New Roman"/>
                <w:lang w:eastAsia="fr-FR"/>
              </w:rPr>
              <w:t xml:space="preserve"> pour le</w:t>
            </w:r>
            <w:r w:rsidRPr="00F965F4">
              <w:rPr>
                <w:rFonts w:eastAsia="Times New Roman"/>
                <w:lang w:eastAsia="fr-FR"/>
              </w:rPr>
              <w:t xml:space="preserve"> paragraphe 5.4.1.1.1 k),</w:t>
            </w:r>
            <w:r>
              <w:rPr>
                <w:rFonts w:eastAsia="Times New Roman"/>
                <w:lang w:eastAsia="fr-FR"/>
              </w:rPr>
              <w:t xml:space="preserve"> tenant compte</w:t>
            </w:r>
            <w:r w:rsidRPr="00F965F4">
              <w:rPr>
                <w:rFonts w:eastAsia="Times New Roman"/>
                <w:lang w:eastAsia="fr-FR"/>
              </w:rPr>
              <w:t xml:space="preserve"> des restrictions s</w:t>
            </w:r>
            <w:r>
              <w:rPr>
                <w:rFonts w:eastAsia="Times New Roman"/>
                <w:lang w:eastAsia="fr-FR"/>
              </w:rPr>
              <w:t>’</w:t>
            </w:r>
            <w:r w:rsidRPr="00F965F4">
              <w:rPr>
                <w:rFonts w:eastAsia="Times New Roman"/>
                <w:lang w:eastAsia="fr-FR"/>
              </w:rPr>
              <w:t xml:space="preserve">appliquant aux marchandises des </w:t>
            </w:r>
            <w:r w:rsidRPr="00831CB9">
              <w:rPr>
                <w:rFonts w:eastAsia="MS Mincho"/>
                <w:szCs w:val="22"/>
                <w:lang w:eastAsia="fr-FR"/>
              </w:rPr>
              <w:t>n</w:t>
            </w:r>
            <w:r w:rsidRPr="00831CB9">
              <w:rPr>
                <w:rFonts w:eastAsia="MS Mincho"/>
                <w:szCs w:val="22"/>
                <w:vertAlign w:val="superscript"/>
                <w:lang w:eastAsia="fr-FR"/>
              </w:rPr>
              <w:t>o</w:t>
            </w:r>
            <w:r>
              <w:rPr>
                <w:rFonts w:eastAsia="MS Mincho"/>
                <w:szCs w:val="22"/>
                <w:vertAlign w:val="superscript"/>
                <w:lang w:eastAsia="fr-FR"/>
              </w:rPr>
              <w:t>s</w:t>
            </w:r>
            <w:r>
              <w:rPr>
                <w:rFonts w:eastAsia="Times New Roman"/>
                <w:lang w:eastAsia="fr-FR"/>
              </w:rPr>
              <w:t> </w:t>
            </w:r>
            <w:r w:rsidRPr="00F965F4">
              <w:rPr>
                <w:rFonts w:eastAsia="Times New Roman"/>
                <w:lang w:eastAsia="fr-FR"/>
              </w:rPr>
              <w:t>ONU 2919 et 3331 (</w:t>
            </w:r>
            <w:r>
              <w:rPr>
                <w:rFonts w:eastAsia="Times New Roman"/>
                <w:lang w:eastAsia="fr-FR"/>
              </w:rPr>
              <w:t>m</w:t>
            </w:r>
            <w:r w:rsidRPr="00F965F4">
              <w:rPr>
                <w:rFonts w:eastAsia="Times New Roman"/>
                <w:lang w:eastAsia="fr-FR"/>
              </w:rPr>
              <w:t>atières radioactives transportées sous arrangement spécial)</w:t>
            </w:r>
          </w:p>
        </w:tc>
      </w:tr>
      <w:tr w:rsidR="00831CB9" w:rsidRPr="00F965F4" w:rsidTr="00CD6F50">
        <w:trPr>
          <w:cantSplit/>
        </w:trPr>
        <w:tc>
          <w:tcPr>
            <w:tcW w:w="3399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3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ECE/TRANS/WP.15/2020/4 (Allemagne)</w:t>
            </w:r>
          </w:p>
        </w:tc>
        <w:tc>
          <w:tcPr>
            <w:tcW w:w="3966" w:type="dxa"/>
          </w:tcPr>
          <w:p w:rsidR="00831CB9" w:rsidRPr="00614159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left="144"/>
              <w:rPr>
                <w:rFonts w:eastAsia="Times New Roman"/>
                <w:lang w:eastAsia="fr-FR"/>
              </w:rPr>
            </w:pPr>
            <w:r w:rsidRPr="00614159">
              <w:rPr>
                <w:rFonts w:eastAsia="Times New Roman"/>
                <w:lang w:eastAsia="fr-FR"/>
              </w:rPr>
              <w:t>Suppression du code de restriction en tunnels pour les colis exceptés (</w:t>
            </w:r>
            <w:r w:rsidRPr="00614159">
              <w:rPr>
                <w:rFonts w:eastAsia="MS Mincho"/>
                <w:szCs w:val="22"/>
                <w:lang w:eastAsia="fr-FR"/>
              </w:rPr>
              <w:t>n</w:t>
            </w:r>
            <w:r w:rsidRPr="00614159">
              <w:rPr>
                <w:rFonts w:eastAsia="MS Mincho"/>
                <w:szCs w:val="22"/>
                <w:vertAlign w:val="superscript"/>
                <w:lang w:eastAsia="fr-FR"/>
              </w:rPr>
              <w:t>os</w:t>
            </w:r>
            <w:r w:rsidRPr="00614159">
              <w:rPr>
                <w:rFonts w:eastAsia="Times New Roman"/>
                <w:lang w:eastAsia="fr-FR"/>
              </w:rPr>
              <w:t> ONU 2908 à 2911) dans le tableau A du chapitre 3.2</w:t>
            </w:r>
          </w:p>
        </w:tc>
      </w:tr>
      <w:tr w:rsidR="00831CB9" w:rsidRPr="00F965F4" w:rsidTr="00CD6F50">
        <w:trPr>
          <w:cantSplit/>
        </w:trPr>
        <w:tc>
          <w:tcPr>
            <w:tcW w:w="3399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3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lastRenderedPageBreak/>
              <w:t>ECE/TRANS/WP.15/2020/7 (Autriche)</w:t>
            </w:r>
          </w:p>
        </w:tc>
        <w:tc>
          <w:tcPr>
            <w:tcW w:w="3966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left="144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Précisions sur les règles applicables au transport de</w:t>
            </w:r>
            <w:r>
              <w:rPr>
                <w:rFonts w:eastAsia="Times New Roman"/>
                <w:lang w:eastAsia="fr-FR"/>
              </w:rPr>
              <w:t>s</w:t>
            </w:r>
            <w:r w:rsidRPr="00F965F4">
              <w:rPr>
                <w:rFonts w:eastAsia="Times New Roman"/>
                <w:lang w:eastAsia="fr-FR"/>
              </w:rPr>
              <w:t xml:space="preserve"> véhicules électriques à batterie et des véhicules hybrides en tant que chargement, disposition spéciale</w:t>
            </w:r>
            <w:r>
              <w:rPr>
                <w:rFonts w:eastAsia="Times New Roman"/>
                <w:lang w:eastAsia="fr-FR"/>
              </w:rPr>
              <w:t xml:space="preserve"> </w:t>
            </w:r>
            <w:r w:rsidRPr="00F965F4">
              <w:rPr>
                <w:rFonts w:eastAsia="Times New Roman"/>
                <w:lang w:eastAsia="fr-FR"/>
              </w:rPr>
              <w:t>667</w:t>
            </w:r>
          </w:p>
        </w:tc>
      </w:tr>
      <w:tr w:rsidR="00831CB9" w:rsidRPr="00F965F4" w:rsidTr="00CD6F50">
        <w:trPr>
          <w:cantSplit/>
        </w:trPr>
        <w:tc>
          <w:tcPr>
            <w:tcW w:w="3399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3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ECE/TRANS/WP.15/2020/8 (Suisse)</w:t>
            </w:r>
          </w:p>
        </w:tc>
        <w:tc>
          <w:tcPr>
            <w:tcW w:w="3966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left="144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Marquage des unités de transport et des conteneurs chargés avec des quantités limitées</w:t>
            </w:r>
          </w:p>
        </w:tc>
      </w:tr>
      <w:tr w:rsidR="00831CB9" w:rsidRPr="00F965F4" w:rsidTr="00CD6F50">
        <w:trPr>
          <w:cantSplit/>
        </w:trPr>
        <w:tc>
          <w:tcPr>
            <w:tcW w:w="3399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3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ECE/TRANS/WP.15/2020/10 (Suisse)</w:t>
            </w:r>
          </w:p>
        </w:tc>
        <w:tc>
          <w:tcPr>
            <w:tcW w:w="3966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left="144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Marchandises dangereuses</w:t>
            </w:r>
            <w:r>
              <w:rPr>
                <w:rFonts w:eastAsia="Times New Roman"/>
                <w:lang w:eastAsia="fr-FR"/>
              </w:rPr>
              <w:t xml:space="preserve"> exemptées des</w:t>
            </w:r>
            <w:r w:rsidRPr="00F965F4">
              <w:rPr>
                <w:rFonts w:eastAsia="Times New Roman"/>
                <w:lang w:eastAsia="fr-FR"/>
              </w:rPr>
              <w:t xml:space="preserve"> restrictions de circulation dans les tunnels</w:t>
            </w:r>
          </w:p>
        </w:tc>
      </w:tr>
      <w:tr w:rsidR="00831CB9" w:rsidRPr="00F965F4" w:rsidTr="00CD6F50">
        <w:trPr>
          <w:cantSplit/>
        </w:trPr>
        <w:tc>
          <w:tcPr>
            <w:tcW w:w="3399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3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ECE/TRANS/WP.15/2020/11 (Secrétariat)</w:t>
            </w:r>
          </w:p>
        </w:tc>
        <w:tc>
          <w:tcPr>
            <w:tcW w:w="3966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left="144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Texte du 9.1.3.4</w:t>
            </w:r>
          </w:p>
        </w:tc>
      </w:tr>
    </w:tbl>
    <w:p w:rsidR="00677D20" w:rsidRDefault="00831CB9" w:rsidP="00831CB9">
      <w:pPr>
        <w:pStyle w:val="HChG"/>
        <w:rPr>
          <w:lang w:eastAsia="fr-FR"/>
        </w:rPr>
      </w:pPr>
      <w:r>
        <w:rPr>
          <w:lang w:eastAsia="fr-FR"/>
        </w:rPr>
        <w:tab/>
      </w:r>
      <w:r w:rsidRPr="00F965F4">
        <w:rPr>
          <w:lang w:eastAsia="fr-FR"/>
        </w:rPr>
        <w:t>6.</w:t>
      </w:r>
      <w:r w:rsidRPr="00F965F4">
        <w:rPr>
          <w:lang w:eastAsia="fr-FR"/>
        </w:rPr>
        <w:tab/>
        <w:t>Interprétation de l</w:t>
      </w:r>
      <w:r>
        <w:rPr>
          <w:lang w:eastAsia="fr-FR"/>
        </w:rPr>
        <w:t>’</w:t>
      </w:r>
      <w:r w:rsidRPr="00F965F4">
        <w:rPr>
          <w:lang w:eastAsia="fr-FR"/>
        </w:rPr>
        <w:t>ADR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831CB9" w:rsidRPr="00F965F4" w:rsidTr="00CD6F50">
        <w:trPr>
          <w:cantSplit/>
        </w:trPr>
        <w:tc>
          <w:tcPr>
            <w:tcW w:w="3399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3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ECE/TRANS/WP.15/2020/2 (Turquie)</w:t>
            </w:r>
          </w:p>
        </w:tc>
        <w:tc>
          <w:tcPr>
            <w:tcW w:w="3966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left="144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Prescriptions relatives à la construction des compartiments séparés ou systèmes spéciaux de contenant de protection selon le 7.5.2.2, note a de bas de tableau, et aux épreuves qu</w:t>
            </w:r>
            <w:r>
              <w:rPr>
                <w:rFonts w:eastAsia="Times New Roman"/>
                <w:lang w:eastAsia="fr-FR"/>
              </w:rPr>
              <w:t>’</w:t>
            </w:r>
            <w:r w:rsidRPr="00F965F4">
              <w:rPr>
                <w:rFonts w:eastAsia="Times New Roman"/>
                <w:lang w:eastAsia="fr-FR"/>
              </w:rPr>
              <w:t>ils doivent subir</w:t>
            </w:r>
          </w:p>
        </w:tc>
      </w:tr>
      <w:tr w:rsidR="00831CB9" w:rsidRPr="00F965F4" w:rsidTr="00CD6F50">
        <w:trPr>
          <w:cantSplit/>
        </w:trPr>
        <w:tc>
          <w:tcPr>
            <w:tcW w:w="3399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3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ECE/TRANS/WP.15/2020/6 (COSTHA)</w:t>
            </w:r>
          </w:p>
        </w:tc>
        <w:tc>
          <w:tcPr>
            <w:tcW w:w="3966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left="144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Problème d</w:t>
            </w:r>
            <w:r>
              <w:rPr>
                <w:rFonts w:eastAsia="Times New Roman"/>
                <w:lang w:eastAsia="fr-FR"/>
              </w:rPr>
              <w:t>’</w:t>
            </w:r>
            <w:r w:rsidRPr="00F965F4">
              <w:rPr>
                <w:rFonts w:eastAsia="Times New Roman"/>
                <w:lang w:eastAsia="fr-FR"/>
              </w:rPr>
              <w:t>interprétation que pose le paragraphe 7.5.2.3</w:t>
            </w:r>
          </w:p>
        </w:tc>
      </w:tr>
      <w:tr w:rsidR="00831CB9" w:rsidRPr="00F965F4" w:rsidTr="00CD6F50">
        <w:trPr>
          <w:cantSplit/>
        </w:trPr>
        <w:tc>
          <w:tcPr>
            <w:tcW w:w="3399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39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>ECE/TRANS/WP.15/2020/9 (Suisse)</w:t>
            </w:r>
          </w:p>
        </w:tc>
        <w:tc>
          <w:tcPr>
            <w:tcW w:w="3966" w:type="dxa"/>
          </w:tcPr>
          <w:p w:rsidR="00831CB9" w:rsidRPr="00F965F4" w:rsidRDefault="00831CB9" w:rsidP="00CD6F50">
            <w:pPr>
              <w:kinsoku/>
              <w:overflowPunct/>
              <w:autoSpaceDE/>
              <w:autoSpaceDN/>
              <w:adjustRightInd/>
              <w:snapToGrid/>
              <w:spacing w:after="120"/>
              <w:ind w:left="144"/>
              <w:rPr>
                <w:rFonts w:eastAsia="Times New Roman"/>
                <w:lang w:eastAsia="fr-FR"/>
              </w:rPr>
            </w:pPr>
            <w:r w:rsidRPr="00F965F4">
              <w:rPr>
                <w:rFonts w:eastAsia="Times New Roman"/>
                <w:lang w:eastAsia="fr-FR"/>
              </w:rPr>
              <w:t xml:space="preserve">Interprétation du 5.4.1.1.1 f) </w:t>
            </w:r>
          </w:p>
        </w:tc>
      </w:tr>
    </w:tbl>
    <w:p w:rsidR="00677D20" w:rsidRDefault="00831CB9" w:rsidP="00831CB9">
      <w:pPr>
        <w:pStyle w:val="HChG"/>
        <w:rPr>
          <w:lang w:eastAsia="fr-FR"/>
        </w:rPr>
      </w:pPr>
      <w:r w:rsidRPr="00F965F4">
        <w:rPr>
          <w:lang w:eastAsia="fr-FR"/>
        </w:rPr>
        <w:tab/>
        <w:t>7.</w:t>
      </w:r>
      <w:r w:rsidRPr="00F965F4">
        <w:rPr>
          <w:lang w:eastAsia="fr-FR"/>
        </w:rPr>
        <w:tab/>
        <w:t>Programme de travail</w:t>
      </w:r>
    </w:p>
    <w:p w:rsidR="00831CB9" w:rsidRPr="00F965F4" w:rsidRDefault="00831CB9" w:rsidP="00831CB9">
      <w:pPr>
        <w:pStyle w:val="SingleTxtG"/>
        <w:ind w:firstLine="567"/>
        <w:rPr>
          <w:lang w:eastAsia="fr-FR"/>
        </w:rPr>
      </w:pPr>
      <w:r w:rsidRPr="00F965F4">
        <w:rPr>
          <w:lang w:eastAsia="fr-FR"/>
        </w:rPr>
        <w:t>Aucun document n</w:t>
      </w:r>
      <w:r>
        <w:rPr>
          <w:lang w:eastAsia="fr-FR"/>
        </w:rPr>
        <w:t>’</w:t>
      </w:r>
      <w:r w:rsidRPr="00F965F4">
        <w:rPr>
          <w:lang w:eastAsia="fr-FR"/>
        </w:rPr>
        <w:t>avait été soumis au titre de ce point de l</w:t>
      </w:r>
      <w:r>
        <w:rPr>
          <w:lang w:eastAsia="fr-FR"/>
        </w:rPr>
        <w:t>’</w:t>
      </w:r>
      <w:r w:rsidRPr="00F965F4">
        <w:rPr>
          <w:lang w:eastAsia="fr-FR"/>
        </w:rPr>
        <w:t>ordre du jour au moment de la rédaction du présent document. Le Groupe de travail décidera sans doute d</w:t>
      </w:r>
      <w:r>
        <w:rPr>
          <w:lang w:eastAsia="fr-FR"/>
        </w:rPr>
        <w:t>’</w:t>
      </w:r>
      <w:r w:rsidRPr="00F965F4">
        <w:rPr>
          <w:lang w:eastAsia="fr-FR"/>
        </w:rPr>
        <w:t>adopter le programme de travail de la prochaine session (10-13</w:t>
      </w:r>
      <w:r>
        <w:rPr>
          <w:lang w:eastAsia="fr-FR"/>
        </w:rPr>
        <w:t> </w:t>
      </w:r>
      <w:r w:rsidRPr="00F965F4">
        <w:rPr>
          <w:lang w:eastAsia="fr-FR"/>
        </w:rPr>
        <w:t>novembre 2020). Il pourrait aussi décider d</w:t>
      </w:r>
      <w:r>
        <w:rPr>
          <w:lang w:eastAsia="fr-FR"/>
        </w:rPr>
        <w:t>’</w:t>
      </w:r>
      <w:r w:rsidRPr="00F965F4">
        <w:rPr>
          <w:lang w:eastAsia="fr-FR"/>
        </w:rPr>
        <w:t>examiner le calendrier des réunions de 2021.</w:t>
      </w:r>
    </w:p>
    <w:p w:rsidR="00831CB9" w:rsidRPr="00F965F4" w:rsidRDefault="00831CB9" w:rsidP="00831CB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276" w:lineRule="auto"/>
        <w:ind w:left="1134" w:right="1134" w:hanging="1134"/>
        <w:rPr>
          <w:rFonts w:eastAsia="Times New Roman"/>
          <w:b/>
          <w:sz w:val="28"/>
          <w:szCs w:val="28"/>
          <w:lang w:eastAsia="fr-FR"/>
        </w:rPr>
      </w:pPr>
      <w:r w:rsidRPr="00F965F4">
        <w:rPr>
          <w:rFonts w:eastAsia="Times New Roman"/>
          <w:b/>
          <w:sz w:val="28"/>
          <w:szCs w:val="28"/>
          <w:lang w:eastAsia="fr-FR"/>
        </w:rPr>
        <w:tab/>
        <w:t>8.</w:t>
      </w:r>
      <w:r w:rsidRPr="00F965F4">
        <w:rPr>
          <w:rFonts w:eastAsia="Times New Roman"/>
          <w:b/>
          <w:sz w:val="28"/>
          <w:szCs w:val="28"/>
          <w:lang w:eastAsia="fr-FR"/>
        </w:rPr>
        <w:tab/>
        <w:t>Questions diverses</w:t>
      </w:r>
    </w:p>
    <w:p w:rsidR="00831CB9" w:rsidRPr="00F965F4" w:rsidRDefault="00831CB9" w:rsidP="00831CB9">
      <w:pPr>
        <w:pStyle w:val="SingleTxtG"/>
        <w:ind w:firstLine="567"/>
        <w:rPr>
          <w:lang w:eastAsia="fr-FR"/>
        </w:rPr>
      </w:pPr>
      <w:r w:rsidRPr="00F965F4">
        <w:rPr>
          <w:lang w:eastAsia="fr-FR"/>
        </w:rPr>
        <w:t>Aucun document n</w:t>
      </w:r>
      <w:r>
        <w:rPr>
          <w:lang w:eastAsia="fr-FR"/>
        </w:rPr>
        <w:t>’</w:t>
      </w:r>
      <w:r w:rsidRPr="00F965F4">
        <w:rPr>
          <w:lang w:eastAsia="fr-FR"/>
        </w:rPr>
        <w:t>avait été soumis au titre de ce point de l</w:t>
      </w:r>
      <w:r>
        <w:rPr>
          <w:lang w:eastAsia="fr-FR"/>
        </w:rPr>
        <w:t>’</w:t>
      </w:r>
      <w:r w:rsidRPr="00F965F4">
        <w:rPr>
          <w:lang w:eastAsia="fr-FR"/>
        </w:rPr>
        <w:t>ordre du jour au moment de la rédaction du présent document.</w:t>
      </w:r>
    </w:p>
    <w:p w:rsidR="00831CB9" w:rsidRPr="00F965F4" w:rsidRDefault="00831CB9" w:rsidP="00831CB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276" w:lineRule="auto"/>
        <w:ind w:left="1134" w:right="1134" w:hanging="1134"/>
        <w:rPr>
          <w:rFonts w:eastAsia="Times New Roman"/>
          <w:b/>
          <w:sz w:val="28"/>
          <w:szCs w:val="28"/>
          <w:lang w:eastAsia="fr-FR"/>
        </w:rPr>
      </w:pPr>
      <w:r w:rsidRPr="00F965F4">
        <w:rPr>
          <w:rFonts w:eastAsia="Times New Roman"/>
          <w:b/>
          <w:sz w:val="28"/>
          <w:szCs w:val="28"/>
          <w:lang w:eastAsia="fr-FR"/>
        </w:rPr>
        <w:tab/>
        <w:t>9.</w:t>
      </w:r>
      <w:r w:rsidRPr="00F965F4">
        <w:rPr>
          <w:rFonts w:eastAsia="Times New Roman"/>
          <w:b/>
          <w:sz w:val="28"/>
          <w:szCs w:val="28"/>
          <w:lang w:eastAsia="fr-FR"/>
        </w:rPr>
        <w:tab/>
        <w:t>Adoption du rapport</w:t>
      </w:r>
    </w:p>
    <w:p w:rsidR="00831CB9" w:rsidRPr="00831CB9" w:rsidRDefault="00831CB9" w:rsidP="00831CB9">
      <w:pPr>
        <w:pStyle w:val="SingleTxtG"/>
        <w:ind w:firstLine="567"/>
        <w:rPr>
          <w:lang w:eastAsia="fr-FR"/>
        </w:rPr>
      </w:pPr>
      <w:r w:rsidRPr="00F965F4">
        <w:rPr>
          <w:lang w:eastAsia="fr-FR"/>
        </w:rPr>
        <w:t>Le Groupe de travail décidera sans doute d</w:t>
      </w:r>
      <w:r>
        <w:rPr>
          <w:lang w:eastAsia="fr-FR"/>
        </w:rPr>
        <w:t>’</w:t>
      </w:r>
      <w:r w:rsidRPr="00F965F4">
        <w:rPr>
          <w:lang w:eastAsia="fr-FR"/>
        </w:rPr>
        <w:t>adopter le rapport de sa 108</w:t>
      </w:r>
      <w:r w:rsidRPr="00831CB9">
        <w:rPr>
          <w:vertAlign w:val="superscript"/>
          <w:lang w:eastAsia="fr-FR"/>
        </w:rPr>
        <w:t>e</w:t>
      </w:r>
      <w:r>
        <w:rPr>
          <w:lang w:eastAsia="fr-FR"/>
        </w:rPr>
        <w:t> </w:t>
      </w:r>
      <w:r w:rsidRPr="00F965F4">
        <w:rPr>
          <w:lang w:eastAsia="fr-FR"/>
        </w:rPr>
        <w:t>session sur la base d</w:t>
      </w:r>
      <w:r>
        <w:rPr>
          <w:lang w:eastAsia="fr-FR"/>
        </w:rPr>
        <w:t>’</w:t>
      </w:r>
      <w:r w:rsidRPr="00F965F4">
        <w:rPr>
          <w:lang w:eastAsia="fr-FR"/>
        </w:rPr>
        <w:t>un projet établi par le secrétariat.</w:t>
      </w:r>
    </w:p>
    <w:p w:rsidR="00677D20" w:rsidRPr="00831CB9" w:rsidRDefault="00831CB9" w:rsidP="00831CB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7D20" w:rsidRPr="00831CB9" w:rsidSect="00677D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AE" w:rsidRDefault="00211BAE" w:rsidP="00F95C08">
      <w:pPr>
        <w:spacing w:line="240" w:lineRule="auto"/>
      </w:pPr>
    </w:p>
  </w:endnote>
  <w:endnote w:type="continuationSeparator" w:id="0">
    <w:p w:rsidR="00211BAE" w:rsidRPr="00AC3823" w:rsidRDefault="00211BAE" w:rsidP="00AC3823">
      <w:pPr>
        <w:pStyle w:val="Footer"/>
      </w:pPr>
    </w:p>
  </w:endnote>
  <w:endnote w:type="continuationNotice" w:id="1">
    <w:p w:rsidR="00211BAE" w:rsidRDefault="00211B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D20" w:rsidRPr="00677D20" w:rsidRDefault="00677D20" w:rsidP="00677D20">
    <w:pPr>
      <w:pStyle w:val="Footer"/>
      <w:tabs>
        <w:tab w:val="right" w:pos="9638"/>
      </w:tabs>
    </w:pPr>
    <w:r w:rsidRPr="00677D20">
      <w:rPr>
        <w:b/>
        <w:sz w:val="18"/>
      </w:rPr>
      <w:fldChar w:fldCharType="begin"/>
    </w:r>
    <w:r w:rsidRPr="00677D20">
      <w:rPr>
        <w:b/>
        <w:sz w:val="18"/>
      </w:rPr>
      <w:instrText xml:space="preserve"> PAGE  \* MERGEFORMAT </w:instrText>
    </w:r>
    <w:r w:rsidRPr="00677D20">
      <w:rPr>
        <w:b/>
        <w:sz w:val="18"/>
      </w:rPr>
      <w:fldChar w:fldCharType="separate"/>
    </w:r>
    <w:r w:rsidRPr="00677D20">
      <w:rPr>
        <w:b/>
        <w:noProof/>
        <w:sz w:val="18"/>
      </w:rPr>
      <w:t>2</w:t>
    </w:r>
    <w:r w:rsidRPr="00677D20">
      <w:rPr>
        <w:b/>
        <w:sz w:val="18"/>
      </w:rPr>
      <w:fldChar w:fldCharType="end"/>
    </w:r>
    <w:r>
      <w:rPr>
        <w:b/>
        <w:sz w:val="18"/>
      </w:rPr>
      <w:tab/>
    </w:r>
    <w:r>
      <w:t>GE.20-03061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D20" w:rsidRPr="00677D20" w:rsidRDefault="00677D20" w:rsidP="00677D20">
    <w:pPr>
      <w:pStyle w:val="Footer"/>
      <w:tabs>
        <w:tab w:val="right" w:pos="9638"/>
      </w:tabs>
      <w:rPr>
        <w:b/>
        <w:sz w:val="18"/>
      </w:rPr>
    </w:pPr>
    <w:r>
      <w:t>GE.20-03061</w:t>
    </w:r>
    <w:r>
      <w:tab/>
    </w:r>
    <w:r w:rsidRPr="00677D20">
      <w:rPr>
        <w:b/>
        <w:sz w:val="18"/>
      </w:rPr>
      <w:fldChar w:fldCharType="begin"/>
    </w:r>
    <w:r w:rsidRPr="00677D20">
      <w:rPr>
        <w:b/>
        <w:sz w:val="18"/>
      </w:rPr>
      <w:instrText xml:space="preserve"> PAGE  \* MERGEFORMAT </w:instrText>
    </w:r>
    <w:r w:rsidRPr="00677D20">
      <w:rPr>
        <w:b/>
        <w:sz w:val="18"/>
      </w:rPr>
      <w:fldChar w:fldCharType="separate"/>
    </w:r>
    <w:r w:rsidRPr="00677D20">
      <w:rPr>
        <w:b/>
        <w:noProof/>
        <w:sz w:val="18"/>
      </w:rPr>
      <w:t>3</w:t>
    </w:r>
    <w:r w:rsidRPr="00677D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77D20" w:rsidRDefault="00677D20" w:rsidP="00677D2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20-03061  (F)</w:t>
    </w:r>
    <w:r w:rsidR="00831CB9">
      <w:rPr>
        <w:sz w:val="20"/>
      </w:rPr>
      <w:t xml:space="preserve">    060320    060320</w:t>
    </w:r>
    <w:r>
      <w:rPr>
        <w:sz w:val="20"/>
      </w:rPr>
      <w:br/>
    </w:r>
    <w:r w:rsidRPr="00677D20">
      <w:rPr>
        <w:rFonts w:ascii="C39T30Lfz" w:hAnsi="C39T30Lfz"/>
        <w:sz w:val="56"/>
      </w:rPr>
      <w:t></w:t>
    </w:r>
    <w:r w:rsidRPr="00677D20">
      <w:rPr>
        <w:rFonts w:ascii="C39T30Lfz" w:hAnsi="C39T30Lfz"/>
        <w:sz w:val="56"/>
      </w:rPr>
      <w:t></w:t>
    </w:r>
    <w:r w:rsidRPr="00677D20">
      <w:rPr>
        <w:rFonts w:ascii="C39T30Lfz" w:hAnsi="C39T30Lfz"/>
        <w:sz w:val="56"/>
      </w:rPr>
      <w:t></w:t>
    </w:r>
    <w:r w:rsidRPr="00677D20">
      <w:rPr>
        <w:rFonts w:ascii="C39T30Lfz" w:hAnsi="C39T30Lfz"/>
        <w:sz w:val="56"/>
      </w:rPr>
      <w:t></w:t>
    </w:r>
    <w:r w:rsidRPr="00677D20">
      <w:rPr>
        <w:rFonts w:ascii="C39T30Lfz" w:hAnsi="C39T30Lfz"/>
        <w:sz w:val="56"/>
      </w:rPr>
      <w:t></w:t>
    </w:r>
    <w:r w:rsidRPr="00677D20">
      <w:rPr>
        <w:rFonts w:ascii="C39T30Lfz" w:hAnsi="C39T30Lfz"/>
        <w:sz w:val="56"/>
      </w:rPr>
      <w:t></w:t>
    </w:r>
    <w:r w:rsidRPr="00677D20">
      <w:rPr>
        <w:rFonts w:ascii="C39T30Lfz" w:hAnsi="C39T30Lfz"/>
        <w:sz w:val="56"/>
      </w:rPr>
      <w:t></w:t>
    </w:r>
    <w:r w:rsidRPr="00677D20">
      <w:rPr>
        <w:rFonts w:ascii="C39T30Lfz" w:hAnsi="C39T30Lfz"/>
        <w:sz w:val="56"/>
      </w:rPr>
      <w:t></w:t>
    </w:r>
    <w:r w:rsidRPr="00677D2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250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50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AE" w:rsidRPr="00AC3823" w:rsidRDefault="00211BA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1BAE" w:rsidRPr="00AC3823" w:rsidRDefault="00211BA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11BAE" w:rsidRPr="00AC3823" w:rsidRDefault="00211BAE">
      <w:pPr>
        <w:spacing w:line="240" w:lineRule="auto"/>
        <w:rPr>
          <w:sz w:val="2"/>
          <w:szCs w:val="2"/>
        </w:rPr>
      </w:pPr>
    </w:p>
  </w:footnote>
  <w:footnote w:id="2">
    <w:p w:rsidR="00677D20" w:rsidRPr="00E04D2F" w:rsidRDefault="00677D20" w:rsidP="00677D20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4311BB">
        <w:t>https://treaties.un.org/doc/Publication/CN/2019/CN.606.2019-Frn.pdf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D20" w:rsidRPr="00677D20" w:rsidRDefault="008B7A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77D20">
      <w:t>ECE/TRANS/WP.15/250/Add.1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D20" w:rsidRPr="00677D20" w:rsidRDefault="008B7A1D" w:rsidP="00677D2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77D20">
      <w:t>ECE/TRANS/WP.15/250/Add.1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A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11BAE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14159"/>
    <w:rsid w:val="00677D20"/>
    <w:rsid w:val="0071601D"/>
    <w:rsid w:val="007A62E6"/>
    <w:rsid w:val="007F20FA"/>
    <w:rsid w:val="0080684C"/>
    <w:rsid w:val="00831CB9"/>
    <w:rsid w:val="00871C75"/>
    <w:rsid w:val="008776DC"/>
    <w:rsid w:val="008B7A1D"/>
    <w:rsid w:val="009446C0"/>
    <w:rsid w:val="00966398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24B8E"/>
    <w:rsid w:val="00E85C74"/>
    <w:rsid w:val="00EA52AC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1A247B3-D0C5-4231-99A9-0067C5C9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ECE/TRANS/WP.15/250/Add.1</vt:lpstr>
      <vt:lpstr>ECE/TRANS/WP.15/250/Add.1</vt:lpstr>
    </vt:vector>
  </TitlesOfParts>
  <Company>DCM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ECE/TRANS/WP.15/250/Add.1</dc:title>
  <dc:subject/>
  <dc:creator>Fabienne CRELIER</dc:creator>
  <cp:keywords/>
  <cp:lastModifiedBy>Christine Barrio-Champeau</cp:lastModifiedBy>
  <cp:revision>2</cp:revision>
  <cp:lastPrinted>2014-05-14T10:59:00Z</cp:lastPrinted>
  <dcterms:created xsi:type="dcterms:W3CDTF">2020-03-06T13:04:00Z</dcterms:created>
  <dcterms:modified xsi:type="dcterms:W3CDTF">2020-03-06T13:04:00Z</dcterms:modified>
</cp:coreProperties>
</file>