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21C8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81C6D8" w14:textId="77777777" w:rsidR="002D5AAC" w:rsidRDefault="002D5AAC" w:rsidP="004C00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B613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227650" w14:textId="77777777" w:rsidR="002D5AAC" w:rsidRDefault="004C0019" w:rsidP="004C0019">
            <w:pPr>
              <w:jc w:val="right"/>
            </w:pPr>
            <w:r w:rsidRPr="004C0019">
              <w:rPr>
                <w:sz w:val="40"/>
              </w:rPr>
              <w:t>ECE</w:t>
            </w:r>
            <w:r>
              <w:t>/TRANS/WP.15/249/Add.1</w:t>
            </w:r>
          </w:p>
        </w:tc>
      </w:tr>
      <w:tr w:rsidR="002D5AAC" w:rsidRPr="004C0019" w14:paraId="7860A7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551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B89F95" wp14:editId="6DCEFB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A392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26E240" w14:textId="77777777" w:rsidR="002D5AAC" w:rsidRDefault="004C00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C28FCF" w14:textId="77777777" w:rsidR="004C0019" w:rsidRDefault="004C0019" w:rsidP="004C0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2020</w:t>
            </w:r>
          </w:p>
          <w:p w14:paraId="0D13DAE2" w14:textId="77777777" w:rsidR="004C0019" w:rsidRDefault="004C0019" w:rsidP="004C0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C0CC0B" w14:textId="77777777" w:rsidR="004C0019" w:rsidRPr="008D53B6" w:rsidRDefault="004C0019" w:rsidP="004C0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F131DB9" w14:textId="77777777" w:rsidR="004C001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68148F" w14:textId="77777777" w:rsidR="004C0019" w:rsidRPr="002536E1" w:rsidRDefault="004C0019" w:rsidP="004C0019">
      <w:pPr>
        <w:spacing w:before="120"/>
        <w:rPr>
          <w:sz w:val="28"/>
          <w:szCs w:val="28"/>
        </w:rPr>
      </w:pPr>
      <w:r w:rsidRPr="002536E1">
        <w:rPr>
          <w:sz w:val="28"/>
          <w:szCs w:val="28"/>
        </w:rPr>
        <w:t>Комитет по внутреннему транспорту</w:t>
      </w:r>
    </w:p>
    <w:p w14:paraId="32E956F7" w14:textId="77777777" w:rsidR="00E12C5F" w:rsidRDefault="004C0019" w:rsidP="004C0019">
      <w:pPr>
        <w:spacing w:before="120"/>
      </w:pPr>
      <w:r w:rsidRPr="002536E1">
        <w:rPr>
          <w:b/>
          <w:bCs/>
          <w:sz w:val="24"/>
          <w:szCs w:val="24"/>
        </w:rPr>
        <w:t>Рабочая группа по перевозкам опасных грузов</w:t>
      </w:r>
    </w:p>
    <w:p w14:paraId="3CBA113B" w14:textId="77777777" w:rsidR="004C0019" w:rsidRPr="00904DC9" w:rsidRDefault="004C0019" w:rsidP="004C0019">
      <w:pPr>
        <w:pStyle w:val="HChG"/>
        <w:rPr>
          <w:bCs/>
        </w:rPr>
      </w:pPr>
      <w:r>
        <w:tab/>
      </w:r>
      <w:r>
        <w:tab/>
      </w:r>
      <w:r>
        <w:rPr>
          <w:bCs/>
        </w:rPr>
        <w:t>Европейское соглашение о международной дорожной перевозке опасных грузов (ДОПОГ)</w:t>
      </w:r>
    </w:p>
    <w:p w14:paraId="4933D38F" w14:textId="77777777" w:rsidR="004C0019" w:rsidRPr="00904DC9" w:rsidRDefault="004C0019" w:rsidP="004C0019">
      <w:pPr>
        <w:pStyle w:val="H1G"/>
      </w:pPr>
      <w:r>
        <w:tab/>
      </w:r>
      <w:r>
        <w:tab/>
      </w:r>
      <w:r>
        <w:rPr>
          <w:bCs/>
        </w:rPr>
        <w:t>Проекты поправок к приложениям А и В к ДОПОГ</w:t>
      </w:r>
    </w:p>
    <w:p w14:paraId="6447E798" w14:textId="77777777" w:rsidR="004C0019" w:rsidRPr="00904DC9" w:rsidRDefault="004C0019" w:rsidP="004C0019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358C9979" w14:textId="77777777" w:rsidR="004C0019" w:rsidRPr="00904DC9" w:rsidRDefault="004C0019" w:rsidP="004C0019">
      <w:pPr>
        <w:pStyle w:val="SingleTxtG"/>
      </w:pPr>
      <w:r>
        <w:tab/>
      </w:r>
      <w:r>
        <w:tab/>
        <w:t>Председатель и заместитель Председателя Рабочей группы по перевозкам опасных грузов просили секретариат распространить дополнительный перечень поправок, для которых вступление в силу запланировано на 1 января 2021 года, в виде добавления к документу ECE/TRANS/WP.15/249, которое Председатель препроводит Договаривающимся сторонам через правительство его страны для принятия в соответствии с процедурой, изложенной в статье 14 ДОПОГ (см. ECE/TRANS/ WP.15/248, пункт 80), при условии, что эти поправки будут также приняты Договаривающимися государствами МПОГ.</w:t>
      </w:r>
    </w:p>
    <w:p w14:paraId="6DE875F8" w14:textId="77777777" w:rsidR="004C0019" w:rsidRPr="00904DC9" w:rsidRDefault="004C0019" w:rsidP="004C0019">
      <w:pPr>
        <w:pStyle w:val="SingleTxtG"/>
      </w:pPr>
      <w:r>
        <w:tab/>
      </w:r>
      <w:r>
        <w:tab/>
        <w:t>В связи с пандемией коронавируса (COVID-19) проведение 108-й сессии Рабочей группы было перенесено на 9–13 ноября 2020 года. Поэтому данные поправки были распространены среди участников Рабочей группы в письменном виде, и участники Рабочей группы не высказали возражений. В приложении к настоящему документу содержится запрошенный дополнительный перечень поправок:</w:t>
      </w:r>
    </w:p>
    <w:p w14:paraId="0A02A215" w14:textId="77777777" w:rsidR="004C0019" w:rsidRPr="00904DC9" w:rsidRDefault="004C0019" w:rsidP="004C0019">
      <w:pPr>
        <w:pStyle w:val="Bullet1G"/>
        <w:numPr>
          <w:ilvl w:val="0"/>
          <w:numId w:val="22"/>
        </w:numPr>
      </w:pPr>
      <w:r>
        <w:tab/>
        <w:t xml:space="preserve">В части I приведены поправки, необходимые для согласования ДОПОГ с Рекомендациями Организации Объединенных Наций по перевозке опасных грузов или в качестве сопутствующих поправок либо для обновления некоторых переходных мер. </w:t>
      </w:r>
    </w:p>
    <w:p w14:paraId="2210C431" w14:textId="77777777" w:rsidR="004C0019" w:rsidRPr="00904DC9" w:rsidRDefault="004C0019" w:rsidP="004C0019">
      <w:pPr>
        <w:pStyle w:val="Bullet1G"/>
        <w:numPr>
          <w:ilvl w:val="0"/>
          <w:numId w:val="22"/>
        </w:numPr>
      </w:pPr>
      <w:r>
        <w:tab/>
        <w:t>В части II приведены дополнительные поправки, принятые Рабочей группой по цистернам Совместного совещания.</w:t>
      </w:r>
    </w:p>
    <w:p w14:paraId="784346FE" w14:textId="77777777" w:rsidR="004C0019" w:rsidRDefault="004C0019" w:rsidP="004C0019">
      <w:pPr>
        <w:pStyle w:val="Bullet1G"/>
        <w:numPr>
          <w:ilvl w:val="0"/>
          <w:numId w:val="22"/>
        </w:numPr>
      </w:pPr>
      <w:r>
        <w:tab/>
        <w:t>В части III приведены дополнительные поправки, принятые Рабочей группой по стандартам Совместного совещания с целью учета обновления некоторых стандартов, на которые сделаны ссылки в МПОГ и ДОПОГ.</w:t>
      </w:r>
    </w:p>
    <w:p w14:paraId="48076B25" w14:textId="77777777" w:rsidR="004C0019" w:rsidRDefault="004C001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FA6416E" w14:textId="77777777" w:rsidR="004C0019" w:rsidRDefault="004C0019" w:rsidP="004C0019">
      <w:pPr>
        <w:pStyle w:val="HChG"/>
      </w:pPr>
      <w:r>
        <w:rPr>
          <w:bCs/>
        </w:rPr>
        <w:lastRenderedPageBreak/>
        <w:t>Приложение</w:t>
      </w:r>
    </w:p>
    <w:p w14:paraId="082914BF" w14:textId="77777777" w:rsidR="004C0019" w:rsidRPr="00F37ED8" w:rsidRDefault="004C0019" w:rsidP="00C24455">
      <w:pPr>
        <w:pStyle w:val="SingleTxtG"/>
        <w:ind w:right="0"/>
        <w:jc w:val="right"/>
        <w:rPr>
          <w:lang w:eastAsia="ru-RU"/>
        </w:rPr>
      </w:pPr>
      <w:r w:rsidRPr="00F37ED8">
        <w:rPr>
          <w:lang w:eastAsia="ru-RU"/>
        </w:rPr>
        <w:t>[</w:t>
      </w:r>
      <w:r>
        <w:rPr>
          <w:lang w:eastAsia="ru-RU"/>
        </w:rPr>
        <w:t>Подлинный</w:t>
      </w:r>
      <w:r w:rsidRPr="00F37ED8">
        <w:rPr>
          <w:lang w:eastAsia="ru-RU"/>
        </w:rPr>
        <w:t xml:space="preserve"> </w:t>
      </w:r>
      <w:r>
        <w:rPr>
          <w:lang w:eastAsia="ru-RU"/>
        </w:rPr>
        <w:t>текст</w:t>
      </w:r>
      <w:r w:rsidRPr="00F37ED8">
        <w:rPr>
          <w:lang w:eastAsia="ru-RU"/>
        </w:rPr>
        <w:t xml:space="preserve"> </w:t>
      </w:r>
      <w:r>
        <w:rPr>
          <w:lang w:eastAsia="ru-RU"/>
        </w:rPr>
        <w:t>на</w:t>
      </w:r>
      <w:r w:rsidRPr="00F37ED8">
        <w:rPr>
          <w:lang w:eastAsia="ru-RU"/>
        </w:rPr>
        <w:t xml:space="preserve"> </w:t>
      </w:r>
      <w:r>
        <w:rPr>
          <w:lang w:eastAsia="ru-RU"/>
        </w:rPr>
        <w:t>английском</w:t>
      </w:r>
      <w:r w:rsidRPr="00F37ED8">
        <w:rPr>
          <w:lang w:eastAsia="ru-RU"/>
        </w:rPr>
        <w:t xml:space="preserve">, </w:t>
      </w:r>
      <w:r>
        <w:rPr>
          <w:lang w:eastAsia="ru-RU"/>
        </w:rPr>
        <w:t>русском и французском языках</w:t>
      </w:r>
      <w:r w:rsidRPr="00F37ED8">
        <w:rPr>
          <w:lang w:eastAsia="ru-RU"/>
        </w:rPr>
        <w:t>]</w:t>
      </w:r>
    </w:p>
    <w:p w14:paraId="2B0D9990" w14:textId="77777777" w:rsidR="004C0019" w:rsidRPr="00904DC9" w:rsidRDefault="004C0019" w:rsidP="004C0019">
      <w:pPr>
        <w:pStyle w:val="H1G"/>
      </w:pPr>
      <w:r w:rsidRPr="00F37ED8">
        <w:tab/>
      </w:r>
      <w:r w:rsidRPr="004E4B87">
        <w:t>I</w:t>
      </w:r>
      <w:r w:rsidRPr="00904DC9">
        <w:t>.</w:t>
      </w:r>
      <w:r w:rsidRPr="00904DC9">
        <w:tab/>
      </w:r>
      <w:r w:rsidRPr="00904DC9">
        <w:rPr>
          <w:bCs/>
        </w:rPr>
        <w:t>Проект</w:t>
      </w:r>
      <w:r>
        <w:rPr>
          <w:bCs/>
        </w:rPr>
        <w:t>ы</w:t>
      </w:r>
      <w:r w:rsidRPr="00904DC9">
        <w:rPr>
          <w:bCs/>
        </w:rPr>
        <w:t xml:space="preserve"> поправок</w:t>
      </w:r>
      <w:r w:rsidRPr="00904DC9">
        <w:t xml:space="preserve"> для </w:t>
      </w:r>
      <w:r>
        <w:t xml:space="preserve">согласования </w:t>
      </w:r>
      <w:r w:rsidRPr="00904DC9">
        <w:t xml:space="preserve">ДОПОГ с Рекомендациями Организации Объединенных Наций по перевозке опасных грузов, </w:t>
      </w:r>
      <w:r>
        <w:t>сопутствующие поправки</w:t>
      </w:r>
      <w:r w:rsidRPr="00904DC9">
        <w:t>, исправления и обновления</w:t>
      </w:r>
    </w:p>
    <w:p w14:paraId="43C8E94D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1.6</w:t>
      </w:r>
    </w:p>
    <w:p w14:paraId="0DAB0D76" w14:textId="77777777" w:rsidR="004C0019" w:rsidRPr="00904DC9" w:rsidRDefault="004C0019" w:rsidP="004C0019">
      <w:pPr>
        <w:pStyle w:val="SingleTxtG"/>
      </w:pPr>
      <w:r w:rsidRPr="00904DC9">
        <w:t>1.6.1</w:t>
      </w:r>
      <w:r w:rsidRPr="00904DC9">
        <w:tab/>
        <w:t>Добавить новый 1.6.1.48 следующего содержания:</w:t>
      </w:r>
    </w:p>
    <w:p w14:paraId="76301D37" w14:textId="77777777" w:rsidR="004C0019" w:rsidRPr="00C24455" w:rsidRDefault="004C0019" w:rsidP="004C0019">
      <w:pPr>
        <w:pStyle w:val="SingleTxtG"/>
        <w:ind w:left="2268" w:hanging="1134"/>
      </w:pPr>
      <w:r w:rsidRPr="00904DC9">
        <w:t>«1.6.1.48</w:t>
      </w:r>
      <w:r w:rsidRPr="00904DC9">
        <w:tab/>
        <w:t>Свидетельства о допущении транспортных средств к перевозке некоторых опасных грузов, соответствующие образцу, приведенному в 9.1.3.5, действующему до 31 декабря 2020 года, выданные до 1 июля 2021</w:t>
      </w:r>
      <w:r>
        <w:rPr>
          <w:lang w:val="en-US"/>
        </w:rPr>
        <w:t> </w:t>
      </w:r>
      <w:r w:rsidRPr="00904DC9">
        <w:t>года, могут по-прежнему использоваться»</w:t>
      </w:r>
      <w:r w:rsidR="00C24455" w:rsidRPr="00C24455">
        <w:t>.</w:t>
      </w:r>
    </w:p>
    <w:p w14:paraId="2EDDAD69" w14:textId="77777777" w:rsidR="004C0019" w:rsidRPr="00904DC9" w:rsidRDefault="004C0019" w:rsidP="004C0019">
      <w:pPr>
        <w:pStyle w:val="SingleTxtG"/>
        <w:rPr>
          <w:rFonts w:eastAsia="MS Mincho"/>
        </w:rPr>
      </w:pPr>
      <w:r w:rsidRPr="00904DC9">
        <w:rPr>
          <w:rFonts w:eastAsia="MS Mincho"/>
        </w:rPr>
        <w:t>1.6.5.4</w:t>
      </w: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 xml:space="preserve">Заменить текст на </w:t>
      </w:r>
      <w:r w:rsidRPr="00C24455">
        <w:rPr>
          <w:rFonts w:eastAsia="MS Mincho"/>
        </w:rPr>
        <w:t>«</w:t>
      </w:r>
      <w:r w:rsidRPr="00904DC9">
        <w:rPr>
          <w:rFonts w:eastAsia="MS Mincho"/>
          <w:i/>
          <w:iCs/>
        </w:rPr>
        <w:t>(Зарезервирован)</w:t>
      </w:r>
      <w:r w:rsidRPr="00C24455">
        <w:rPr>
          <w:rFonts w:eastAsia="MS Mincho"/>
        </w:rPr>
        <w:t>»</w:t>
      </w:r>
      <w:r w:rsidRPr="00904DC9">
        <w:rPr>
          <w:rFonts w:eastAsia="MS Mincho"/>
          <w:i/>
          <w:iCs/>
        </w:rPr>
        <w:t>.</w:t>
      </w:r>
    </w:p>
    <w:p w14:paraId="09525450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2.2</w:t>
      </w:r>
    </w:p>
    <w:p w14:paraId="36793942" w14:textId="77777777" w:rsidR="004C0019" w:rsidRPr="00904DC9" w:rsidRDefault="004C0019" w:rsidP="004C0019">
      <w:pPr>
        <w:pStyle w:val="SingleTxtG"/>
      </w:pPr>
      <w:r w:rsidRPr="00904DC9">
        <w:rPr>
          <w:rFonts w:eastAsia="MS Mincho"/>
        </w:rPr>
        <w:t>2.2.41.1.10</w:t>
      </w:r>
      <w:r w:rsidRPr="00904DC9">
        <w:rPr>
          <w:rFonts w:eastAsia="SimSun"/>
          <w:lang w:eastAsia="zh-CN"/>
        </w:rPr>
        <w:tab/>
      </w:r>
      <w:r w:rsidRPr="00904DC9">
        <w:t xml:space="preserve">Данная поправка касается только текста на французском языке. </w:t>
      </w:r>
    </w:p>
    <w:p w14:paraId="63967BA8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3.3</w:t>
      </w:r>
    </w:p>
    <w:p w14:paraId="1F12BE57" w14:textId="77777777" w:rsidR="004C0019" w:rsidRPr="00904DC9" w:rsidRDefault="004C0019" w:rsidP="004C0019">
      <w:pPr>
        <w:pStyle w:val="SingleTxtG"/>
        <w:rPr>
          <w:rFonts w:eastAsia="SimSun"/>
          <w:lang w:eastAsia="zh-CN"/>
        </w:rPr>
      </w:pPr>
      <w:r w:rsidRPr="00904DC9">
        <w:t>Специальное положение</w:t>
      </w:r>
      <w:r w:rsidRPr="00904DC9">
        <w:rPr>
          <w:rFonts w:eastAsia="SimSun"/>
          <w:lang w:eastAsia="zh-CN"/>
        </w:rPr>
        <w:t xml:space="preserve"> 241</w:t>
      </w:r>
    </w:p>
    <w:p w14:paraId="2D1CCF12" w14:textId="77777777" w:rsidR="004C0019" w:rsidRPr="00904DC9" w:rsidRDefault="004C0019" w:rsidP="004C0019">
      <w:pPr>
        <w:pStyle w:val="SingleTxtG"/>
        <w:ind w:left="2268"/>
        <w:rPr>
          <w:rFonts w:eastAsia="SimSun"/>
          <w:lang w:eastAsia="zh-CN"/>
        </w:rPr>
      </w:pPr>
      <w:r w:rsidRPr="00904DC9">
        <w:rPr>
          <w:rFonts w:eastAsia="SimSun"/>
          <w:lang w:eastAsia="zh-CN"/>
        </w:rPr>
        <w:t xml:space="preserve">Во втором предложении, </w:t>
      </w:r>
      <w:r w:rsidRPr="00904DC9">
        <w:rPr>
          <w:rFonts w:eastAsia="MS Mincho"/>
        </w:rPr>
        <w:t>заменить «</w:t>
      </w:r>
      <w:r w:rsidRPr="00904DC9">
        <w:rPr>
          <w:sz w:val="21"/>
          <w:szCs w:val="21"/>
        </w:rPr>
        <w:t>согласно результатам испытания</w:t>
      </w:r>
      <w:r>
        <w:rPr>
          <w:sz w:val="21"/>
          <w:szCs w:val="21"/>
          <w:lang w:val="en-US"/>
        </w:rPr>
        <w:t> </w:t>
      </w:r>
      <w:r w:rsidRPr="00904DC9">
        <w:rPr>
          <w:sz w:val="21"/>
          <w:szCs w:val="21"/>
        </w:rPr>
        <w:t>№</w:t>
      </w:r>
      <w:r w:rsidRPr="004E4B87">
        <w:rPr>
          <w:sz w:val="21"/>
          <w:szCs w:val="21"/>
        </w:rPr>
        <w:t> </w:t>
      </w:r>
      <w:r w:rsidRPr="00904DC9">
        <w:rPr>
          <w:sz w:val="21"/>
          <w:szCs w:val="21"/>
        </w:rPr>
        <w:t xml:space="preserve">1» </w:t>
      </w:r>
      <w:r w:rsidRPr="00904DC9">
        <w:rPr>
          <w:rFonts w:eastAsia="MS Mincho"/>
        </w:rPr>
        <w:t>на «</w:t>
      </w:r>
      <w:r w:rsidRPr="00904DC9">
        <w:rPr>
          <w:sz w:val="21"/>
          <w:szCs w:val="21"/>
        </w:rPr>
        <w:t xml:space="preserve">согласно результатам испытания </w:t>
      </w:r>
      <w:r w:rsidRPr="004E4B87">
        <w:rPr>
          <w:sz w:val="21"/>
          <w:szCs w:val="21"/>
        </w:rPr>
        <w:t>N</w:t>
      </w:r>
      <w:r w:rsidRPr="00904DC9">
        <w:rPr>
          <w:sz w:val="21"/>
          <w:szCs w:val="21"/>
        </w:rPr>
        <w:t>.1».</w:t>
      </w:r>
    </w:p>
    <w:p w14:paraId="4540B99C" w14:textId="77777777" w:rsidR="004C0019" w:rsidRPr="00904DC9" w:rsidRDefault="004C0019" w:rsidP="004C0019">
      <w:pPr>
        <w:pStyle w:val="SingleTxtG"/>
        <w:rPr>
          <w:rFonts w:eastAsia="MS Mincho"/>
        </w:rPr>
      </w:pPr>
      <w:r w:rsidRPr="00904DC9">
        <w:t>Специальное положение</w:t>
      </w:r>
      <w:r w:rsidRPr="00904DC9">
        <w:rPr>
          <w:rFonts w:eastAsia="MS Mincho"/>
        </w:rPr>
        <w:t xml:space="preserve"> 310</w:t>
      </w:r>
    </w:p>
    <w:p w14:paraId="5F1D67DE" w14:textId="77777777" w:rsidR="004C0019" w:rsidRPr="00904DC9" w:rsidRDefault="004C0019" w:rsidP="004C0019">
      <w:pPr>
        <w:pStyle w:val="SingleTxtG"/>
        <w:ind w:left="2268"/>
        <w:rPr>
          <w:rFonts w:eastAsia="MS Mincho"/>
        </w:rPr>
      </w:pPr>
      <w:r w:rsidRPr="00904DC9">
        <w:rPr>
          <w:rFonts w:eastAsia="MS Mincho"/>
        </w:rPr>
        <w:t xml:space="preserve">В предпоследнем абзаце исключить «и упаковываться в соответствии с инструкцией по упаковке </w:t>
      </w:r>
      <w:r w:rsidRPr="004E4B87">
        <w:rPr>
          <w:rFonts w:eastAsia="MS Mincho"/>
        </w:rPr>
        <w:t>P</w:t>
      </w:r>
      <w:r w:rsidRPr="00904DC9">
        <w:rPr>
          <w:rFonts w:eastAsia="MS Mincho"/>
        </w:rPr>
        <w:t xml:space="preserve">908, содержащейся в подразделе 4.1.4.1, или инструкцией по упаковке </w:t>
      </w:r>
      <w:r w:rsidRPr="004E4B87">
        <w:rPr>
          <w:rFonts w:eastAsia="MS Mincho"/>
        </w:rPr>
        <w:t>LP</w:t>
      </w:r>
      <w:r w:rsidRPr="00904DC9">
        <w:rPr>
          <w:rFonts w:eastAsia="MS Mincho"/>
        </w:rPr>
        <w:t>904, содержащейся в подразделе 4.1.4.3, в</w:t>
      </w:r>
      <w:r w:rsidR="00F92862">
        <w:rPr>
          <w:rFonts w:eastAsia="MS Mincho"/>
          <w:lang w:val="en-US"/>
        </w:rPr>
        <w:t> </w:t>
      </w:r>
      <w:r w:rsidRPr="00904DC9">
        <w:rPr>
          <w:rFonts w:eastAsia="MS Mincho"/>
        </w:rPr>
        <w:t>зависимости от конкретного случая».</w:t>
      </w:r>
    </w:p>
    <w:p w14:paraId="06269375" w14:textId="77777777" w:rsidR="004C0019" w:rsidRPr="00904DC9" w:rsidRDefault="004C0019" w:rsidP="004C0019">
      <w:pPr>
        <w:pStyle w:val="SingleTxtG"/>
        <w:rPr>
          <w:rFonts w:eastAsia="MS Mincho"/>
        </w:rPr>
      </w:pPr>
      <w:r w:rsidRPr="00904DC9">
        <w:t>Специальное положение</w:t>
      </w:r>
      <w:r w:rsidRPr="00904DC9">
        <w:rPr>
          <w:rFonts w:eastAsia="MS Mincho"/>
        </w:rPr>
        <w:t xml:space="preserve"> 377</w:t>
      </w:r>
    </w:p>
    <w:p w14:paraId="10F3A0E3" w14:textId="77777777" w:rsidR="004C0019" w:rsidRPr="00904DC9" w:rsidRDefault="004C0019" w:rsidP="004C0019">
      <w:pPr>
        <w:pStyle w:val="SingleTxtG"/>
        <w:ind w:left="2268"/>
        <w:rPr>
          <w:rFonts w:eastAsia="MS Mincho"/>
        </w:rPr>
      </w:pPr>
      <w:r w:rsidRPr="00904DC9">
        <w:rPr>
          <w:rFonts w:eastAsia="MS Mincho"/>
        </w:rPr>
        <w:t xml:space="preserve">В последнем абзаце, исключить «и упаковываться в соответствии с инструкцией по упаковке Р908, содержащейся в подразделе 4.1.4.1, или инструкцией по упаковке </w:t>
      </w:r>
      <w:r w:rsidRPr="004E4B87">
        <w:rPr>
          <w:rFonts w:eastAsia="MS Mincho"/>
        </w:rPr>
        <w:t>LP</w:t>
      </w:r>
      <w:r w:rsidRPr="00904DC9">
        <w:rPr>
          <w:rFonts w:eastAsia="MS Mincho"/>
        </w:rPr>
        <w:t>904, содержащейся в подразделе 4.1.4.3, в</w:t>
      </w:r>
      <w:r w:rsidR="00C24455">
        <w:rPr>
          <w:rFonts w:eastAsia="MS Mincho"/>
          <w:lang w:val="en-US"/>
        </w:rPr>
        <w:t> </w:t>
      </w:r>
      <w:r w:rsidRPr="00904DC9">
        <w:rPr>
          <w:rFonts w:eastAsia="MS Mincho"/>
        </w:rPr>
        <w:t>зависимости от конкретного случая</w:t>
      </w:r>
      <w:r w:rsidRPr="00904DC9">
        <w:t>»</w:t>
      </w:r>
      <w:r w:rsidRPr="00904DC9">
        <w:rPr>
          <w:rFonts w:eastAsia="MS Mincho"/>
        </w:rPr>
        <w:t>.</w:t>
      </w:r>
    </w:p>
    <w:p w14:paraId="6D6FCC79" w14:textId="77777777" w:rsidR="004C0019" w:rsidRPr="00904DC9" w:rsidRDefault="004C0019" w:rsidP="004C0019">
      <w:pPr>
        <w:pStyle w:val="SingleTxtG"/>
        <w:rPr>
          <w:rFonts w:eastAsia="MS Mincho"/>
        </w:rPr>
      </w:pPr>
      <w:r w:rsidRPr="00904DC9">
        <w:t>Специальное положение</w:t>
      </w:r>
      <w:r w:rsidRPr="00904DC9">
        <w:rPr>
          <w:rFonts w:eastAsia="MS Mincho"/>
        </w:rPr>
        <w:t xml:space="preserve"> 672</w:t>
      </w:r>
    </w:p>
    <w:p w14:paraId="75043E02" w14:textId="77777777" w:rsidR="004C0019" w:rsidRPr="00904DC9" w:rsidRDefault="004C0019" w:rsidP="004C0019">
      <w:pPr>
        <w:pStyle w:val="SingleTxtG"/>
        <w:ind w:left="2268"/>
        <w:rPr>
          <w:rFonts w:eastAsia="MS Mincho"/>
        </w:rPr>
      </w:pPr>
      <w:r w:rsidRPr="00904DC9">
        <w:rPr>
          <w:rFonts w:eastAsia="MS Mincho"/>
        </w:rPr>
        <w:t>В начале первого предложения заменить «Машины и приборы» на «Изделия, такие как машины, приборы или устройства». Во втором подпункте, начинающемся с тире, заменить «машина или прибор сконструированы и изготовлены» на «изделие сконструировано и изготовлено».</w:t>
      </w:r>
    </w:p>
    <w:p w14:paraId="3ECBBCE6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4.3</w:t>
      </w:r>
    </w:p>
    <w:p w14:paraId="291AAC3B" w14:textId="77777777" w:rsidR="004C0019" w:rsidRPr="004E4B87" w:rsidRDefault="004C0019" w:rsidP="004C0019">
      <w:pPr>
        <w:pStyle w:val="SingleTxtGR"/>
      </w:pPr>
      <w:r w:rsidRPr="004E4B87">
        <w:t>4.3.4.2.2</w:t>
      </w:r>
      <w:r w:rsidRPr="004E4B87">
        <w:tab/>
        <w:t>Во втором предложении заменить «с корпусом» на «c цистерной».</w:t>
      </w:r>
    </w:p>
    <w:p w14:paraId="7F4E23C1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6.3</w:t>
      </w:r>
    </w:p>
    <w:p w14:paraId="73BE9886" w14:textId="77777777" w:rsidR="004C0019" w:rsidRPr="00904DC9" w:rsidRDefault="004C0019" w:rsidP="004C0019">
      <w:pPr>
        <w:pStyle w:val="SingleTxtG"/>
        <w:rPr>
          <w:rFonts w:eastAsia="MS Mincho"/>
        </w:rPr>
      </w:pPr>
      <w:r w:rsidRPr="00904DC9">
        <w:rPr>
          <w:rFonts w:eastAsia="MS Mincho"/>
        </w:rPr>
        <w:t>6.3.5.3.3 (перенумерованном в</w:t>
      </w:r>
      <w:r w:rsidRPr="00904DC9" w:rsidDel="00382B20">
        <w:rPr>
          <w:rFonts w:eastAsia="MS Mincho"/>
        </w:rPr>
        <w:t xml:space="preserve"> </w:t>
      </w:r>
      <w:r w:rsidRPr="00904DC9">
        <w:rPr>
          <w:rFonts w:eastAsia="MS Mincho"/>
        </w:rPr>
        <w:t>6.3.5.3.2.2)</w:t>
      </w:r>
    </w:p>
    <w:p w14:paraId="71EE3ECB" w14:textId="77777777" w:rsidR="004C0019" w:rsidRPr="00904DC9" w:rsidRDefault="004C0019" w:rsidP="004C0019">
      <w:pPr>
        <w:pStyle w:val="SingleTxtG"/>
        <w:ind w:left="2268"/>
        <w:rPr>
          <w:rFonts w:eastAsia="MS Mincho"/>
        </w:rPr>
      </w:pPr>
      <w:r w:rsidRPr="00904DC9">
        <w:rPr>
          <w:rFonts w:eastAsia="MS Mincho"/>
        </w:rPr>
        <w:t xml:space="preserve">Во вводном предложении, </w:t>
      </w:r>
      <w:r w:rsidRPr="00904DC9">
        <w:t xml:space="preserve">после </w:t>
      </w:r>
      <w:r w:rsidRPr="00904DC9">
        <w:rPr>
          <w:rFonts w:eastAsia="MS Mincho"/>
        </w:rPr>
        <w:t>«</w:t>
      </w:r>
      <w:r w:rsidRPr="00904DC9">
        <w:t>форму барабана»</w:t>
      </w:r>
      <w:r w:rsidRPr="00904DC9">
        <w:rPr>
          <w:rFonts w:eastAsia="MS Mincho"/>
        </w:rPr>
        <w:t xml:space="preserve">, </w:t>
      </w:r>
      <w:r w:rsidRPr="00904DC9">
        <w:t xml:space="preserve">добавить </w:t>
      </w:r>
      <w:r w:rsidRPr="00904DC9">
        <w:rPr>
          <w:rFonts w:eastAsia="MS Mincho"/>
        </w:rPr>
        <w:t>«</w:t>
      </w:r>
      <w:r w:rsidRPr="00904DC9">
        <w:t>или</w:t>
      </w:r>
      <w:r w:rsidR="00C24455">
        <w:rPr>
          <w:lang w:val="en-US"/>
        </w:rPr>
        <w:t> </w:t>
      </w:r>
      <w:r w:rsidRPr="00904DC9">
        <w:t>канистры»</w:t>
      </w:r>
      <w:r w:rsidRPr="00904DC9">
        <w:rPr>
          <w:rFonts w:eastAsia="MS Mincho"/>
        </w:rPr>
        <w:t xml:space="preserve">. В подпунктах </w:t>
      </w:r>
      <w:r w:rsidRPr="004E4B87">
        <w:rPr>
          <w:rFonts w:eastAsia="MS Mincho"/>
        </w:rPr>
        <w:t>a</w:t>
      </w:r>
      <w:r w:rsidRPr="00904DC9">
        <w:rPr>
          <w:rFonts w:eastAsia="MS Mincho"/>
        </w:rPr>
        <w:t xml:space="preserve">) и </w:t>
      </w:r>
      <w:r w:rsidRPr="004E4B87">
        <w:rPr>
          <w:rFonts w:eastAsia="MS Mincho"/>
        </w:rPr>
        <w:t>b</w:t>
      </w:r>
      <w:r w:rsidRPr="00904DC9">
        <w:rPr>
          <w:rFonts w:eastAsia="MS Mincho"/>
        </w:rPr>
        <w:t>), заменить «утор</w:t>
      </w:r>
      <w:r w:rsidRPr="00904DC9">
        <w:t>»</w:t>
      </w:r>
      <w:r w:rsidRPr="00904DC9">
        <w:rPr>
          <w:rFonts w:eastAsia="MS Mincho"/>
        </w:rPr>
        <w:t xml:space="preserve"> на «кромку</w:t>
      </w:r>
      <w:r w:rsidRPr="00904DC9">
        <w:t>»</w:t>
      </w:r>
      <w:r w:rsidRPr="00904DC9">
        <w:rPr>
          <w:rFonts w:eastAsia="MS Mincho"/>
        </w:rPr>
        <w:t>. В</w:t>
      </w:r>
      <w:r w:rsidR="00F92862">
        <w:rPr>
          <w:rFonts w:eastAsia="MS Mincho"/>
          <w:lang w:val="en-US"/>
        </w:rPr>
        <w:t> </w:t>
      </w:r>
      <w:r w:rsidRPr="00904DC9">
        <w:rPr>
          <w:rFonts w:eastAsia="MS Mincho"/>
        </w:rPr>
        <w:t xml:space="preserve">подпункте </w:t>
      </w:r>
      <w:r w:rsidRPr="004E4B87">
        <w:rPr>
          <w:rFonts w:eastAsia="MS Mincho"/>
        </w:rPr>
        <w:t>c</w:t>
      </w:r>
      <w:r w:rsidRPr="00904DC9">
        <w:rPr>
          <w:rFonts w:eastAsia="MS Mincho"/>
        </w:rPr>
        <w:t>), заменить «на бок</w:t>
      </w:r>
      <w:r w:rsidRPr="00904DC9">
        <w:t>»</w:t>
      </w:r>
      <w:r w:rsidRPr="00904DC9">
        <w:rPr>
          <w:rFonts w:eastAsia="MS Mincho"/>
        </w:rPr>
        <w:t xml:space="preserve"> на «на корпус или набок</w:t>
      </w:r>
      <w:r w:rsidRPr="00904DC9">
        <w:t>»</w:t>
      </w:r>
      <w:r w:rsidRPr="00904DC9">
        <w:rPr>
          <w:rFonts w:eastAsia="MS Mincho"/>
        </w:rPr>
        <w:t>.</w:t>
      </w:r>
    </w:p>
    <w:p w14:paraId="5BEBE429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lastRenderedPageBreak/>
        <w:tab/>
      </w:r>
      <w:r w:rsidRPr="00904DC9">
        <w:rPr>
          <w:rFonts w:eastAsia="MS Mincho"/>
        </w:rPr>
        <w:tab/>
        <w:t>Глава 6.4</w:t>
      </w:r>
    </w:p>
    <w:p w14:paraId="039CE0D3" w14:textId="77777777" w:rsidR="004C0019" w:rsidRPr="00904DC9" w:rsidRDefault="004C0019" w:rsidP="004C0019">
      <w:pPr>
        <w:pStyle w:val="SingleTxtG"/>
        <w:ind w:left="2268" w:hanging="1134"/>
      </w:pPr>
      <w:r w:rsidRPr="00904DC9">
        <w:t xml:space="preserve">6.4.23.12 </w:t>
      </w:r>
      <w:r w:rsidRPr="008960BC">
        <w:rPr>
          <w:lang w:val="en-US"/>
        </w:rPr>
        <w:t>a</w:t>
      </w:r>
      <w:proofErr w:type="gramStart"/>
      <w:r w:rsidRPr="00904DC9">
        <w:t>)</w:t>
      </w:r>
      <w:proofErr w:type="gramEnd"/>
      <w:r w:rsidRPr="00904DC9">
        <w:tab/>
        <w:t xml:space="preserve">Заменить </w:t>
      </w:r>
      <w:r w:rsidRPr="00904DC9">
        <w:rPr>
          <w:rFonts w:eastAsia="MS Mincho"/>
        </w:rPr>
        <w:t>«</w:t>
      </w:r>
      <w:r w:rsidRPr="008960BC">
        <w:rPr>
          <w:lang w:val="en-US"/>
        </w:rPr>
        <w:t>A</w:t>
      </w:r>
      <w:r w:rsidRPr="00904DC9">
        <w:t>/132/</w:t>
      </w:r>
      <w:r w:rsidRPr="008960BC">
        <w:rPr>
          <w:lang w:val="en-US"/>
        </w:rPr>
        <w:t>B</w:t>
      </w:r>
      <w:r w:rsidRPr="00904DC9">
        <w:t>(</w:t>
      </w:r>
      <w:r w:rsidRPr="008960BC">
        <w:rPr>
          <w:lang w:val="en-US"/>
        </w:rPr>
        <w:t>M</w:t>
      </w:r>
      <w:r w:rsidRPr="00904DC9">
        <w:t>)</w:t>
      </w:r>
      <w:r w:rsidRPr="008960BC">
        <w:rPr>
          <w:lang w:val="en-US"/>
        </w:rPr>
        <w:t>F</w:t>
      </w:r>
      <w:r w:rsidRPr="00904DC9">
        <w:t xml:space="preserve">-96» на </w:t>
      </w:r>
      <w:r w:rsidRPr="00904DC9">
        <w:rPr>
          <w:rFonts w:eastAsia="MS Mincho"/>
        </w:rPr>
        <w:t>«</w:t>
      </w:r>
      <w:r w:rsidRPr="008960BC">
        <w:rPr>
          <w:lang w:val="en-US"/>
        </w:rPr>
        <w:t>A</w:t>
      </w:r>
      <w:r w:rsidRPr="00904DC9">
        <w:t>/132/</w:t>
      </w:r>
      <w:r w:rsidRPr="008960BC">
        <w:rPr>
          <w:lang w:val="en-US"/>
        </w:rPr>
        <w:t>B</w:t>
      </w:r>
      <w:r w:rsidRPr="00904DC9">
        <w:t>(</w:t>
      </w:r>
      <w:r w:rsidRPr="008960BC">
        <w:rPr>
          <w:lang w:val="en-US"/>
        </w:rPr>
        <w:t>M</w:t>
      </w:r>
      <w:r w:rsidRPr="00904DC9">
        <w:t>)</w:t>
      </w:r>
      <w:r w:rsidRPr="008960BC">
        <w:rPr>
          <w:lang w:val="en-US"/>
        </w:rPr>
        <w:t>F</w:t>
      </w:r>
      <w:r w:rsidRPr="00904DC9">
        <w:t xml:space="preserve">». Заменить </w:t>
      </w:r>
      <w:r w:rsidR="00F92862">
        <w:br/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>-96</w:t>
      </w:r>
      <w:r w:rsidRPr="004E4B87">
        <w:t>T</w:t>
      </w:r>
      <w:r w:rsidRPr="00904DC9">
        <w:t xml:space="preserve">» на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FT</w:t>
      </w:r>
      <w:r w:rsidRPr="00904DC9">
        <w:t xml:space="preserve">». Заменить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/139/</w:t>
      </w:r>
      <w:r w:rsidRPr="004E4B87">
        <w:t>IF</w:t>
      </w:r>
      <w:r w:rsidRPr="00904DC9">
        <w:t xml:space="preserve">-96» на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/139/</w:t>
      </w:r>
      <w:r w:rsidRPr="004E4B87">
        <w:t>IF</w:t>
      </w:r>
      <w:r w:rsidRPr="00904DC9">
        <w:t xml:space="preserve">». Заменить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/145/</w:t>
      </w:r>
      <w:r w:rsidRPr="004E4B87">
        <w:t>H</w:t>
      </w:r>
      <w:r w:rsidRPr="00904DC9">
        <w:t>(</w:t>
      </w:r>
      <w:r w:rsidRPr="004E4B87">
        <w:t>U</w:t>
      </w:r>
      <w:r w:rsidRPr="00904DC9">
        <w:t xml:space="preserve">)-96» на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/145/</w:t>
      </w:r>
      <w:r w:rsidRPr="004E4B87">
        <w:t>H</w:t>
      </w:r>
      <w:r w:rsidRPr="00904DC9">
        <w:t>(</w:t>
      </w:r>
      <w:r w:rsidRPr="004E4B87">
        <w:t>U</w:t>
      </w:r>
      <w:r w:rsidRPr="00904DC9">
        <w:t xml:space="preserve">)». </w:t>
      </w:r>
    </w:p>
    <w:p w14:paraId="3469AFA8" w14:textId="77777777" w:rsidR="004C0019" w:rsidRPr="00904DC9" w:rsidRDefault="004C0019" w:rsidP="004C0019">
      <w:pPr>
        <w:pStyle w:val="SingleTxtG"/>
        <w:ind w:left="2268" w:hanging="1134"/>
      </w:pPr>
      <w:r w:rsidRPr="00904DC9">
        <w:t xml:space="preserve">6.4.23.12 </w:t>
      </w:r>
      <w:r w:rsidRPr="004E4B87">
        <w:t>b</w:t>
      </w:r>
      <w:proofErr w:type="gramStart"/>
      <w:r w:rsidRPr="00904DC9">
        <w:t>)</w:t>
      </w:r>
      <w:proofErr w:type="gramEnd"/>
      <w:r w:rsidRPr="00904DC9">
        <w:tab/>
        <w:t xml:space="preserve">Заменить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 xml:space="preserve">-96» на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 xml:space="preserve">» и заменить </w:t>
      </w:r>
      <w:r w:rsidRPr="00904DC9">
        <w:rPr>
          <w:rFonts w:eastAsia="MS Mincho"/>
        </w:rPr>
        <w:t>«</w:t>
      </w:r>
      <w:r w:rsidRPr="004E4B87">
        <w:t>CH</w:t>
      </w:r>
      <w:r w:rsidRPr="00904DC9">
        <w:t>/28/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 xml:space="preserve">-96» на </w:t>
      </w:r>
      <w:r w:rsidRPr="00904DC9">
        <w:rPr>
          <w:rFonts w:eastAsia="MS Mincho"/>
        </w:rPr>
        <w:t>«</w:t>
      </w:r>
      <w:r w:rsidRPr="004E4B87">
        <w:t>CH</w:t>
      </w:r>
      <w:r w:rsidRPr="00904DC9">
        <w:t>/28/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>».</w:t>
      </w:r>
    </w:p>
    <w:p w14:paraId="558491ED" w14:textId="77777777" w:rsidR="004C0019" w:rsidRPr="004C0019" w:rsidRDefault="004C0019" w:rsidP="004C0019">
      <w:pPr>
        <w:pStyle w:val="SingleTxtG"/>
        <w:ind w:left="2268" w:hanging="1134"/>
      </w:pPr>
      <w:r w:rsidRPr="004C0019">
        <w:t xml:space="preserve">6.4.23.12 </w:t>
      </w:r>
      <w:r w:rsidRPr="003273C4">
        <w:rPr>
          <w:lang w:val="en-US"/>
        </w:rPr>
        <w:t>c</w:t>
      </w:r>
      <w:proofErr w:type="gramStart"/>
      <w:r w:rsidRPr="004C0019">
        <w:t>)</w:t>
      </w:r>
      <w:proofErr w:type="gramEnd"/>
      <w:r w:rsidRPr="004C0019">
        <w:tab/>
      </w:r>
      <w:r w:rsidRPr="004E4B87">
        <w:t>Заменить</w:t>
      </w:r>
      <w:r w:rsidRPr="004C0019">
        <w:t xml:space="preserve"> </w:t>
      </w:r>
      <w:r w:rsidRPr="004C0019">
        <w:rPr>
          <w:rFonts w:eastAsia="MS Mincho"/>
        </w:rPr>
        <w:t>«</w:t>
      </w:r>
      <w:r w:rsidRPr="003273C4">
        <w:rPr>
          <w:lang w:val="en-US"/>
        </w:rPr>
        <w:t>A</w:t>
      </w:r>
      <w:r w:rsidRPr="004C0019">
        <w:t>/132/</w:t>
      </w:r>
      <w:r w:rsidRPr="003273C4">
        <w:rPr>
          <w:lang w:val="en-US"/>
        </w:rPr>
        <w:t>B</w:t>
      </w:r>
      <w:r w:rsidRPr="004C0019">
        <w:t>(</w:t>
      </w:r>
      <w:r w:rsidRPr="003273C4">
        <w:rPr>
          <w:lang w:val="en-US"/>
        </w:rPr>
        <w:t>M</w:t>
      </w:r>
      <w:r w:rsidRPr="004C0019">
        <w:t>)</w:t>
      </w:r>
      <w:r w:rsidRPr="003273C4">
        <w:rPr>
          <w:lang w:val="en-US"/>
        </w:rPr>
        <w:t>F</w:t>
      </w:r>
      <w:r w:rsidRPr="004C0019">
        <w:t>-96</w:t>
      </w:r>
      <w:r w:rsidRPr="003273C4">
        <w:rPr>
          <w:lang w:val="en-US"/>
        </w:rPr>
        <w:t> </w:t>
      </w:r>
      <w:r w:rsidRPr="004C0019">
        <w:t>(</w:t>
      </w:r>
      <w:r w:rsidRPr="003273C4">
        <w:rPr>
          <w:lang w:val="en-US"/>
        </w:rPr>
        <w:t>Rev</w:t>
      </w:r>
      <w:r w:rsidRPr="004C0019">
        <w:t xml:space="preserve">.2)» </w:t>
      </w:r>
      <w:r w:rsidRPr="004E4B87">
        <w:t>на</w:t>
      </w:r>
      <w:r w:rsidRPr="004C0019">
        <w:t xml:space="preserve"> </w:t>
      </w:r>
      <w:r w:rsidRPr="004C0019">
        <w:rPr>
          <w:rFonts w:eastAsia="MS Mincho"/>
        </w:rPr>
        <w:t>«</w:t>
      </w:r>
      <w:r w:rsidRPr="003273C4">
        <w:rPr>
          <w:lang w:val="en-US"/>
        </w:rPr>
        <w:t>A</w:t>
      </w:r>
      <w:r w:rsidRPr="004C0019">
        <w:t>/132/</w:t>
      </w:r>
      <w:r w:rsidRPr="003273C4">
        <w:rPr>
          <w:lang w:val="en-US"/>
        </w:rPr>
        <w:t>B</w:t>
      </w:r>
      <w:r w:rsidRPr="004C0019">
        <w:t>(</w:t>
      </w:r>
      <w:r w:rsidRPr="003273C4">
        <w:rPr>
          <w:lang w:val="en-US"/>
        </w:rPr>
        <w:t>M</w:t>
      </w:r>
      <w:r w:rsidRPr="004C0019">
        <w:t>)</w:t>
      </w:r>
      <w:r w:rsidRPr="003273C4">
        <w:rPr>
          <w:lang w:val="en-US"/>
        </w:rPr>
        <w:t>F </w:t>
      </w:r>
      <w:r w:rsidRPr="004C0019">
        <w:t>(</w:t>
      </w:r>
      <w:r w:rsidRPr="003273C4">
        <w:rPr>
          <w:lang w:val="en-US"/>
        </w:rPr>
        <w:t>Rev</w:t>
      </w:r>
      <w:r w:rsidRPr="004C0019">
        <w:t xml:space="preserve">.2)» </w:t>
      </w:r>
      <w:r w:rsidRPr="004E4B87">
        <w:t>и</w:t>
      </w:r>
      <w:r w:rsidRPr="004C0019">
        <w:t xml:space="preserve"> </w:t>
      </w:r>
      <w:r w:rsidRPr="004E4B87">
        <w:t>заменить</w:t>
      </w:r>
      <w:r w:rsidRPr="004C0019">
        <w:t xml:space="preserve"> </w:t>
      </w:r>
      <w:r w:rsidRPr="004C0019">
        <w:rPr>
          <w:rFonts w:eastAsia="MS Mincho"/>
        </w:rPr>
        <w:t>«</w:t>
      </w:r>
      <w:r w:rsidRPr="003273C4">
        <w:rPr>
          <w:lang w:val="en-US"/>
        </w:rPr>
        <w:t>A</w:t>
      </w:r>
      <w:r w:rsidRPr="004C0019">
        <w:t>/132/</w:t>
      </w:r>
      <w:r w:rsidRPr="003273C4">
        <w:rPr>
          <w:lang w:val="en-US"/>
        </w:rPr>
        <w:t>B</w:t>
      </w:r>
      <w:r w:rsidRPr="004C0019">
        <w:t>(</w:t>
      </w:r>
      <w:r w:rsidRPr="003273C4">
        <w:rPr>
          <w:lang w:val="en-US"/>
        </w:rPr>
        <w:t>M</w:t>
      </w:r>
      <w:r w:rsidRPr="004C0019">
        <w:t>)</w:t>
      </w:r>
      <w:r w:rsidRPr="003273C4">
        <w:rPr>
          <w:lang w:val="en-US"/>
        </w:rPr>
        <w:t>F</w:t>
      </w:r>
      <w:r w:rsidRPr="004C0019">
        <w:t>-96(</w:t>
      </w:r>
      <w:r w:rsidRPr="003273C4">
        <w:rPr>
          <w:lang w:val="en-US"/>
        </w:rPr>
        <w:t>Rev</w:t>
      </w:r>
      <w:r w:rsidRPr="004C0019">
        <w:t xml:space="preserve">.0)» </w:t>
      </w:r>
      <w:r w:rsidRPr="004E4B87">
        <w:t>на</w:t>
      </w:r>
      <w:r w:rsidRPr="004C0019">
        <w:t xml:space="preserve"> </w:t>
      </w:r>
      <w:r w:rsidRPr="004C0019">
        <w:rPr>
          <w:rFonts w:eastAsia="MS Mincho"/>
        </w:rPr>
        <w:t>«</w:t>
      </w:r>
      <w:r w:rsidRPr="003273C4">
        <w:rPr>
          <w:lang w:val="en-US"/>
        </w:rPr>
        <w:t>A</w:t>
      </w:r>
      <w:r w:rsidRPr="004C0019">
        <w:t>/132/</w:t>
      </w:r>
      <w:r w:rsidRPr="003273C4">
        <w:rPr>
          <w:lang w:val="en-US"/>
        </w:rPr>
        <w:t>B</w:t>
      </w:r>
      <w:r w:rsidRPr="004C0019">
        <w:t>(</w:t>
      </w:r>
      <w:r w:rsidRPr="003273C4">
        <w:rPr>
          <w:lang w:val="en-US"/>
        </w:rPr>
        <w:t>M</w:t>
      </w:r>
      <w:r w:rsidRPr="004C0019">
        <w:t>)</w:t>
      </w:r>
      <w:r w:rsidRPr="003273C4">
        <w:rPr>
          <w:lang w:val="en-US"/>
        </w:rPr>
        <w:t>F</w:t>
      </w:r>
      <w:r w:rsidRPr="004C0019">
        <w:t xml:space="preserve"> (</w:t>
      </w:r>
      <w:r w:rsidRPr="003273C4">
        <w:rPr>
          <w:lang w:val="en-US"/>
        </w:rPr>
        <w:t>Rev</w:t>
      </w:r>
      <w:r w:rsidRPr="004C0019">
        <w:t>.0)».</w:t>
      </w:r>
    </w:p>
    <w:p w14:paraId="59DF1F64" w14:textId="77777777" w:rsidR="004C0019" w:rsidRPr="00904DC9" w:rsidRDefault="004C0019" w:rsidP="004C0019">
      <w:pPr>
        <w:pStyle w:val="SingleTxtG"/>
      </w:pPr>
      <w:r w:rsidRPr="00904DC9">
        <w:t xml:space="preserve">6.4.23.12 </w:t>
      </w:r>
      <w:r w:rsidRPr="004E4B87">
        <w:t>d</w:t>
      </w:r>
      <w:proofErr w:type="gramStart"/>
      <w:r w:rsidRPr="00904DC9">
        <w:t>)</w:t>
      </w:r>
      <w:proofErr w:type="gramEnd"/>
      <w:r w:rsidRPr="00904DC9">
        <w:tab/>
        <w:t xml:space="preserve">Заменить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>-96(</w:t>
      </w:r>
      <w:r w:rsidRPr="004E4B87">
        <w:t>SP</w:t>
      </w:r>
      <w:r w:rsidRPr="00904DC9">
        <w:t xml:space="preserve">503)» на </w:t>
      </w:r>
      <w:r w:rsidRPr="00904DC9">
        <w:rPr>
          <w:rFonts w:eastAsia="MS Mincho"/>
        </w:rPr>
        <w:t>«</w:t>
      </w:r>
      <w:r w:rsidRPr="004E4B87">
        <w:t>A</w:t>
      </w:r>
      <w:r w:rsidRPr="00904DC9">
        <w:t>/132/</w:t>
      </w:r>
      <w:r w:rsidRPr="004E4B87">
        <w:t>B</w:t>
      </w:r>
      <w:r w:rsidRPr="00904DC9">
        <w:t>(</w:t>
      </w:r>
      <w:r w:rsidRPr="004E4B87">
        <w:t>M</w:t>
      </w:r>
      <w:r w:rsidRPr="00904DC9">
        <w:t>)</w:t>
      </w:r>
      <w:r w:rsidRPr="004E4B87">
        <w:t>F</w:t>
      </w:r>
      <w:r w:rsidRPr="00904DC9">
        <w:t xml:space="preserve"> (</w:t>
      </w:r>
      <w:r w:rsidRPr="004E4B87">
        <w:t>SP</w:t>
      </w:r>
      <w:r w:rsidRPr="00904DC9">
        <w:t>503)».</w:t>
      </w:r>
    </w:p>
    <w:p w14:paraId="5FC4278D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9.1</w:t>
      </w:r>
    </w:p>
    <w:p w14:paraId="032E3F77" w14:textId="77777777" w:rsidR="004C0019" w:rsidRPr="00904DC9" w:rsidRDefault="004C0019" w:rsidP="004C0019">
      <w:pPr>
        <w:pStyle w:val="SingleTxtG"/>
        <w:ind w:left="2268" w:hanging="1134"/>
        <w:rPr>
          <w:rFonts w:asciiTheme="majorBidi" w:eastAsia="BatangChe" w:hAnsiTheme="majorBidi" w:cstheme="majorBidi"/>
        </w:rPr>
      </w:pPr>
      <w:r w:rsidRPr="00904DC9">
        <w:rPr>
          <w:rFonts w:eastAsia="MS Mincho"/>
        </w:rPr>
        <w:t>9.1.3.4</w:t>
      </w: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 xml:space="preserve">В последнем абзаце, </w:t>
      </w:r>
      <w:r w:rsidRPr="00904DC9">
        <w:t xml:space="preserve">заменить </w:t>
      </w:r>
      <w:r w:rsidRPr="00904DC9">
        <w:rPr>
          <w:rFonts w:eastAsia="MS Mincho"/>
        </w:rPr>
        <w:t>«</w:t>
      </w:r>
      <w:r w:rsidRPr="00904DC9">
        <w:rPr>
          <w:sz w:val="21"/>
          <w:szCs w:val="21"/>
        </w:rPr>
        <w:t>это положение не означает</w:t>
      </w:r>
      <w:r w:rsidRPr="00904DC9">
        <w:t xml:space="preserve">» на </w:t>
      </w:r>
      <w:r w:rsidRPr="00904DC9">
        <w:rPr>
          <w:rFonts w:eastAsia="MS Mincho"/>
        </w:rPr>
        <w:t>«</w:t>
      </w:r>
      <w:r w:rsidRPr="00904DC9">
        <w:rPr>
          <w:rFonts w:asciiTheme="majorBidi" w:eastAsia="BatangChe" w:hAnsiTheme="majorBidi" w:cstheme="majorBidi"/>
        </w:rPr>
        <w:t>эти</w:t>
      </w:r>
      <w:r w:rsidR="00C24455">
        <w:rPr>
          <w:rFonts w:asciiTheme="majorBidi" w:eastAsia="BatangChe" w:hAnsiTheme="majorBidi" w:cstheme="majorBidi"/>
          <w:lang w:val="en-US"/>
        </w:rPr>
        <w:t> </w:t>
      </w:r>
      <w:r w:rsidRPr="00904DC9">
        <w:rPr>
          <w:rFonts w:asciiTheme="majorBidi" w:eastAsia="BatangChe" w:hAnsiTheme="majorBidi" w:cstheme="majorBidi"/>
        </w:rPr>
        <w:t>положения не означают</w:t>
      </w:r>
      <w:r w:rsidRPr="00904DC9">
        <w:t>»</w:t>
      </w:r>
      <w:r w:rsidRPr="00904DC9">
        <w:rPr>
          <w:rFonts w:asciiTheme="majorBidi" w:eastAsia="BatangChe" w:hAnsiTheme="majorBidi" w:cstheme="majorBidi"/>
        </w:rPr>
        <w:t>.</w:t>
      </w:r>
    </w:p>
    <w:p w14:paraId="204579A5" w14:textId="77777777" w:rsidR="004C0019" w:rsidRPr="00904DC9" w:rsidRDefault="004C0019" w:rsidP="004C0019">
      <w:pPr>
        <w:pStyle w:val="SingleTxtG"/>
        <w:ind w:left="2268" w:hanging="1134"/>
        <w:rPr>
          <w:rFonts w:eastAsia="MS Mincho"/>
        </w:rPr>
      </w:pPr>
      <w:r w:rsidRPr="00904DC9">
        <w:t>9.1.3.5</w:t>
      </w:r>
      <w:r w:rsidRPr="00904DC9">
        <w:tab/>
      </w:r>
      <w:r w:rsidRPr="00904DC9">
        <w:rPr>
          <w:rFonts w:eastAsia="MS Mincho"/>
        </w:rPr>
        <w:t>В образце свидетельства о допущении транспортных средств, к перевозке некоторых опасных грузов, исключить «европейский».</w:t>
      </w:r>
    </w:p>
    <w:p w14:paraId="24587860" w14:textId="77777777" w:rsidR="004C0019" w:rsidRPr="00904DC9" w:rsidRDefault="004C0019" w:rsidP="004C0019">
      <w:pPr>
        <w:pStyle w:val="H1G"/>
      </w:pPr>
      <w:r w:rsidRPr="00904DC9">
        <w:tab/>
      </w:r>
      <w:r w:rsidRPr="004E4B87">
        <w:t>II</w:t>
      </w:r>
      <w:r w:rsidRPr="00904DC9">
        <w:t>.</w:t>
      </w:r>
      <w:r w:rsidRPr="00904DC9">
        <w:tab/>
        <w:t>Проект</w:t>
      </w:r>
      <w:r>
        <w:t>ы</w:t>
      </w:r>
      <w:r w:rsidRPr="00904DC9">
        <w:t xml:space="preserve"> поправок, предложенны</w:t>
      </w:r>
      <w:r>
        <w:t>е</w:t>
      </w:r>
      <w:r w:rsidRPr="00904DC9">
        <w:t xml:space="preserve"> Рабочей группой по цистернам</w:t>
      </w:r>
    </w:p>
    <w:p w14:paraId="710EC5A7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1.4</w:t>
      </w:r>
    </w:p>
    <w:p w14:paraId="5EC17C25" w14:textId="77777777" w:rsidR="004C0019" w:rsidRPr="00904DC9" w:rsidRDefault="004C0019" w:rsidP="004C0019">
      <w:pPr>
        <w:pStyle w:val="SingleTxtG"/>
        <w:ind w:left="2268" w:hanging="1134"/>
      </w:pPr>
      <w:r w:rsidRPr="00904DC9">
        <w:t xml:space="preserve">1.4.2.2.1 </w:t>
      </w:r>
      <w:r w:rsidRPr="004E4B87">
        <w:t>d</w:t>
      </w:r>
      <w:proofErr w:type="gramStart"/>
      <w:r w:rsidRPr="00904DC9">
        <w:t>)</w:t>
      </w:r>
      <w:proofErr w:type="gramEnd"/>
      <w:r w:rsidRPr="00904DC9">
        <w:tab/>
        <w:t xml:space="preserve">Заменить «следующего испытания» на «следующей проверки». </w:t>
      </w:r>
    </w:p>
    <w:p w14:paraId="3FC4879C" w14:textId="77777777" w:rsidR="004C0019" w:rsidRPr="00904DC9" w:rsidRDefault="004C0019" w:rsidP="004C0019">
      <w:pPr>
        <w:pStyle w:val="SingleTxtG"/>
        <w:ind w:left="2268" w:hanging="1134"/>
      </w:pPr>
      <w:r w:rsidRPr="00904DC9">
        <w:t xml:space="preserve">1.4.3.3 </w:t>
      </w:r>
      <w:r w:rsidRPr="004E4B87">
        <w:t>b</w:t>
      </w:r>
      <w:proofErr w:type="gramStart"/>
      <w:r w:rsidRPr="00904DC9">
        <w:t>)</w:t>
      </w:r>
      <w:proofErr w:type="gramEnd"/>
      <w:r w:rsidRPr="00904DC9">
        <w:tab/>
        <w:t>Заменить «следующего испытания» на «следующей проверки».</w:t>
      </w:r>
    </w:p>
    <w:p w14:paraId="71934249" w14:textId="77777777" w:rsidR="004C0019" w:rsidRPr="00904DC9" w:rsidRDefault="004C0019" w:rsidP="004C0019">
      <w:pPr>
        <w:pStyle w:val="SingleTxtG"/>
        <w:ind w:left="2268" w:hanging="1134"/>
      </w:pPr>
      <w:r w:rsidRPr="00904DC9">
        <w:t xml:space="preserve">1.4.3.4 </w:t>
      </w:r>
      <w:r w:rsidRPr="004E4B87">
        <w:t>a</w:t>
      </w:r>
      <w:proofErr w:type="gramStart"/>
      <w:r w:rsidRPr="00904DC9">
        <w:t>)</w:t>
      </w:r>
      <w:proofErr w:type="gramEnd"/>
      <w:r w:rsidRPr="00904DC9">
        <w:t xml:space="preserve"> </w:t>
      </w:r>
      <w:r w:rsidRPr="00904DC9">
        <w:tab/>
        <w:t xml:space="preserve">Заменить «испытаний» на «проверок и испытаний». </w:t>
      </w:r>
    </w:p>
    <w:p w14:paraId="3962E9D3" w14:textId="77777777" w:rsidR="004C0019" w:rsidRPr="00904DC9" w:rsidRDefault="004C0019" w:rsidP="004C0019">
      <w:pPr>
        <w:snapToGrid w:val="0"/>
        <w:spacing w:after="120"/>
        <w:ind w:left="2268" w:right="561" w:hanging="1134"/>
        <w:jc w:val="both"/>
      </w:pPr>
      <w:r w:rsidRPr="00904DC9">
        <w:t xml:space="preserve">1.4.3.4 </w:t>
      </w:r>
      <w:r w:rsidRPr="004E4B87">
        <w:t>b</w:t>
      </w:r>
      <w:r w:rsidRPr="00904DC9">
        <w:t xml:space="preserve">) </w:t>
      </w:r>
      <w:r w:rsidRPr="00904DC9">
        <w:tab/>
        <w:t xml:space="preserve">Данная поправка касается только текста на французском языке. </w:t>
      </w:r>
    </w:p>
    <w:p w14:paraId="22B10E82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1.6</w:t>
      </w:r>
    </w:p>
    <w:p w14:paraId="7D86564F" w14:textId="77777777" w:rsidR="004C0019" w:rsidRPr="00904DC9" w:rsidRDefault="004C0019" w:rsidP="004C0019">
      <w:pPr>
        <w:pStyle w:val="SingleTxtG"/>
        <w:ind w:left="2268" w:hanging="1134"/>
      </w:pPr>
      <w:r w:rsidRPr="00904DC9">
        <w:t>1.6.3.2</w:t>
      </w:r>
      <w:r w:rsidRPr="00904DC9">
        <w:tab/>
        <w:t>Заменить «испытания» на «проверки».</w:t>
      </w:r>
    </w:p>
    <w:p w14:paraId="25AA00AC" w14:textId="77777777" w:rsidR="004C0019" w:rsidRPr="00904DC9" w:rsidRDefault="004C0019" w:rsidP="004C0019">
      <w:pPr>
        <w:pStyle w:val="SingleTxtG"/>
        <w:ind w:left="2268" w:hanging="1134"/>
      </w:pPr>
      <w:r w:rsidRPr="00904DC9">
        <w:t>1.6.3.8</w:t>
      </w:r>
      <w:r w:rsidRPr="00904DC9">
        <w:tab/>
        <w:t>Заменить «следующего испытания» на «следующей проверки».</w:t>
      </w:r>
    </w:p>
    <w:p w14:paraId="05E89696" w14:textId="77777777" w:rsidR="004C0019" w:rsidRPr="00904DC9" w:rsidRDefault="004C0019" w:rsidP="004C0019">
      <w:pPr>
        <w:snapToGrid w:val="0"/>
        <w:spacing w:after="120"/>
        <w:ind w:left="2268" w:right="561" w:hanging="1134"/>
        <w:jc w:val="both"/>
      </w:pPr>
      <w:r w:rsidRPr="00904DC9">
        <w:t>1.6.3.16</w:t>
      </w:r>
      <w:r w:rsidRPr="00904DC9">
        <w:tab/>
        <w:t>Изменить следующим образом:</w:t>
      </w:r>
    </w:p>
    <w:p w14:paraId="46E5B2A3" w14:textId="77777777" w:rsidR="004C0019" w:rsidRPr="00F92862" w:rsidRDefault="004C0019" w:rsidP="004C0019">
      <w:pPr>
        <w:pStyle w:val="SingleTxtG"/>
        <w:tabs>
          <w:tab w:val="left" w:pos="3119"/>
        </w:tabs>
        <w:ind w:left="2268" w:right="561"/>
      </w:pPr>
      <w:r w:rsidRPr="00904DC9">
        <w:t>«1.6.3.16</w:t>
      </w:r>
      <w:r w:rsidRPr="00904DC9">
        <w:tab/>
        <w:t>В случае встроенных цистерн (автоцистерн), съемных цистерн и транспортных средств-батарей, изготовленных до 1 января 2007 года и не отвечающих требованиям раздела 4.3.2 и подразделов 6.8.2.3, 6.8.2.4 и 6.8.3.4, касающимся комплекта технической документации на цистерну, сбор документов для комплекта документации должен быть начат не позднее первой периодической проверки, проведенной после 30 июня 2007 года»</w:t>
      </w:r>
      <w:r w:rsidR="00F92862" w:rsidRPr="00F92862">
        <w:t>.</w:t>
      </w:r>
    </w:p>
    <w:p w14:paraId="7502EF41" w14:textId="77777777" w:rsidR="004C0019" w:rsidRPr="00904DC9" w:rsidRDefault="004C0019" w:rsidP="004C0019">
      <w:pPr>
        <w:snapToGrid w:val="0"/>
        <w:spacing w:after="120"/>
        <w:ind w:left="2268" w:right="561" w:hanging="1134"/>
        <w:jc w:val="both"/>
      </w:pPr>
      <w:r w:rsidRPr="00904DC9">
        <w:t>1.6.3.33</w:t>
      </w:r>
      <w:r w:rsidRPr="00904DC9">
        <w:tab/>
        <w:t>Данная поправка касается только текста на французском языке.</w:t>
      </w:r>
    </w:p>
    <w:p w14:paraId="0CA17ADD" w14:textId="77777777" w:rsidR="004C0019" w:rsidRPr="00904DC9" w:rsidRDefault="004C0019" w:rsidP="004C0019">
      <w:pPr>
        <w:pStyle w:val="SingleTxtG"/>
        <w:ind w:left="2268" w:hanging="1134"/>
      </w:pPr>
      <w:r w:rsidRPr="00904DC9">
        <w:t>1.6.4.5</w:t>
      </w:r>
      <w:r w:rsidRPr="00904DC9">
        <w:tab/>
        <w:t>Заменить «следующего испытания» на «следующей проверки».</w:t>
      </w:r>
    </w:p>
    <w:p w14:paraId="29F339A4" w14:textId="77777777" w:rsidR="004C0019" w:rsidRPr="00904DC9" w:rsidRDefault="004C0019" w:rsidP="004C0019">
      <w:pPr>
        <w:snapToGrid w:val="0"/>
        <w:spacing w:after="120"/>
        <w:ind w:left="2268" w:right="561" w:hanging="1134"/>
        <w:jc w:val="both"/>
      </w:pPr>
      <w:r w:rsidRPr="00904DC9">
        <w:t>1.6.4.18</w:t>
      </w:r>
      <w:r w:rsidRPr="00904DC9">
        <w:tab/>
        <w:t>Изменить следующим образом:</w:t>
      </w:r>
    </w:p>
    <w:p w14:paraId="72F71BBF" w14:textId="77777777" w:rsidR="004C0019" w:rsidRPr="009A5A18" w:rsidRDefault="004C0019" w:rsidP="004C0019">
      <w:pPr>
        <w:pStyle w:val="SingleTxtG"/>
        <w:tabs>
          <w:tab w:val="left" w:pos="3119"/>
        </w:tabs>
        <w:ind w:left="2268" w:right="561"/>
      </w:pPr>
      <w:r w:rsidRPr="00904DC9">
        <w:t>«1.6.4.18</w:t>
      </w:r>
      <w:r w:rsidRPr="00904DC9">
        <w:tab/>
        <w:t>В случае контейнеров-цистерн и МЭГК, изготовленных до 1 января 2007</w:t>
      </w:r>
      <w:r w:rsidRPr="004E4B87">
        <w:t> </w:t>
      </w:r>
      <w:r w:rsidRPr="00904DC9">
        <w:t>года и не отвечающих требованиям раздела 4.3.2 и подразделов 6.8.2.3, 6.8.2.4 и 6.8.3.4, касающихся комплекта технической документации на цистерну, сбор документов для комплекта документации должен быть начат не позднее первой периодической проверки, проведенной после 30 июня 2007</w:t>
      </w:r>
      <w:r w:rsidR="00F92862">
        <w:rPr>
          <w:lang w:val="en-US"/>
        </w:rPr>
        <w:t> </w:t>
      </w:r>
      <w:r w:rsidRPr="00904DC9">
        <w:t>года»</w:t>
      </w:r>
      <w:r w:rsidR="009A5A18" w:rsidRPr="009A5A18">
        <w:t>.</w:t>
      </w:r>
    </w:p>
    <w:p w14:paraId="0CF0600E" w14:textId="77777777" w:rsidR="004C0019" w:rsidRPr="00904DC9" w:rsidRDefault="004C0019" w:rsidP="004C0019">
      <w:pPr>
        <w:pStyle w:val="SingleTxtG"/>
      </w:pPr>
      <w:r w:rsidRPr="00904DC9">
        <w:t>1.6.4.32</w:t>
      </w:r>
      <w:r w:rsidRPr="00904DC9">
        <w:tab/>
        <w:t>Данная поправка касается только текста на французском языке.</w:t>
      </w:r>
    </w:p>
    <w:p w14:paraId="7CA1C1B0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4.3</w:t>
      </w:r>
    </w:p>
    <w:p w14:paraId="64907D83" w14:textId="77777777" w:rsidR="004C0019" w:rsidRPr="004C0019" w:rsidRDefault="004C0019" w:rsidP="004C0019">
      <w:pPr>
        <w:pStyle w:val="SingleTxtG"/>
      </w:pPr>
      <w:r w:rsidRPr="00904DC9">
        <w:t>4.3.1.4</w:t>
      </w:r>
      <w:r w:rsidRPr="00904DC9">
        <w:tab/>
      </w:r>
      <w:r>
        <w:tab/>
      </w:r>
      <w:r w:rsidRPr="00904DC9">
        <w:t>Заменить «испытаний» на «проверок и испытаний»</w:t>
      </w:r>
      <w:r w:rsidRPr="004C0019">
        <w:t>.</w:t>
      </w:r>
    </w:p>
    <w:p w14:paraId="162BFF1B" w14:textId="77777777" w:rsidR="004C0019" w:rsidRPr="00904DC9" w:rsidRDefault="004C0019" w:rsidP="004C0019">
      <w:pPr>
        <w:pStyle w:val="H23G"/>
        <w:tabs>
          <w:tab w:val="clear" w:pos="851"/>
        </w:tabs>
        <w:ind w:firstLine="0"/>
        <w:rPr>
          <w:rFonts w:eastAsia="MS Mincho"/>
        </w:rPr>
      </w:pPr>
      <w:r w:rsidRPr="00904DC9">
        <w:rPr>
          <w:rFonts w:eastAsia="MS Mincho"/>
        </w:rPr>
        <w:lastRenderedPageBreak/>
        <w:t>Глава 4.7</w:t>
      </w:r>
    </w:p>
    <w:p w14:paraId="30E67398" w14:textId="77777777" w:rsidR="004C0019" w:rsidRPr="00904DC9" w:rsidRDefault="004C0019" w:rsidP="004C0019">
      <w:pPr>
        <w:pStyle w:val="SingleTxtG"/>
        <w:tabs>
          <w:tab w:val="left" w:pos="3261"/>
        </w:tabs>
        <w:ind w:left="2268" w:hanging="1134"/>
      </w:pPr>
      <w:r w:rsidRPr="00904DC9">
        <w:rPr>
          <w:b/>
          <w:bCs/>
          <w:i/>
          <w:iCs/>
        </w:rPr>
        <w:t>ПРИМЕЧАНИЕ 2</w:t>
      </w:r>
      <w:r w:rsidRPr="00904DC9">
        <w:tab/>
        <w:t>Заменить «испытаний» на «проверок и испытаний».</w:t>
      </w:r>
    </w:p>
    <w:p w14:paraId="13ED5E52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6.8</w:t>
      </w:r>
    </w:p>
    <w:p w14:paraId="144829F0" w14:textId="77777777" w:rsidR="004C0019" w:rsidRPr="00904DC9" w:rsidRDefault="004C0019" w:rsidP="004C0019">
      <w:pPr>
        <w:pStyle w:val="SingleTxtG"/>
        <w:tabs>
          <w:tab w:val="left" w:pos="2268"/>
        </w:tabs>
      </w:pPr>
      <w:r w:rsidRPr="00904DC9">
        <w:t>6.8.2.1.23</w:t>
      </w:r>
      <w:r w:rsidRPr="00904DC9">
        <w:tab/>
        <w:t>Изменить первые три предложения следующим образом:</w:t>
      </w:r>
    </w:p>
    <w:p w14:paraId="2F7D8DDE" w14:textId="77777777" w:rsidR="004C0019" w:rsidRPr="00904DC9" w:rsidRDefault="004C0019" w:rsidP="004C0019">
      <w:pPr>
        <w:pStyle w:val="SingleTxtG"/>
        <w:ind w:left="2268"/>
      </w:pPr>
      <w:r w:rsidRPr="00904DC9">
        <w:t>«Проверяющий орган, осуществляющий проверки в соответствии с пунктом 6.8.2.4.1 или 6.8.2.4.4,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сварки».</w:t>
      </w:r>
    </w:p>
    <w:p w14:paraId="7EB84188" w14:textId="77777777" w:rsidR="004C0019" w:rsidRPr="00904DC9" w:rsidRDefault="004C0019" w:rsidP="004C0019">
      <w:pPr>
        <w:pStyle w:val="SingleTxtG"/>
        <w:ind w:left="2268"/>
      </w:pPr>
      <w:r w:rsidRPr="00904DC9">
        <w:t>Изменить последний абзац следующим образом:</w:t>
      </w:r>
    </w:p>
    <w:p w14:paraId="7DB6EDF9" w14:textId="77777777" w:rsidR="004C0019" w:rsidRPr="00904DC9" w:rsidRDefault="004C0019" w:rsidP="004C0019">
      <w:pPr>
        <w:pStyle w:val="SingleTxtG"/>
        <w:ind w:left="2268"/>
      </w:pPr>
      <w:r w:rsidRPr="00904DC9">
        <w:tab/>
        <w:t>«Если имеются сомнения в отношении качества сварных швов, включая сварные швы, выполненные для устранения дефектов, обнаруженных методами неразрушающего контроля, то может потребоваться проведение дополнительных проверок».</w:t>
      </w:r>
    </w:p>
    <w:p w14:paraId="6DD45520" w14:textId="77777777" w:rsidR="004C0019" w:rsidRPr="00904DC9" w:rsidRDefault="004C0019" w:rsidP="004C0019">
      <w:pPr>
        <w:pStyle w:val="SingleTxtG"/>
        <w:ind w:left="2268" w:hanging="1134"/>
      </w:pPr>
      <w:r w:rsidRPr="00904DC9">
        <w:t>6.8.2.3.1</w:t>
      </w:r>
      <w:r w:rsidRPr="00904DC9">
        <w:tab/>
        <w:t xml:space="preserve">В последнем абзаце, заменить в первом предложении </w:t>
      </w:r>
      <w:r w:rsidRPr="00904DC9">
        <w:rPr>
          <w:rFonts w:eastAsia="MS Mincho"/>
        </w:rPr>
        <w:t>«</w:t>
      </w:r>
      <w:r w:rsidRPr="00904DC9">
        <w:t xml:space="preserve">клапанов и другого эксплуатационного оборудования, в отношении которых» на </w:t>
      </w:r>
      <w:r w:rsidRPr="00904DC9">
        <w:rPr>
          <w:rFonts w:eastAsia="MS Mincho"/>
        </w:rPr>
        <w:t>«</w:t>
      </w:r>
      <w:r w:rsidRPr="00904DC9">
        <w:t xml:space="preserve">эксплуатационного оборудования, для которого», и заменить во втором предложении </w:t>
      </w:r>
      <w:r w:rsidRPr="00904DC9">
        <w:rPr>
          <w:rFonts w:eastAsia="MS Mincho"/>
        </w:rPr>
        <w:t>«</w:t>
      </w:r>
      <w:r w:rsidRPr="00904DC9">
        <w:t xml:space="preserve">клапаны и другое эксплуатационное оборудование пригодны» на </w:t>
      </w:r>
      <w:r w:rsidRPr="00904DC9">
        <w:rPr>
          <w:rFonts w:eastAsia="MS Mincho"/>
        </w:rPr>
        <w:t>«</w:t>
      </w:r>
      <w:r w:rsidRPr="00904DC9">
        <w:t>эксплуатационное оборудование пригодно».</w:t>
      </w:r>
    </w:p>
    <w:p w14:paraId="05D2AD95" w14:textId="77777777" w:rsidR="004C0019" w:rsidRPr="00904DC9" w:rsidRDefault="004C0019" w:rsidP="004C0019">
      <w:pPr>
        <w:snapToGrid w:val="0"/>
        <w:spacing w:after="120"/>
        <w:ind w:left="2268" w:right="561" w:hanging="1134"/>
        <w:jc w:val="both"/>
      </w:pPr>
      <w:r w:rsidRPr="00904DC9">
        <w:t>6.8.2.4.1</w:t>
      </w:r>
      <w:r w:rsidRPr="00904DC9">
        <w:tab/>
        <w:t>Данная поправка касается только текста на французском языке.</w:t>
      </w:r>
    </w:p>
    <w:p w14:paraId="7E59D177" w14:textId="77777777" w:rsidR="004C0019" w:rsidRPr="00904DC9" w:rsidRDefault="004C0019" w:rsidP="004C0019">
      <w:pPr>
        <w:pStyle w:val="SingleTxtG"/>
        <w:ind w:left="2268" w:right="561" w:hanging="1134"/>
        <w:rPr>
          <w:sz w:val="24"/>
          <w:szCs w:val="24"/>
        </w:rPr>
      </w:pPr>
      <w:r w:rsidRPr="00904DC9">
        <w:t xml:space="preserve">6.8.2.5.1 </w:t>
      </w:r>
      <w:r w:rsidRPr="00904DC9">
        <w:tab/>
        <w:t xml:space="preserve">В девятом подпункте, начинающемся с тире, исключить </w:t>
      </w:r>
      <w:r w:rsidRPr="00904DC9">
        <w:rPr>
          <w:rFonts w:eastAsia="MS Mincho"/>
        </w:rPr>
        <w:t>«</w:t>
      </w:r>
      <w:r w:rsidRPr="00904DC9">
        <w:rPr>
          <w:bCs/>
          <w:sz w:val="21"/>
          <w:szCs w:val="21"/>
        </w:rPr>
        <w:t>на герметичность</w:t>
      </w:r>
      <w:r w:rsidRPr="00904DC9">
        <w:t>»</w:t>
      </w:r>
      <w:r w:rsidRPr="00904DC9">
        <w:rPr>
          <w:bCs/>
          <w:sz w:val="21"/>
          <w:szCs w:val="21"/>
        </w:rPr>
        <w:t>.</w:t>
      </w:r>
    </w:p>
    <w:p w14:paraId="56C5C61A" w14:textId="77777777" w:rsidR="004C0019" w:rsidRPr="00904DC9" w:rsidRDefault="004C0019" w:rsidP="004C0019">
      <w:pPr>
        <w:pStyle w:val="SingleTxtG"/>
      </w:pPr>
      <w:r w:rsidRPr="00904DC9">
        <w:t>6.8.2.6</w:t>
      </w:r>
      <w:r w:rsidRPr="00904DC9">
        <w:tab/>
      </w:r>
      <w:r w:rsidRPr="00904DC9">
        <w:tab/>
        <w:t>В заголовке заменить «и испытаны» на «, проверены и испытаны».</w:t>
      </w:r>
    </w:p>
    <w:p w14:paraId="7C4DC7A8" w14:textId="77777777" w:rsidR="004C0019" w:rsidRPr="00904DC9" w:rsidRDefault="004C0019" w:rsidP="004C0019">
      <w:pPr>
        <w:pStyle w:val="SingleTxtG"/>
      </w:pPr>
      <w:r w:rsidRPr="00904DC9">
        <w:t>6.8.2.7</w:t>
      </w:r>
      <w:r w:rsidRPr="00904DC9">
        <w:tab/>
      </w:r>
      <w:r w:rsidRPr="00904DC9">
        <w:tab/>
        <w:t>В заголовке заменить «и испытаны» на «, проверены и испытаны».</w:t>
      </w:r>
    </w:p>
    <w:p w14:paraId="4EF16DAB" w14:textId="77777777" w:rsidR="004C0019" w:rsidRPr="00904DC9" w:rsidRDefault="004C0019" w:rsidP="004C0019">
      <w:pPr>
        <w:pStyle w:val="SingleTxtG"/>
      </w:pPr>
      <w:r w:rsidRPr="00904DC9">
        <w:t>6.8.3.6</w:t>
      </w:r>
      <w:r w:rsidRPr="00904DC9">
        <w:tab/>
      </w:r>
      <w:r w:rsidRPr="00904DC9">
        <w:tab/>
        <w:t>В заголовке заменить «и испытаны» на «, проверены и испытаны».</w:t>
      </w:r>
    </w:p>
    <w:p w14:paraId="1F0919DB" w14:textId="77777777" w:rsidR="004C0019" w:rsidRPr="00904DC9" w:rsidRDefault="004C0019" w:rsidP="004C0019">
      <w:pPr>
        <w:pStyle w:val="SingleTxtG"/>
      </w:pPr>
      <w:r w:rsidRPr="00904DC9">
        <w:t>6.8.3.7</w:t>
      </w:r>
      <w:r w:rsidRPr="00904DC9">
        <w:tab/>
      </w:r>
      <w:r w:rsidRPr="00904DC9">
        <w:tab/>
        <w:t>В заголовке заменить «и испытаны» на «, проверены и испытаны».</w:t>
      </w:r>
    </w:p>
    <w:p w14:paraId="3B31AD24" w14:textId="77777777" w:rsidR="004C0019" w:rsidRPr="00904DC9" w:rsidRDefault="004C0019" w:rsidP="004C0019">
      <w:pPr>
        <w:pStyle w:val="H1G"/>
      </w:pPr>
      <w:r w:rsidRPr="00904DC9">
        <w:tab/>
      </w:r>
      <w:r w:rsidRPr="004E4B87">
        <w:t>III</w:t>
      </w:r>
      <w:r w:rsidRPr="00904DC9">
        <w:t>.</w:t>
      </w:r>
      <w:r w:rsidRPr="00904DC9">
        <w:tab/>
        <w:t>Проект</w:t>
      </w:r>
      <w:r>
        <w:t>ы</w:t>
      </w:r>
      <w:r w:rsidRPr="00904DC9">
        <w:t xml:space="preserve"> поправок, предложенны</w:t>
      </w:r>
      <w:r>
        <w:t>е</w:t>
      </w:r>
      <w:r w:rsidRPr="00904DC9">
        <w:t xml:space="preserve"> </w:t>
      </w:r>
      <w:r w:rsidRPr="00904DC9">
        <w:rPr>
          <w:bCs/>
        </w:rPr>
        <w:t>Рабочей группы по стандартам</w:t>
      </w:r>
    </w:p>
    <w:p w14:paraId="7BCC1BF6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3.3</w:t>
      </w:r>
    </w:p>
    <w:p w14:paraId="60599D0F" w14:textId="77777777" w:rsidR="004C0019" w:rsidRPr="00904DC9" w:rsidRDefault="004C0019" w:rsidP="004C0019">
      <w:pPr>
        <w:pStyle w:val="SingleTxtG"/>
        <w:ind w:left="2259" w:hanging="1125"/>
        <w:rPr>
          <w:bCs/>
        </w:rPr>
      </w:pPr>
      <w:r w:rsidRPr="00904DC9">
        <w:t>Специальное положение</w:t>
      </w:r>
      <w:r w:rsidRPr="00904DC9">
        <w:rPr>
          <w:bCs/>
        </w:rPr>
        <w:t xml:space="preserve"> 658</w:t>
      </w:r>
    </w:p>
    <w:p w14:paraId="68EB297B" w14:textId="77777777" w:rsidR="004C0019" w:rsidRPr="00904DC9" w:rsidRDefault="004C0019" w:rsidP="004C0019">
      <w:pPr>
        <w:pStyle w:val="SingleTxtG"/>
        <w:ind w:left="2259" w:hanging="1125"/>
        <w:rPr>
          <w:bCs/>
        </w:rPr>
      </w:pPr>
      <w:r w:rsidRPr="00904DC9">
        <w:rPr>
          <w:bCs/>
        </w:rPr>
        <w:tab/>
      </w:r>
      <w:r w:rsidRPr="00904DC9">
        <w:t xml:space="preserve">Заменить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9994:2006 + </w:t>
      </w:r>
      <w:r w:rsidRPr="004E4B87">
        <w:t>A</w:t>
      </w:r>
      <w:r w:rsidRPr="00904DC9">
        <w:t xml:space="preserve">1:2008» на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9994:2019».</w:t>
      </w:r>
    </w:p>
    <w:p w14:paraId="20A33624" w14:textId="77777777" w:rsidR="004C0019" w:rsidRPr="004E4B87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</w:r>
      <w:r w:rsidRPr="004E4B87">
        <w:rPr>
          <w:rFonts w:eastAsia="MS Mincho"/>
        </w:rPr>
        <w:t>Глава</w:t>
      </w:r>
      <w:r>
        <w:rPr>
          <w:rFonts w:eastAsia="MS Mincho"/>
        </w:rPr>
        <w:t xml:space="preserve"> </w:t>
      </w:r>
      <w:r w:rsidRPr="004E4B87">
        <w:rPr>
          <w:rFonts w:eastAsia="MS Mincho"/>
        </w:rPr>
        <w:t>4.1</w:t>
      </w:r>
    </w:p>
    <w:p w14:paraId="3060D07B" w14:textId="77777777" w:rsidR="004C0019" w:rsidRPr="004E4B87" w:rsidRDefault="004C0019" w:rsidP="004C0019">
      <w:pPr>
        <w:pStyle w:val="SingleTxtG"/>
        <w:ind w:left="2268" w:hanging="1134"/>
      </w:pPr>
      <w:r w:rsidRPr="004E4B87">
        <w:t>4.1.4.1, P200 (11)</w:t>
      </w:r>
    </w:p>
    <w:p w14:paraId="0D2ACA84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ab/>
        <w:t xml:space="preserve">В строках для </w:t>
      </w:r>
      <w:r w:rsidRPr="00904DC9">
        <w:rPr>
          <w:rFonts w:eastAsia="MS Mincho"/>
        </w:rPr>
        <w:t>«</w:t>
      </w:r>
      <w:r w:rsidRPr="00904DC9">
        <w:t xml:space="preserve">(7) </w:t>
      </w:r>
      <w:r w:rsidRPr="004E4B87">
        <w:t>a</w:t>
      </w:r>
      <w:r w:rsidRPr="00904DC9">
        <w:t xml:space="preserve">) и 10) </w:t>
      </w:r>
      <w:r w:rsidRPr="004E4B87">
        <w:t>p</w:t>
      </w:r>
      <w:r w:rsidRPr="00904DC9">
        <w:t xml:space="preserve">) </w:t>
      </w:r>
      <w:r w:rsidRPr="004E4B87">
        <w:t>ISO</w:t>
      </w:r>
      <w:r w:rsidRPr="00904DC9">
        <w:t xml:space="preserve"> 11372:2011», заменить </w:t>
      </w:r>
      <w:r w:rsidRPr="00904DC9">
        <w:rPr>
          <w:rFonts w:eastAsia="MS Mincho"/>
        </w:rPr>
        <w:t>«</w:t>
      </w:r>
      <w:r w:rsidRPr="004E4B87">
        <w:t>ISO</w:t>
      </w:r>
      <w:r w:rsidR="00F92862">
        <w:rPr>
          <w:lang w:val="en-US"/>
        </w:rPr>
        <w:t> </w:t>
      </w:r>
      <w:r w:rsidRPr="00904DC9">
        <w:t xml:space="preserve">11372:2011» на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11372:2011» и исключить примечание в колонке </w:t>
      </w:r>
      <w:r w:rsidRPr="00904DC9">
        <w:rPr>
          <w:rFonts w:eastAsia="MS Mincho"/>
        </w:rPr>
        <w:t>«</w:t>
      </w:r>
      <w:r w:rsidRPr="00904DC9">
        <w:t>Наименование документа»</w:t>
      </w:r>
      <w:r w:rsidRPr="00904DC9">
        <w:rPr>
          <w:i/>
          <w:iCs/>
        </w:rPr>
        <w:t>.</w:t>
      </w:r>
    </w:p>
    <w:p w14:paraId="3DA7D689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ab/>
        <w:t xml:space="preserve">В строках для </w:t>
      </w:r>
      <w:r w:rsidRPr="00904DC9">
        <w:rPr>
          <w:rFonts w:eastAsia="MS Mincho"/>
        </w:rPr>
        <w:t>«</w:t>
      </w:r>
      <w:r w:rsidRPr="00904DC9">
        <w:t xml:space="preserve">(7) </w:t>
      </w:r>
      <w:r w:rsidRPr="004E4B87">
        <w:t>a</w:t>
      </w:r>
      <w:r w:rsidRPr="00904DC9">
        <w:t xml:space="preserve">) и (10) </w:t>
      </w:r>
      <w:r w:rsidRPr="004E4B87">
        <w:t>p</w:t>
      </w:r>
      <w:r w:rsidRPr="00904DC9">
        <w:t xml:space="preserve">) </w:t>
      </w:r>
      <w:r w:rsidRPr="004E4B87">
        <w:t>ISO</w:t>
      </w:r>
      <w:r w:rsidRPr="00904DC9">
        <w:t xml:space="preserve"> 13088:2011», заменить </w:t>
      </w:r>
      <w:r w:rsidRPr="00904DC9">
        <w:rPr>
          <w:rFonts w:eastAsia="MS Mincho"/>
        </w:rPr>
        <w:t>«</w:t>
      </w:r>
      <w:r w:rsidRPr="004E4B87">
        <w:t>ISO</w:t>
      </w:r>
      <w:r w:rsidR="00F92862">
        <w:rPr>
          <w:lang w:val="en-US"/>
        </w:rPr>
        <w:t> </w:t>
      </w:r>
      <w:r w:rsidRPr="00904DC9">
        <w:t xml:space="preserve">13088:2011» на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13088:2011» и исключить примечание в колонке </w:t>
      </w:r>
      <w:r w:rsidRPr="00904DC9">
        <w:rPr>
          <w:rFonts w:eastAsia="MS Mincho"/>
        </w:rPr>
        <w:t>«</w:t>
      </w:r>
      <w:r w:rsidRPr="00904DC9">
        <w:t>Наименование документа»</w:t>
      </w:r>
      <w:r w:rsidRPr="00904DC9">
        <w:rPr>
          <w:i/>
          <w:iCs/>
        </w:rPr>
        <w:t>.</w:t>
      </w:r>
    </w:p>
    <w:p w14:paraId="6ADE2287" w14:textId="77777777" w:rsidR="004C0019" w:rsidRPr="003273C4" w:rsidRDefault="004C0019" w:rsidP="004C0019">
      <w:pPr>
        <w:pStyle w:val="SingleTxtG"/>
        <w:ind w:left="2268" w:hanging="1134"/>
        <w:rPr>
          <w:lang w:val="es-ES_tradnl"/>
        </w:rPr>
      </w:pPr>
      <w:r w:rsidRPr="003273C4">
        <w:rPr>
          <w:lang w:val="es-ES_tradnl"/>
        </w:rPr>
        <w:t>4.1.4.1, P200 (12) 3.4</w:t>
      </w:r>
    </w:p>
    <w:p w14:paraId="66DF904C" w14:textId="77777777" w:rsidR="004C0019" w:rsidRPr="003273C4" w:rsidRDefault="004C0019" w:rsidP="004C0019">
      <w:pPr>
        <w:pStyle w:val="SingleTxtG"/>
        <w:ind w:left="2268" w:hanging="852"/>
        <w:rPr>
          <w:lang w:val="es-ES_tradnl"/>
        </w:rPr>
      </w:pPr>
      <w:r w:rsidRPr="003273C4">
        <w:rPr>
          <w:lang w:val="es-ES_tradnl"/>
        </w:rPr>
        <w:tab/>
      </w:r>
      <w:r w:rsidRPr="004E4B87">
        <w:t>Заменить</w:t>
      </w:r>
      <w:r w:rsidRPr="00551304">
        <w:rPr>
          <w:lang w:val="es-ES"/>
        </w:rPr>
        <w:t xml:space="preserve"> </w:t>
      </w:r>
      <w:r w:rsidRPr="003273C4">
        <w:rPr>
          <w:rFonts w:eastAsia="MS Mincho"/>
          <w:lang w:val="es-ES_tradnl"/>
        </w:rPr>
        <w:t>«</w:t>
      </w:r>
      <w:r w:rsidRPr="003273C4">
        <w:rPr>
          <w:lang w:val="es-ES_tradnl"/>
        </w:rPr>
        <w:t xml:space="preserve">EN ISO 14245:2010 </w:t>
      </w:r>
      <w:r w:rsidRPr="004E4B87">
        <w:rPr>
          <w:iCs/>
          <w:kern w:val="14"/>
        </w:rPr>
        <w:t>или</w:t>
      </w:r>
      <w:r w:rsidRPr="003273C4">
        <w:rPr>
          <w:iCs/>
          <w:kern w:val="14"/>
          <w:lang w:val="es-ES_tradnl"/>
        </w:rPr>
        <w:t xml:space="preserve"> </w:t>
      </w:r>
      <w:r w:rsidRPr="003273C4">
        <w:rPr>
          <w:lang w:val="es-ES_tradnl"/>
        </w:rPr>
        <w:t xml:space="preserve">EN ISO 15995:2010» </w:t>
      </w:r>
      <w:r w:rsidRPr="004E4B87">
        <w:t>на</w:t>
      </w:r>
      <w:r w:rsidRPr="003273C4">
        <w:rPr>
          <w:lang w:val="es-ES_tradnl"/>
        </w:rPr>
        <w:t xml:space="preserve"> </w:t>
      </w:r>
      <w:r w:rsidRPr="003273C4">
        <w:rPr>
          <w:rFonts w:eastAsia="MS Mincho"/>
          <w:lang w:val="es-ES_tradnl"/>
        </w:rPr>
        <w:t>«</w:t>
      </w:r>
      <w:r w:rsidRPr="003273C4">
        <w:rPr>
          <w:lang w:val="es-ES_tradnl"/>
        </w:rPr>
        <w:t xml:space="preserve">EN ISO 14245:2010, EN ISO 14245:2019, EN ISO 15995:2010 </w:t>
      </w:r>
      <w:r w:rsidRPr="004E4B87">
        <w:rPr>
          <w:iCs/>
          <w:kern w:val="14"/>
        </w:rPr>
        <w:t>или</w:t>
      </w:r>
      <w:r w:rsidRPr="003273C4">
        <w:rPr>
          <w:iCs/>
          <w:kern w:val="14"/>
          <w:lang w:val="es-ES_tradnl"/>
        </w:rPr>
        <w:t xml:space="preserve"> </w:t>
      </w:r>
      <w:r w:rsidRPr="003273C4">
        <w:rPr>
          <w:lang w:val="es-ES_tradnl"/>
        </w:rPr>
        <w:t>EN ISO 15995:2019».</w:t>
      </w:r>
    </w:p>
    <w:p w14:paraId="29AFAC2C" w14:textId="77777777" w:rsidR="004C0019" w:rsidRPr="00904DC9" w:rsidRDefault="004C0019" w:rsidP="00F92862">
      <w:pPr>
        <w:pStyle w:val="SingleTxtG"/>
        <w:keepNext/>
        <w:keepLines/>
        <w:spacing w:before="120"/>
      </w:pPr>
      <w:r w:rsidRPr="00904DC9">
        <w:lastRenderedPageBreak/>
        <w:t xml:space="preserve">4.1.6.15, таблица, для графы </w:t>
      </w:r>
      <w:r w:rsidRPr="00904DC9">
        <w:rPr>
          <w:rFonts w:eastAsia="MS Mincho"/>
        </w:rPr>
        <w:t>«</w:t>
      </w:r>
      <w:r w:rsidRPr="00904DC9">
        <w:t>4.1.6.8 Вентили с конструктивной защитой»:</w:t>
      </w:r>
    </w:p>
    <w:p w14:paraId="536CD16D" w14:textId="77777777" w:rsidR="004C0019" w:rsidRPr="0028059A" w:rsidRDefault="004C0019" w:rsidP="00F92862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 xml:space="preserve">В четвертой строке, во второй колонке, заменить </w:t>
      </w:r>
      <w:r w:rsidRPr="00F92862"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14245:2010» на </w:t>
      </w:r>
      <w:r w:rsidRPr="00F92862"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14245:2010 </w:t>
      </w:r>
      <w:r w:rsidRPr="00F92862">
        <w:t xml:space="preserve">или 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14245:2019». </w:t>
      </w:r>
      <w:r w:rsidRPr="0028059A">
        <w:t xml:space="preserve">Исключить </w:t>
      </w:r>
      <w:r w:rsidRPr="00F92862">
        <w:t>«</w:t>
      </w:r>
      <w:r w:rsidRPr="0028059A">
        <w:t>(</w:t>
      </w:r>
      <w:r w:rsidRPr="004E4B87">
        <w:t>ISO</w:t>
      </w:r>
      <w:r w:rsidR="00F92862">
        <w:rPr>
          <w:lang w:val="en-US"/>
        </w:rPr>
        <w:t> </w:t>
      </w:r>
      <w:r w:rsidRPr="0028059A">
        <w:t>14245:2006)» в третьей колонке.</w:t>
      </w:r>
    </w:p>
    <w:p w14:paraId="10AB1A58" w14:textId="77777777" w:rsidR="004C0019" w:rsidRPr="0028059A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 xml:space="preserve">В пятое строке, во второй колонке, заменить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15995:2010» на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15995:2010 </w:t>
      </w:r>
      <w:r w:rsidRPr="00904DC9">
        <w:rPr>
          <w:iCs/>
          <w:kern w:val="14"/>
        </w:rPr>
        <w:t xml:space="preserve">или 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15995:2019». </w:t>
      </w:r>
      <w:r w:rsidRPr="0028059A">
        <w:t xml:space="preserve">Исключить </w:t>
      </w:r>
      <w:r w:rsidRPr="0028059A">
        <w:rPr>
          <w:rFonts w:eastAsia="MS Mincho"/>
        </w:rPr>
        <w:t>«</w:t>
      </w:r>
      <w:r w:rsidRPr="0028059A">
        <w:t>(</w:t>
      </w:r>
      <w:r w:rsidRPr="004E4B87">
        <w:t>ISO</w:t>
      </w:r>
      <w:r w:rsidR="00F92862">
        <w:rPr>
          <w:lang w:val="en-US"/>
        </w:rPr>
        <w:t> </w:t>
      </w:r>
      <w:r w:rsidRPr="0028059A">
        <w:t>15995:2006)» в третьей колонке.</w:t>
      </w:r>
    </w:p>
    <w:p w14:paraId="0F1E49FC" w14:textId="77777777" w:rsidR="004C0019" w:rsidRPr="004E4B87" w:rsidRDefault="004C0019" w:rsidP="004C0019">
      <w:pPr>
        <w:pStyle w:val="H23G"/>
        <w:rPr>
          <w:rFonts w:eastAsia="MS Mincho"/>
        </w:rPr>
      </w:pPr>
      <w:r w:rsidRPr="0028059A">
        <w:rPr>
          <w:rFonts w:eastAsia="MS Mincho"/>
        </w:rPr>
        <w:tab/>
      </w:r>
      <w:r w:rsidRPr="0028059A">
        <w:rPr>
          <w:rFonts w:eastAsia="MS Mincho"/>
        </w:rPr>
        <w:tab/>
      </w:r>
      <w:r w:rsidRPr="004E4B87">
        <w:rPr>
          <w:rFonts w:eastAsia="MS Mincho"/>
        </w:rPr>
        <w:t>Глава 6.2</w:t>
      </w:r>
    </w:p>
    <w:p w14:paraId="1808FBE0" w14:textId="77777777" w:rsidR="004C0019" w:rsidRPr="00904DC9" w:rsidRDefault="004C0019" w:rsidP="004C0019">
      <w:pPr>
        <w:pStyle w:val="SingleTxtG"/>
        <w:tabs>
          <w:tab w:val="left" w:pos="2268"/>
        </w:tabs>
      </w:pPr>
      <w:r w:rsidRPr="00904DC9">
        <w:t>6.2.4.1</w:t>
      </w:r>
      <w:r w:rsidRPr="00904DC9">
        <w:tab/>
        <w:t>В таблице, под заголовком «Для конструкции и изготовления»:</w:t>
      </w:r>
    </w:p>
    <w:p w14:paraId="2BB3841D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rPr>
          <w:bCs/>
        </w:rPr>
        <w:t>EN</w:t>
      </w:r>
      <w:r w:rsidRPr="00904DC9">
        <w:rPr>
          <w:bCs/>
        </w:rPr>
        <w:t xml:space="preserve"> </w:t>
      </w:r>
      <w:r w:rsidRPr="004E4B87">
        <w:rPr>
          <w:bCs/>
        </w:rPr>
        <w:t>ISO</w:t>
      </w:r>
      <w:r w:rsidRPr="00904DC9">
        <w:rPr>
          <w:bCs/>
        </w:rPr>
        <w:t xml:space="preserve"> 10961:2012</w:t>
      </w:r>
      <w:r w:rsidRPr="00904DC9">
        <w:t>», в колонке (4), заменить «До</w:t>
      </w:r>
      <w:r w:rsidR="00F92862">
        <w:rPr>
          <w:lang w:val="en-US"/>
        </w:rPr>
        <w:t> </w:t>
      </w:r>
      <w:r w:rsidRPr="00904DC9">
        <w:t xml:space="preserve">дальнейшего указания» на </w:t>
      </w:r>
      <w:r w:rsidRPr="00904DC9">
        <w:rPr>
          <w:rFonts w:eastAsia="MS Mincho"/>
        </w:rPr>
        <w:t>«</w:t>
      </w:r>
      <w:r w:rsidRPr="00904DC9">
        <w:t>С 1 января 2013 года до 31 декабря 2022</w:t>
      </w:r>
      <w:r w:rsidR="00F92862">
        <w:rPr>
          <w:lang w:val="en-US"/>
        </w:rPr>
        <w:t> </w:t>
      </w:r>
      <w:r w:rsidRPr="00904DC9">
        <w:t xml:space="preserve">года». После графы для стандарта </w:t>
      </w:r>
      <w:r w:rsidRPr="00904DC9">
        <w:rPr>
          <w:rFonts w:eastAsia="MS Mincho"/>
        </w:rPr>
        <w:t>«</w:t>
      </w:r>
      <w:r w:rsidRPr="004E4B87">
        <w:rPr>
          <w:bCs/>
        </w:rPr>
        <w:t>EN</w:t>
      </w:r>
      <w:r w:rsidRPr="00904DC9">
        <w:rPr>
          <w:bCs/>
        </w:rPr>
        <w:t xml:space="preserve"> </w:t>
      </w:r>
      <w:r w:rsidRPr="004E4B87">
        <w:rPr>
          <w:bCs/>
        </w:rPr>
        <w:t>ISO</w:t>
      </w:r>
      <w:r w:rsidRPr="00904DC9">
        <w:rPr>
          <w:bCs/>
        </w:rPr>
        <w:t xml:space="preserve"> 10961:2012</w:t>
      </w:r>
      <w:r w:rsidRPr="00904DC9">
        <w:t>», включить графу следующего содержания:</w:t>
      </w:r>
    </w:p>
    <w:tbl>
      <w:tblPr>
        <w:tblW w:w="8328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017"/>
        <w:gridCol w:w="952"/>
        <w:gridCol w:w="1708"/>
        <w:gridCol w:w="455"/>
      </w:tblGrid>
      <w:tr w:rsidR="004C0019" w:rsidRPr="004E4B87" w14:paraId="7B535A20" w14:textId="77777777" w:rsidTr="00F92862">
        <w:tc>
          <w:tcPr>
            <w:tcW w:w="1196" w:type="dxa"/>
            <w:vAlign w:val="center"/>
          </w:tcPr>
          <w:p w14:paraId="20E007CE" w14:textId="77777777" w:rsidR="004C0019" w:rsidRPr="004E4B87" w:rsidRDefault="004C0019" w:rsidP="00CB6FA1">
            <w:pPr>
              <w:widowControl w:val="0"/>
              <w:spacing w:before="60" w:after="60"/>
            </w:pPr>
            <w:r w:rsidRPr="004E4B87">
              <w:rPr>
                <w:bCs/>
              </w:rPr>
              <w:t>EN ISO 10961:2019</w:t>
            </w:r>
          </w:p>
        </w:tc>
        <w:tc>
          <w:tcPr>
            <w:tcW w:w="4017" w:type="dxa"/>
          </w:tcPr>
          <w:p w14:paraId="4D983750" w14:textId="77777777" w:rsidR="004C0019" w:rsidRPr="00904DC9" w:rsidRDefault="004C0019" w:rsidP="00CB6FA1">
            <w:pPr>
              <w:widowControl w:val="0"/>
              <w:spacing w:before="60" w:after="120"/>
            </w:pPr>
            <w:r w:rsidRPr="00904DC9">
              <w:t>Газовые баллоны − Связки баллонов − Конструкция, изготовление, испытания и проверка</w:t>
            </w:r>
          </w:p>
        </w:tc>
        <w:tc>
          <w:tcPr>
            <w:tcW w:w="952" w:type="dxa"/>
            <w:vAlign w:val="center"/>
          </w:tcPr>
          <w:p w14:paraId="638ECADB" w14:textId="77777777" w:rsidR="004C0019" w:rsidRPr="004E4B87" w:rsidRDefault="004C0019" w:rsidP="00CB6FA1">
            <w:pPr>
              <w:widowControl w:val="0"/>
              <w:spacing w:before="60" w:after="60"/>
            </w:pPr>
            <w:r w:rsidRPr="004E4B87">
              <w:t>6.2.3.1 и 6.2.3.4</w:t>
            </w:r>
          </w:p>
        </w:tc>
        <w:tc>
          <w:tcPr>
            <w:tcW w:w="1708" w:type="dxa"/>
            <w:vAlign w:val="center"/>
          </w:tcPr>
          <w:p w14:paraId="780928BE" w14:textId="77777777" w:rsidR="004C0019" w:rsidRPr="004E4B87" w:rsidRDefault="004C0019" w:rsidP="00CB6FA1">
            <w:pPr>
              <w:widowControl w:val="0"/>
              <w:spacing w:before="60" w:after="60"/>
            </w:pPr>
            <w:r w:rsidRPr="004E4B87">
              <w:t>До дальнейшего указания</w:t>
            </w:r>
          </w:p>
        </w:tc>
        <w:tc>
          <w:tcPr>
            <w:tcW w:w="455" w:type="dxa"/>
            <w:vAlign w:val="center"/>
          </w:tcPr>
          <w:p w14:paraId="126D0487" w14:textId="77777777" w:rsidR="004C0019" w:rsidRPr="004E4B87" w:rsidRDefault="004C0019" w:rsidP="00CB6FA1">
            <w:pPr>
              <w:widowControl w:val="0"/>
              <w:spacing w:before="60" w:after="60"/>
            </w:pPr>
          </w:p>
        </w:tc>
      </w:tr>
    </w:tbl>
    <w:p w14:paraId="47B56879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268"/>
      </w:pPr>
      <w:r w:rsidRPr="00904DC9">
        <w:t xml:space="preserve">Для стандартов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7866:2012 + </w:t>
      </w:r>
      <w:r w:rsidRPr="004E4B87">
        <w:t>AC</w:t>
      </w:r>
      <w:r w:rsidRPr="00904DC9">
        <w:t xml:space="preserve">:2014»,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9809-1:2010»,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9809-2:2010»,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9809-3:2010», исключить ссылку на стандарт </w:t>
      </w:r>
      <w:r w:rsidRPr="004E4B87">
        <w:t>ISO</w:t>
      </w:r>
      <w:r w:rsidRPr="00904DC9">
        <w:t xml:space="preserve"> в колонке (2).</w:t>
      </w:r>
    </w:p>
    <w:p w14:paraId="1575C4B3" w14:textId="77777777" w:rsidR="004C0019" w:rsidRPr="00904DC9" w:rsidRDefault="004C0019" w:rsidP="004C0019">
      <w:pPr>
        <w:pStyle w:val="SingleTxtG"/>
        <w:keepNext/>
        <w:tabs>
          <w:tab w:val="left" w:pos="2268"/>
        </w:tabs>
        <w:spacing w:before="120"/>
      </w:pPr>
      <w:r w:rsidRPr="00904DC9">
        <w:t>6.2.4.1</w:t>
      </w:r>
      <w:r w:rsidRPr="00904DC9">
        <w:tab/>
        <w:t>В таблице, под заголовком «Для затворов»:</w:t>
      </w:r>
    </w:p>
    <w:p w14:paraId="6207B93A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14245:2010», в колонке (2), исключить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="00F92862">
        <w:rPr>
          <w:lang w:val="en-US"/>
        </w:rPr>
        <w:t> </w:t>
      </w:r>
      <w:r w:rsidRPr="00904DC9">
        <w:t xml:space="preserve">14245:2006)» и в колонке (4), заменить </w:t>
      </w:r>
      <w:r w:rsidRPr="00904DC9">
        <w:rPr>
          <w:rFonts w:eastAsia="MS Mincho"/>
        </w:rPr>
        <w:t>«</w:t>
      </w:r>
      <w:r w:rsidRPr="00904DC9">
        <w:t xml:space="preserve">До дальнейшего указания» на </w:t>
      </w:r>
      <w:r w:rsidRPr="00904DC9">
        <w:rPr>
          <w:rFonts w:eastAsia="MS Mincho"/>
        </w:rPr>
        <w:t>«</w:t>
      </w:r>
      <w:r w:rsidRPr="00904DC9">
        <w:t xml:space="preserve">С 1 января 2013 года до 31 декабря 2022 года». После графы 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14245:2010», включить графу следующего содержания:</w:t>
      </w:r>
    </w:p>
    <w:tbl>
      <w:tblPr>
        <w:tblW w:w="8328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045"/>
        <w:gridCol w:w="966"/>
        <w:gridCol w:w="1695"/>
        <w:gridCol w:w="426"/>
      </w:tblGrid>
      <w:tr w:rsidR="004C0019" w:rsidRPr="00F92862" w14:paraId="0AC14C4C" w14:textId="77777777" w:rsidTr="00F92862">
        <w:tc>
          <w:tcPr>
            <w:tcW w:w="1196" w:type="dxa"/>
            <w:vAlign w:val="center"/>
          </w:tcPr>
          <w:p w14:paraId="5D59DABB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EN ISO 14245:2019</w:t>
            </w:r>
          </w:p>
        </w:tc>
        <w:tc>
          <w:tcPr>
            <w:tcW w:w="4045" w:type="dxa"/>
          </w:tcPr>
          <w:p w14:paraId="5B293104" w14:textId="77777777" w:rsidR="004C0019" w:rsidRPr="00F92862" w:rsidRDefault="004C0019" w:rsidP="00CB6FA1">
            <w:pPr>
              <w:widowControl w:val="0"/>
              <w:spacing w:before="60" w:after="120"/>
              <w:rPr>
                <w:szCs w:val="20"/>
              </w:rPr>
            </w:pPr>
            <w:r w:rsidRPr="00F92862">
              <w:rPr>
                <w:szCs w:val="20"/>
              </w:rPr>
              <w:t>Газовые баллоны − Технические требования к вентилям баллонов для СНГ и</w:t>
            </w:r>
            <w:r w:rsidR="00F92862">
              <w:rPr>
                <w:szCs w:val="20"/>
                <w:lang w:val="en-US"/>
              </w:rPr>
              <w:t> </w:t>
            </w:r>
            <w:r w:rsidRPr="00F92862">
              <w:rPr>
                <w:szCs w:val="20"/>
              </w:rPr>
              <w:t>их испытания − Самозакрывающиеся вентили</w:t>
            </w:r>
          </w:p>
        </w:tc>
        <w:tc>
          <w:tcPr>
            <w:tcW w:w="966" w:type="dxa"/>
            <w:vAlign w:val="center"/>
          </w:tcPr>
          <w:p w14:paraId="564A54AC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6.2.3.1 и 6.2.3.3</w:t>
            </w:r>
          </w:p>
        </w:tc>
        <w:tc>
          <w:tcPr>
            <w:tcW w:w="1695" w:type="dxa"/>
            <w:vAlign w:val="center"/>
          </w:tcPr>
          <w:p w14:paraId="7C9F2BBD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До дальнейшего указания</w:t>
            </w:r>
          </w:p>
        </w:tc>
        <w:tc>
          <w:tcPr>
            <w:tcW w:w="426" w:type="dxa"/>
            <w:vAlign w:val="center"/>
          </w:tcPr>
          <w:p w14:paraId="015DE906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</w:p>
        </w:tc>
      </w:tr>
    </w:tbl>
    <w:p w14:paraId="3498AD2B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15995:2010», в колонке (2), исключить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="00F92862">
        <w:rPr>
          <w:lang w:val="en-US"/>
        </w:rPr>
        <w:t> </w:t>
      </w:r>
      <w:r w:rsidRPr="00904DC9">
        <w:t xml:space="preserve">15995:2006)» и в колонке (4), заменить </w:t>
      </w:r>
      <w:r w:rsidRPr="00904DC9">
        <w:rPr>
          <w:rFonts w:eastAsia="MS Mincho"/>
        </w:rPr>
        <w:t>«</w:t>
      </w:r>
      <w:r w:rsidRPr="00904DC9">
        <w:t xml:space="preserve">До дальнейшего указания» на </w:t>
      </w:r>
      <w:r w:rsidRPr="00904DC9">
        <w:rPr>
          <w:rFonts w:eastAsia="MS Mincho"/>
        </w:rPr>
        <w:t>«</w:t>
      </w:r>
      <w:r w:rsidRPr="00904DC9">
        <w:t xml:space="preserve">С 1 января 2013 года до 31 декабря 2022 года». После графы 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15995:2010», включить графу следующего содержания:</w:t>
      </w:r>
    </w:p>
    <w:tbl>
      <w:tblPr>
        <w:tblW w:w="8328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141"/>
        <w:gridCol w:w="940"/>
        <w:gridCol w:w="1652"/>
        <w:gridCol w:w="385"/>
      </w:tblGrid>
      <w:tr w:rsidR="004C0019" w:rsidRPr="00F92862" w14:paraId="1EF00F3B" w14:textId="77777777" w:rsidTr="00627ABA">
        <w:trPr>
          <w:cantSplit/>
        </w:trPr>
        <w:tc>
          <w:tcPr>
            <w:tcW w:w="1210" w:type="dxa"/>
            <w:vAlign w:val="center"/>
          </w:tcPr>
          <w:p w14:paraId="60381A61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EN ISO 15995:2019</w:t>
            </w:r>
          </w:p>
        </w:tc>
        <w:tc>
          <w:tcPr>
            <w:tcW w:w="4141" w:type="dxa"/>
          </w:tcPr>
          <w:p w14:paraId="6358F5EE" w14:textId="77777777" w:rsidR="004C0019" w:rsidRPr="00F92862" w:rsidRDefault="004C0019" w:rsidP="00CB6FA1">
            <w:pPr>
              <w:widowControl w:val="0"/>
              <w:spacing w:before="60" w:after="120"/>
              <w:rPr>
                <w:szCs w:val="20"/>
              </w:rPr>
            </w:pPr>
            <w:r w:rsidRPr="00F92862">
              <w:rPr>
                <w:szCs w:val="20"/>
              </w:rPr>
              <w:t>Газовые баллоны − Технические требования к вентилям баллонов для СНГ и</w:t>
            </w:r>
            <w:r w:rsidR="00F92862">
              <w:rPr>
                <w:szCs w:val="20"/>
                <w:lang w:val="en-US"/>
              </w:rPr>
              <w:t> </w:t>
            </w:r>
            <w:r w:rsidRPr="00F92862">
              <w:rPr>
                <w:szCs w:val="20"/>
              </w:rPr>
              <w:t>их испытания − Вентили с ручным управлением</w:t>
            </w:r>
          </w:p>
        </w:tc>
        <w:tc>
          <w:tcPr>
            <w:tcW w:w="940" w:type="dxa"/>
            <w:vAlign w:val="center"/>
          </w:tcPr>
          <w:p w14:paraId="66DFA930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6.2.3.1 и 6.2.3.3</w:t>
            </w:r>
          </w:p>
        </w:tc>
        <w:tc>
          <w:tcPr>
            <w:tcW w:w="1652" w:type="dxa"/>
            <w:vAlign w:val="center"/>
          </w:tcPr>
          <w:p w14:paraId="2D6A8EB3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F92862">
              <w:rPr>
                <w:szCs w:val="20"/>
              </w:rPr>
              <w:t>До дальнейшего указания</w:t>
            </w:r>
          </w:p>
        </w:tc>
        <w:tc>
          <w:tcPr>
            <w:tcW w:w="385" w:type="dxa"/>
            <w:vAlign w:val="center"/>
          </w:tcPr>
          <w:p w14:paraId="6BF130F5" w14:textId="77777777" w:rsidR="004C0019" w:rsidRPr="00F92862" w:rsidRDefault="004C0019" w:rsidP="00CB6FA1">
            <w:pPr>
              <w:widowControl w:val="0"/>
              <w:spacing w:before="60" w:after="60"/>
              <w:rPr>
                <w:szCs w:val="20"/>
              </w:rPr>
            </w:pPr>
          </w:p>
        </w:tc>
      </w:tr>
    </w:tbl>
    <w:p w14:paraId="7A851762" w14:textId="77777777" w:rsidR="004C0019" w:rsidRPr="004E4B87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13175:2014», в колонке (4), заменить </w:t>
      </w:r>
      <w:r w:rsidRPr="00904DC9">
        <w:rPr>
          <w:rFonts w:eastAsia="MS Mincho"/>
        </w:rPr>
        <w:t>«</w:t>
      </w:r>
      <w:r w:rsidRPr="00904DC9">
        <w:t>До</w:t>
      </w:r>
      <w:r w:rsidR="00627ABA">
        <w:rPr>
          <w:lang w:val="en-US"/>
        </w:rPr>
        <w:t> </w:t>
      </w:r>
      <w:r w:rsidRPr="00904DC9">
        <w:t xml:space="preserve">дальнейшего указания» на </w:t>
      </w:r>
      <w:r w:rsidRPr="00904DC9">
        <w:rPr>
          <w:rFonts w:eastAsia="MS Mincho"/>
        </w:rPr>
        <w:t>«</w:t>
      </w:r>
      <w:r w:rsidRPr="00904DC9">
        <w:t>С 1 января 2017 года до 31 декабря 2022</w:t>
      </w:r>
      <w:r w:rsidR="00627ABA">
        <w:rPr>
          <w:lang w:val="en-US"/>
        </w:rPr>
        <w:t> </w:t>
      </w:r>
      <w:r w:rsidRPr="00904DC9">
        <w:t xml:space="preserve">года». </w:t>
      </w:r>
      <w:r w:rsidRPr="004E4B87">
        <w:t xml:space="preserve">После графы для стандарта </w:t>
      </w:r>
      <w:r w:rsidRPr="004E4B87">
        <w:rPr>
          <w:rFonts w:eastAsia="MS Mincho"/>
        </w:rPr>
        <w:t>«</w:t>
      </w:r>
      <w:r w:rsidRPr="004E4B87">
        <w:t>EN 13175:2014», включить графу следующего содержания:</w:t>
      </w:r>
    </w:p>
    <w:tbl>
      <w:tblPr>
        <w:tblW w:w="8328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79"/>
        <w:gridCol w:w="954"/>
        <w:gridCol w:w="1638"/>
        <w:gridCol w:w="385"/>
      </w:tblGrid>
      <w:tr w:rsidR="004C0019" w:rsidRPr="00627ABA" w14:paraId="4BFB0741" w14:textId="77777777" w:rsidTr="00627ABA">
        <w:tc>
          <w:tcPr>
            <w:tcW w:w="1672" w:type="dxa"/>
            <w:vAlign w:val="center"/>
          </w:tcPr>
          <w:p w14:paraId="5EDEF958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pacing w:val="-4"/>
                <w:szCs w:val="20"/>
              </w:rPr>
              <w:t>EN 13175:2019</w:t>
            </w:r>
            <w:r w:rsidRPr="00627ABA">
              <w:rPr>
                <w:szCs w:val="20"/>
              </w:rPr>
              <w:t xml:space="preserve"> (за</w:t>
            </w:r>
            <w:r w:rsidR="00627ABA">
              <w:rPr>
                <w:szCs w:val="20"/>
                <w:lang w:val="en-US"/>
              </w:rPr>
              <w:t> </w:t>
            </w:r>
            <w:r w:rsidRPr="00627ABA">
              <w:rPr>
                <w:szCs w:val="20"/>
              </w:rPr>
              <w:t>исключением пункта 6.1.6)</w:t>
            </w:r>
          </w:p>
        </w:tc>
        <w:tc>
          <w:tcPr>
            <w:tcW w:w="3679" w:type="dxa"/>
          </w:tcPr>
          <w:p w14:paraId="2B1090CB" w14:textId="77777777" w:rsidR="004C0019" w:rsidRPr="00627ABA" w:rsidRDefault="004C0019" w:rsidP="00CB6FA1">
            <w:pPr>
              <w:widowControl w:val="0"/>
              <w:spacing w:before="60" w:after="120"/>
              <w:rPr>
                <w:szCs w:val="20"/>
              </w:rPr>
            </w:pPr>
            <w:r w:rsidRPr="00627ABA">
              <w:rPr>
                <w:szCs w:val="20"/>
              </w:rPr>
              <w:t>Оборудование для СНГ и его вспомогательные приспособления − Клапаны и фитинги сосудов под давлением для сжиженного нефтяного газа (СНГ) − Технические требования и испытания</w:t>
            </w:r>
          </w:p>
        </w:tc>
        <w:tc>
          <w:tcPr>
            <w:tcW w:w="954" w:type="dxa"/>
            <w:vAlign w:val="center"/>
          </w:tcPr>
          <w:p w14:paraId="358F7DD5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zCs w:val="20"/>
              </w:rPr>
              <w:t>6.2.3.1 и 6.2.3.3</w:t>
            </w:r>
          </w:p>
        </w:tc>
        <w:tc>
          <w:tcPr>
            <w:tcW w:w="1638" w:type="dxa"/>
            <w:vAlign w:val="center"/>
          </w:tcPr>
          <w:p w14:paraId="5CDB3629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zCs w:val="20"/>
              </w:rPr>
              <w:t>До дальнейшего указания</w:t>
            </w:r>
          </w:p>
        </w:tc>
        <w:tc>
          <w:tcPr>
            <w:tcW w:w="385" w:type="dxa"/>
            <w:vAlign w:val="center"/>
          </w:tcPr>
          <w:p w14:paraId="60B99E4E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</w:p>
        </w:tc>
      </w:tr>
    </w:tbl>
    <w:p w14:paraId="7852182F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spacing w:before="12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17871:2015», в колонке (2), исключить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="00627ABA">
        <w:rPr>
          <w:lang w:val="en-US"/>
        </w:rPr>
        <w:t> </w:t>
      </w:r>
      <w:r w:rsidRPr="00904DC9">
        <w:t>17871:2015)».</w:t>
      </w:r>
    </w:p>
    <w:p w14:paraId="0076BF89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lastRenderedPageBreak/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14246:2014», в колонке (2), исключить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="00627ABA">
        <w:rPr>
          <w:lang w:val="en-US"/>
        </w:rPr>
        <w:t> </w:t>
      </w:r>
      <w:r w:rsidRPr="00904DC9">
        <w:t>14246:2014)».</w:t>
      </w:r>
    </w:p>
    <w:p w14:paraId="669E9301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>В конце, включить графу следующего содержания:</w:t>
      </w:r>
    </w:p>
    <w:tbl>
      <w:tblPr>
        <w:tblW w:w="8364" w:type="dxa"/>
        <w:tblInd w:w="11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527"/>
        <w:gridCol w:w="1008"/>
        <w:gridCol w:w="1723"/>
        <w:gridCol w:w="426"/>
      </w:tblGrid>
      <w:tr w:rsidR="004C0019" w:rsidRPr="004E4B87" w14:paraId="383743CB" w14:textId="77777777" w:rsidTr="00627ABA">
        <w:trPr>
          <w:trHeight w:val="8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BF5" w14:textId="77777777" w:rsidR="004C0019" w:rsidRPr="004E4B87" w:rsidRDefault="004C0019" w:rsidP="00627ABA">
            <w:pPr>
              <w:widowControl w:val="0"/>
              <w:spacing w:before="60" w:after="60"/>
              <w:rPr>
                <w:szCs w:val="18"/>
              </w:rPr>
            </w:pPr>
            <w:r w:rsidRPr="004E4B87">
              <w:rPr>
                <w:szCs w:val="18"/>
              </w:rPr>
              <w:t>EN 14129:2014 (за исключением примечания в пункте 3.11)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F34" w14:textId="77777777" w:rsidR="004C0019" w:rsidRPr="004E4B87" w:rsidRDefault="004C0019" w:rsidP="00627ABA">
            <w:pPr>
              <w:pStyle w:val="Default"/>
              <w:suppressAutoHyphens/>
              <w:snapToGrid w:val="0"/>
              <w:spacing w:before="60" w:after="60"/>
              <w:rPr>
                <w:sz w:val="20"/>
                <w:szCs w:val="18"/>
                <w:lang w:val="ru-RU"/>
              </w:rPr>
            </w:pPr>
            <w:r w:rsidRPr="004E4B87">
              <w:rPr>
                <w:sz w:val="20"/>
                <w:szCs w:val="18"/>
                <w:lang w:val="ru-RU"/>
              </w:rPr>
              <w:t xml:space="preserve">Оборудование для СНГ и его вспомогательные приспособления − Клапаны сброса давления сосудов высокого давления для СНГ </w:t>
            </w:r>
          </w:p>
          <w:p w14:paraId="37D558A1" w14:textId="77777777" w:rsidR="004C0019" w:rsidRPr="004E4B87" w:rsidRDefault="004C0019" w:rsidP="00627ABA">
            <w:pPr>
              <w:pStyle w:val="Default"/>
              <w:suppressAutoHyphens/>
              <w:snapToGrid w:val="0"/>
              <w:spacing w:before="60" w:after="60"/>
              <w:rPr>
                <w:i/>
                <w:sz w:val="20"/>
                <w:szCs w:val="18"/>
                <w:lang w:val="ru-RU"/>
              </w:rPr>
            </w:pPr>
            <w:r w:rsidRPr="00B21D9B">
              <w:rPr>
                <w:b/>
                <w:bCs/>
                <w:i/>
                <w:iCs/>
                <w:sz w:val="20"/>
                <w:szCs w:val="18"/>
                <w:lang w:val="ru-RU"/>
              </w:rPr>
              <w:t>ПРИМЕЧАНИЕ</w:t>
            </w:r>
            <w:r w:rsidR="00B21D9B" w:rsidRPr="00B21D9B">
              <w:rPr>
                <w:b/>
                <w:bCs/>
                <w:i/>
                <w:iCs/>
                <w:sz w:val="20"/>
                <w:szCs w:val="18"/>
                <w:lang w:val="ru-RU"/>
              </w:rPr>
              <w:t>:</w:t>
            </w:r>
            <w:r w:rsidRPr="004E4B87">
              <w:rPr>
                <w:i/>
                <w:iCs/>
                <w:sz w:val="20"/>
                <w:szCs w:val="18"/>
                <w:lang w:val="ru-RU"/>
              </w:rPr>
              <w:t xml:space="preserve"> Этот стандарт применим к барабанам под давлением.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10F" w14:textId="77777777" w:rsidR="004C0019" w:rsidRPr="004E4B87" w:rsidRDefault="004C0019" w:rsidP="00627ABA">
            <w:pPr>
              <w:pStyle w:val="Default"/>
              <w:suppressAutoHyphens/>
              <w:snapToGrid w:val="0"/>
              <w:spacing w:before="60" w:after="60"/>
              <w:rPr>
                <w:sz w:val="20"/>
                <w:szCs w:val="18"/>
                <w:lang w:val="ru-RU"/>
              </w:rPr>
            </w:pPr>
            <w:r w:rsidRPr="004E4B87">
              <w:rPr>
                <w:sz w:val="20"/>
                <w:szCs w:val="18"/>
                <w:lang w:val="ru-RU"/>
              </w:rPr>
              <w:t xml:space="preserve">6.2.3.1, 6.2.3.3 </w:t>
            </w:r>
            <w:r w:rsidRPr="004E4B87">
              <w:rPr>
                <w:lang w:val="ru-RU"/>
              </w:rPr>
              <w:t xml:space="preserve">и </w:t>
            </w:r>
            <w:r w:rsidRPr="004E4B87">
              <w:rPr>
                <w:sz w:val="20"/>
                <w:szCs w:val="18"/>
                <w:lang w:val="ru-RU"/>
              </w:rPr>
              <w:t>6.2.3.4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462" w14:textId="77777777" w:rsidR="004C0019" w:rsidRPr="004E4B87" w:rsidRDefault="004C0019" w:rsidP="00627ABA">
            <w:pPr>
              <w:pStyle w:val="Default"/>
              <w:suppressAutoHyphens/>
              <w:snapToGrid w:val="0"/>
              <w:spacing w:before="60" w:after="60"/>
              <w:rPr>
                <w:sz w:val="20"/>
                <w:szCs w:val="18"/>
                <w:lang w:val="ru-RU"/>
              </w:rPr>
            </w:pPr>
            <w:r w:rsidRPr="004E4B87">
              <w:rPr>
                <w:sz w:val="20"/>
                <w:szCs w:val="18"/>
                <w:lang w:val="ru-RU"/>
              </w:rPr>
              <w:t>До дальнейшего указания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CAF" w14:textId="77777777" w:rsidR="004C0019" w:rsidRPr="004E4B87" w:rsidRDefault="004C0019" w:rsidP="00627ABA">
            <w:pPr>
              <w:pStyle w:val="Default"/>
              <w:suppressAutoHyphens/>
              <w:snapToGrid w:val="0"/>
              <w:spacing w:before="60" w:after="60"/>
              <w:rPr>
                <w:sz w:val="20"/>
                <w:szCs w:val="18"/>
                <w:lang w:val="ru-RU"/>
              </w:rPr>
            </w:pPr>
          </w:p>
        </w:tc>
      </w:tr>
    </w:tbl>
    <w:p w14:paraId="3B30A401" w14:textId="77777777" w:rsidR="004C0019" w:rsidRPr="00904DC9" w:rsidRDefault="004C0019" w:rsidP="004C0019">
      <w:pPr>
        <w:pStyle w:val="SingleTxtG"/>
        <w:spacing w:before="120"/>
        <w:ind w:left="2257" w:hanging="1123"/>
      </w:pPr>
      <w:r w:rsidRPr="00904DC9">
        <w:t>6.2.4.2</w:t>
      </w:r>
      <w:r w:rsidRPr="00904DC9">
        <w:tab/>
        <w:t xml:space="preserve">В таблице, в колонке (2), исключить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Pr="00904DC9">
        <w:t xml:space="preserve"> 10462:2013)» и </w:t>
      </w:r>
      <w:r w:rsidRPr="00904DC9">
        <w:rPr>
          <w:rFonts w:eastAsia="MS Mincho"/>
        </w:rPr>
        <w:t>«</w:t>
      </w:r>
      <w:r w:rsidRPr="00904DC9">
        <w:t>(</w:t>
      </w:r>
      <w:r w:rsidRPr="004E4B87">
        <w:t>ISO</w:t>
      </w:r>
      <w:r w:rsidR="00627ABA">
        <w:rPr>
          <w:lang w:val="en-US"/>
        </w:rPr>
        <w:t> </w:t>
      </w:r>
      <w:r w:rsidRPr="00904DC9">
        <w:t>22434:2006)».</w:t>
      </w:r>
    </w:p>
    <w:p w14:paraId="54108B5C" w14:textId="77777777" w:rsidR="004C0019" w:rsidRPr="00904DC9" w:rsidRDefault="004C0019" w:rsidP="004C0019">
      <w:pPr>
        <w:pStyle w:val="H23G"/>
        <w:rPr>
          <w:rFonts w:eastAsia="MS Mincho"/>
        </w:rPr>
      </w:pPr>
      <w:r w:rsidRPr="00904DC9">
        <w:rPr>
          <w:rFonts w:eastAsia="MS Mincho"/>
        </w:rPr>
        <w:tab/>
      </w:r>
      <w:r w:rsidRPr="00904DC9">
        <w:rPr>
          <w:rFonts w:eastAsia="MS Mincho"/>
        </w:rPr>
        <w:tab/>
        <w:t>Глава 6.8</w:t>
      </w:r>
    </w:p>
    <w:p w14:paraId="19BF2FD3" w14:textId="77777777" w:rsidR="004C0019" w:rsidRPr="00904DC9" w:rsidRDefault="004C0019" w:rsidP="004C0019">
      <w:pPr>
        <w:pStyle w:val="SingleTxtG"/>
        <w:spacing w:before="120"/>
      </w:pPr>
      <w:r w:rsidRPr="00904DC9">
        <w:t>6.8.2.6.1</w:t>
      </w:r>
      <w:r w:rsidRPr="00904DC9">
        <w:tab/>
        <w:t>Изменить таблицу следующим образом:</w:t>
      </w:r>
    </w:p>
    <w:p w14:paraId="569A7E9A" w14:textId="77777777" w:rsidR="004C0019" w:rsidRPr="004E4B87" w:rsidRDefault="00B21D9B" w:rsidP="004C0019">
      <w:pPr>
        <w:pStyle w:val="SingleTxtG"/>
        <w:spacing w:before="120"/>
        <w:ind w:firstLine="567"/>
      </w:pPr>
      <w:r>
        <w:tab/>
      </w:r>
      <w:r w:rsidR="004C0019" w:rsidRPr="00904DC9">
        <w:tab/>
      </w:r>
      <w:r w:rsidR="004C0019" w:rsidRPr="004E4B87">
        <w:t>Под заголовком «</w:t>
      </w:r>
      <w:r w:rsidR="004C0019" w:rsidRPr="004E4B87">
        <w:rPr>
          <w:b/>
          <w:bCs/>
        </w:rPr>
        <w:t>Для оборудования</w:t>
      </w:r>
      <w:r w:rsidR="004C0019" w:rsidRPr="004E4B87">
        <w:t xml:space="preserve">»: </w:t>
      </w:r>
    </w:p>
    <w:p w14:paraId="7FF7C8B0" w14:textId="77777777" w:rsidR="004C0019" w:rsidRPr="00904DC9" w:rsidRDefault="004C0019" w:rsidP="004C0019">
      <w:pPr>
        <w:pStyle w:val="Bullet1G"/>
        <w:numPr>
          <w:ilvl w:val="0"/>
          <w:numId w:val="26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904DC9">
        <w:t xml:space="preserve">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13175:2014», в колонке (4), заменить </w:t>
      </w:r>
      <w:r w:rsidRPr="00904DC9">
        <w:rPr>
          <w:rFonts w:eastAsia="MS Mincho"/>
        </w:rPr>
        <w:t>«</w:t>
      </w:r>
      <w:r w:rsidRPr="00904DC9">
        <w:t>До</w:t>
      </w:r>
      <w:r w:rsidR="00627ABA">
        <w:rPr>
          <w:lang w:val="en-US"/>
        </w:rPr>
        <w:t> </w:t>
      </w:r>
      <w:r w:rsidRPr="00904DC9">
        <w:t xml:space="preserve">дальнейшего указания» на </w:t>
      </w:r>
      <w:r w:rsidRPr="00904DC9">
        <w:rPr>
          <w:rFonts w:eastAsia="MS Mincho"/>
        </w:rPr>
        <w:t>«</w:t>
      </w:r>
      <w:r w:rsidRPr="00904DC9">
        <w:t>С 1 января 2017 года до 31 декабря 2022</w:t>
      </w:r>
      <w:r w:rsidR="00627ABA">
        <w:rPr>
          <w:lang w:val="en-US"/>
        </w:rPr>
        <w:t> </w:t>
      </w:r>
      <w:r w:rsidRPr="00904DC9">
        <w:t xml:space="preserve">года». После графы для стандарта </w:t>
      </w:r>
      <w:r w:rsidRPr="00904DC9">
        <w:rPr>
          <w:rFonts w:eastAsia="MS Mincho"/>
        </w:rPr>
        <w:t>«</w:t>
      </w:r>
      <w:r w:rsidRPr="004E4B87">
        <w:t>EN</w:t>
      </w:r>
      <w:r w:rsidRPr="00904DC9">
        <w:t xml:space="preserve"> </w:t>
      </w:r>
      <w:r w:rsidRPr="004E4B87">
        <w:t>ISO</w:t>
      </w:r>
      <w:r w:rsidRPr="00904DC9">
        <w:t xml:space="preserve"> 13175:2014», включить графу следующего содержания:</w:t>
      </w:r>
    </w:p>
    <w:tbl>
      <w:tblPr>
        <w:tblW w:w="8328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506"/>
        <w:gridCol w:w="1078"/>
        <w:gridCol w:w="1653"/>
        <w:gridCol w:w="426"/>
      </w:tblGrid>
      <w:tr w:rsidR="004C0019" w:rsidRPr="00627ABA" w14:paraId="2AC22957" w14:textId="77777777" w:rsidTr="00C019FA">
        <w:tc>
          <w:tcPr>
            <w:tcW w:w="1665" w:type="dxa"/>
            <w:vAlign w:val="center"/>
          </w:tcPr>
          <w:p w14:paraId="5FDAF39C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zCs w:val="20"/>
              </w:rPr>
              <w:t>EN 13175:2019 (за</w:t>
            </w:r>
            <w:r w:rsidR="00627ABA">
              <w:rPr>
                <w:szCs w:val="20"/>
                <w:lang w:val="en-US"/>
              </w:rPr>
              <w:t> </w:t>
            </w:r>
            <w:r w:rsidRPr="00627ABA">
              <w:rPr>
                <w:szCs w:val="20"/>
              </w:rPr>
              <w:t>исключением пункта 6.1.6)</w:t>
            </w:r>
          </w:p>
        </w:tc>
        <w:tc>
          <w:tcPr>
            <w:tcW w:w="3506" w:type="dxa"/>
          </w:tcPr>
          <w:p w14:paraId="6DC08242" w14:textId="77777777" w:rsidR="004C0019" w:rsidRPr="00627ABA" w:rsidRDefault="004C0019" w:rsidP="00CB6FA1">
            <w:pPr>
              <w:widowControl w:val="0"/>
              <w:spacing w:before="60" w:after="120"/>
              <w:rPr>
                <w:szCs w:val="20"/>
              </w:rPr>
            </w:pPr>
            <w:r w:rsidRPr="00627ABA">
              <w:rPr>
                <w:szCs w:val="20"/>
              </w:rPr>
              <w:t>Оборудование для СНГ и его вспомогательные приспособления − Клапаны и фитинги сосудов под давлением для сжиженного нефтяного газа (СНГ) − Технические требования и испытания</w:t>
            </w:r>
          </w:p>
        </w:tc>
        <w:tc>
          <w:tcPr>
            <w:tcW w:w="1078" w:type="dxa"/>
            <w:vAlign w:val="center"/>
          </w:tcPr>
          <w:p w14:paraId="0D520EF9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zCs w:val="20"/>
              </w:rPr>
              <w:t>6.8.2.1.1, 6.8.2.2, 6.8.2.4.1 и 6.8.3.2.3</w:t>
            </w:r>
          </w:p>
        </w:tc>
        <w:tc>
          <w:tcPr>
            <w:tcW w:w="1653" w:type="dxa"/>
            <w:vAlign w:val="center"/>
          </w:tcPr>
          <w:p w14:paraId="201516A3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  <w:r w:rsidRPr="00627ABA">
              <w:rPr>
                <w:szCs w:val="20"/>
              </w:rPr>
              <w:t>До дальнейшего указания</w:t>
            </w:r>
          </w:p>
        </w:tc>
        <w:tc>
          <w:tcPr>
            <w:tcW w:w="426" w:type="dxa"/>
            <w:vAlign w:val="center"/>
          </w:tcPr>
          <w:p w14:paraId="64123D2F" w14:textId="77777777" w:rsidR="004C0019" w:rsidRPr="00627ABA" w:rsidRDefault="004C0019" w:rsidP="00CB6FA1">
            <w:pPr>
              <w:widowControl w:val="0"/>
              <w:spacing w:before="60" w:after="60"/>
              <w:rPr>
                <w:szCs w:val="20"/>
              </w:rPr>
            </w:pPr>
          </w:p>
        </w:tc>
      </w:tr>
    </w:tbl>
    <w:p w14:paraId="75B8AC58" w14:textId="77777777" w:rsidR="004C0019" w:rsidRPr="004C0019" w:rsidRDefault="004C0019" w:rsidP="004C00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0019" w:rsidRPr="004C0019" w:rsidSect="004C00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0DCF" w14:textId="77777777" w:rsidR="00670901" w:rsidRPr="00A312BC" w:rsidRDefault="00670901" w:rsidP="00A312BC"/>
  </w:endnote>
  <w:endnote w:type="continuationSeparator" w:id="0">
    <w:p w14:paraId="2501B2CE" w14:textId="77777777" w:rsidR="00670901" w:rsidRPr="00A312BC" w:rsidRDefault="006709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4D9" w14:textId="77777777" w:rsidR="004C0019" w:rsidRPr="004C0019" w:rsidRDefault="004C0019">
    <w:pPr>
      <w:pStyle w:val="Footer"/>
    </w:pPr>
    <w:r w:rsidRPr="004C0019">
      <w:rPr>
        <w:b/>
        <w:sz w:val="18"/>
      </w:rPr>
      <w:fldChar w:fldCharType="begin"/>
    </w:r>
    <w:r w:rsidRPr="004C0019">
      <w:rPr>
        <w:b/>
        <w:sz w:val="18"/>
      </w:rPr>
      <w:instrText xml:space="preserve"> PAGE  \* MERGEFORMAT </w:instrText>
    </w:r>
    <w:r w:rsidRPr="004C0019">
      <w:rPr>
        <w:b/>
        <w:sz w:val="18"/>
      </w:rPr>
      <w:fldChar w:fldCharType="separate"/>
    </w:r>
    <w:r w:rsidRPr="004C0019">
      <w:rPr>
        <w:b/>
        <w:noProof/>
        <w:sz w:val="18"/>
      </w:rPr>
      <w:t>2</w:t>
    </w:r>
    <w:r w:rsidRPr="004C0019">
      <w:rPr>
        <w:b/>
        <w:sz w:val="18"/>
      </w:rPr>
      <w:fldChar w:fldCharType="end"/>
    </w:r>
    <w:r>
      <w:rPr>
        <w:b/>
        <w:sz w:val="18"/>
      </w:rPr>
      <w:tab/>
    </w:r>
    <w:r>
      <w:t>GE.20-07333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7C48" w14:textId="77777777" w:rsidR="004C0019" w:rsidRPr="004C0019" w:rsidRDefault="004C0019" w:rsidP="004C001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GE.20-07333</w:t>
    </w:r>
    <w:r>
      <w:tab/>
    </w:r>
    <w:r w:rsidRPr="004C0019">
      <w:rPr>
        <w:b/>
        <w:sz w:val="18"/>
      </w:rPr>
      <w:fldChar w:fldCharType="begin"/>
    </w:r>
    <w:r w:rsidRPr="004C0019">
      <w:rPr>
        <w:b/>
        <w:sz w:val="18"/>
      </w:rPr>
      <w:instrText xml:space="preserve"> PAGE  \* MERGEFORMAT </w:instrText>
    </w:r>
    <w:r w:rsidRPr="004C0019">
      <w:rPr>
        <w:b/>
        <w:sz w:val="18"/>
      </w:rPr>
      <w:fldChar w:fldCharType="separate"/>
    </w:r>
    <w:r w:rsidRPr="004C0019">
      <w:rPr>
        <w:b/>
        <w:noProof/>
        <w:sz w:val="18"/>
      </w:rPr>
      <w:t>3</w:t>
    </w:r>
    <w:r w:rsidRPr="004C00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B000" w14:textId="77777777" w:rsidR="00042B72" w:rsidRPr="004C0019" w:rsidRDefault="004C0019" w:rsidP="004C001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56B30A" wp14:editId="561F6A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07333  (</w:t>
    </w:r>
    <w:proofErr w:type="gramEnd"/>
    <w:r>
      <w:t>R)</w:t>
    </w:r>
    <w:r>
      <w:rPr>
        <w:lang w:val="en-US"/>
      </w:rPr>
      <w:t xml:space="preserve">  030620  040620</w:t>
    </w:r>
    <w:r>
      <w:br/>
    </w:r>
    <w:r w:rsidRPr="004C0019">
      <w:rPr>
        <w:rFonts w:ascii="C39T30Lfz" w:hAnsi="C39T30Lfz"/>
        <w:kern w:val="14"/>
        <w:sz w:val="56"/>
      </w:rPr>
      <w:t></w:t>
    </w:r>
    <w:r w:rsidRPr="004C0019">
      <w:rPr>
        <w:rFonts w:ascii="C39T30Lfz" w:hAnsi="C39T30Lfz"/>
        <w:kern w:val="14"/>
        <w:sz w:val="56"/>
      </w:rPr>
      <w:t></w:t>
    </w:r>
    <w:r w:rsidRPr="004C0019">
      <w:rPr>
        <w:rFonts w:ascii="C39T30Lfz" w:hAnsi="C39T30Lfz"/>
        <w:kern w:val="14"/>
        <w:sz w:val="56"/>
      </w:rPr>
      <w:t></w:t>
    </w:r>
    <w:r w:rsidRPr="004C0019">
      <w:rPr>
        <w:rFonts w:ascii="C39T30Lfz" w:hAnsi="C39T30Lfz"/>
        <w:kern w:val="14"/>
        <w:sz w:val="56"/>
      </w:rPr>
      <w:t></w:t>
    </w:r>
    <w:r w:rsidRPr="004C0019">
      <w:rPr>
        <w:rFonts w:ascii="C39T30Lfz" w:hAnsi="C39T30Lfz"/>
        <w:kern w:val="14"/>
        <w:sz w:val="56"/>
      </w:rPr>
      <w:t></w:t>
    </w:r>
    <w:r w:rsidRPr="004C0019">
      <w:rPr>
        <w:rFonts w:ascii="C39T30Lfz" w:hAnsi="C39T30Lfz"/>
        <w:kern w:val="14"/>
        <w:sz w:val="56"/>
      </w:rPr>
      <w:t></w:t>
    </w:r>
    <w:r w:rsidRPr="004C0019">
      <w:rPr>
        <w:rFonts w:ascii="C39T30Lfz" w:hAnsi="C39T30Lfz"/>
        <w:kern w:val="14"/>
        <w:sz w:val="56"/>
      </w:rPr>
      <w:t></w:t>
    </w:r>
    <w:r w:rsidRPr="004C0019">
      <w:rPr>
        <w:rFonts w:ascii="C39T30Lfz" w:hAnsi="C39T30Lfz"/>
        <w:kern w:val="14"/>
        <w:sz w:val="56"/>
      </w:rPr>
      <w:t></w:t>
    </w:r>
    <w:r w:rsidRPr="004C001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2B9FA3" wp14:editId="789811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B653" w14:textId="77777777" w:rsidR="00670901" w:rsidRPr="001075E9" w:rsidRDefault="006709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5511EA" w14:textId="77777777" w:rsidR="00670901" w:rsidRDefault="006709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8714" w14:textId="64D2AC60" w:rsidR="004C0019" w:rsidRPr="004C0019" w:rsidRDefault="00071C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F786D">
      <w:t>ECE/TRANS/WP.15/249/Add.1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87FB" w14:textId="0562B5C5" w:rsidR="004C0019" w:rsidRPr="004C0019" w:rsidRDefault="00071CD6" w:rsidP="004C00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F786D">
      <w:t>ECE/TRANS/WP.15/249/Add.1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74D0"/>
    <w:multiLevelType w:val="hybridMultilevel"/>
    <w:tmpl w:val="60D0A9E4"/>
    <w:lvl w:ilvl="0" w:tplc="EFD68C7E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 w:numId="24">
    <w:abstractNumId w:val="13"/>
  </w:num>
  <w:num w:numId="25">
    <w:abstractNumId w:val="18"/>
  </w:num>
  <w:num w:numId="26">
    <w:abstractNumId w:val="19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01"/>
    <w:rsid w:val="00033EE1"/>
    <w:rsid w:val="00042B72"/>
    <w:rsid w:val="000558BD"/>
    <w:rsid w:val="00071CD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02C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001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86D"/>
    <w:rsid w:val="00617A43"/>
    <w:rsid w:val="00627ABA"/>
    <w:rsid w:val="006345DB"/>
    <w:rsid w:val="00640F49"/>
    <w:rsid w:val="0067090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A1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1D9B"/>
    <w:rsid w:val="00B36DF7"/>
    <w:rsid w:val="00B539E7"/>
    <w:rsid w:val="00B62458"/>
    <w:rsid w:val="00BC18B2"/>
    <w:rsid w:val="00BD33EE"/>
    <w:rsid w:val="00BE1CC7"/>
    <w:rsid w:val="00C019FA"/>
    <w:rsid w:val="00C106D6"/>
    <w:rsid w:val="00C119AE"/>
    <w:rsid w:val="00C2445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86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BC20B"/>
  <w15:docId w15:val="{CA224B8F-0EBE-4490-AF37-332B26C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C0019"/>
    <w:rPr>
      <w:lang w:val="ru-RU" w:eastAsia="en-US"/>
    </w:rPr>
  </w:style>
  <w:style w:type="paragraph" w:customStyle="1" w:styleId="ParNoG">
    <w:name w:val="_ParNo_G"/>
    <w:basedOn w:val="SingleTxtG"/>
    <w:qFormat/>
    <w:rsid w:val="004C0019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4C0019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4C0019"/>
    <w:rPr>
      <w:b/>
      <w:lang w:val="ru-RU" w:eastAsia="ru-RU"/>
    </w:rPr>
  </w:style>
  <w:style w:type="character" w:customStyle="1" w:styleId="HChGChar">
    <w:name w:val="_ H _Ch_G Char"/>
    <w:link w:val="HChG"/>
    <w:locked/>
    <w:rsid w:val="004C0019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4C001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4C0019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4C0019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lang w:val="en-GB" w:eastAsia="zh-CN"/>
    </w:rPr>
  </w:style>
  <w:style w:type="paragraph" w:customStyle="1" w:styleId="Default">
    <w:name w:val="Default"/>
    <w:rsid w:val="004C001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ECE/TRANS/WP.15/249/Add.1</vt:lpstr>
      <vt:lpstr>A/</vt:lpstr>
      <vt:lpstr>A/</vt:lpstr>
    </vt:vector>
  </TitlesOfParts>
  <Company>DCM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ECE/TRANS/WP.15/249/Add.1</dc:title>
  <dc:subject/>
  <dc:creator>Marina KOROTKOVA</dc:creator>
  <cp:keywords/>
  <cp:lastModifiedBy>Christine Barrio-Champeau</cp:lastModifiedBy>
  <cp:revision>2</cp:revision>
  <cp:lastPrinted>2020-06-04T12:26:00Z</cp:lastPrinted>
  <dcterms:created xsi:type="dcterms:W3CDTF">2020-09-11T07:22:00Z</dcterms:created>
  <dcterms:modified xsi:type="dcterms:W3CDTF">2020-09-11T07:22:00Z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