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C6B2551" w14:textId="77777777" w:rsidTr="00B20551">
        <w:trPr>
          <w:cantSplit/>
          <w:trHeight w:hRule="exact" w:val="851"/>
        </w:trPr>
        <w:tc>
          <w:tcPr>
            <w:tcW w:w="1276" w:type="dxa"/>
            <w:tcBorders>
              <w:bottom w:val="single" w:sz="4" w:space="0" w:color="auto"/>
            </w:tcBorders>
            <w:vAlign w:val="bottom"/>
          </w:tcPr>
          <w:p w14:paraId="59BD12B4" w14:textId="77777777" w:rsidR="009E6CB7" w:rsidRDefault="009E6CB7" w:rsidP="00B20551">
            <w:pPr>
              <w:spacing w:after="80"/>
            </w:pPr>
          </w:p>
        </w:tc>
        <w:tc>
          <w:tcPr>
            <w:tcW w:w="2268" w:type="dxa"/>
            <w:tcBorders>
              <w:bottom w:val="single" w:sz="4" w:space="0" w:color="auto"/>
            </w:tcBorders>
            <w:vAlign w:val="bottom"/>
          </w:tcPr>
          <w:p w14:paraId="4583590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FB7959" w14:textId="77777777" w:rsidR="009E6CB7" w:rsidRPr="00D47EEA" w:rsidRDefault="000C4CDD" w:rsidP="000C4CDD">
            <w:pPr>
              <w:jc w:val="right"/>
            </w:pPr>
            <w:r w:rsidRPr="000C4CDD">
              <w:rPr>
                <w:sz w:val="40"/>
              </w:rPr>
              <w:t>ECE</w:t>
            </w:r>
            <w:r>
              <w:t>/TRANS/WP.15/2020/12</w:t>
            </w:r>
          </w:p>
        </w:tc>
      </w:tr>
      <w:tr w:rsidR="009E6CB7" w14:paraId="575227DC" w14:textId="77777777" w:rsidTr="00B20551">
        <w:trPr>
          <w:cantSplit/>
          <w:trHeight w:hRule="exact" w:val="2835"/>
        </w:trPr>
        <w:tc>
          <w:tcPr>
            <w:tcW w:w="1276" w:type="dxa"/>
            <w:tcBorders>
              <w:top w:val="single" w:sz="4" w:space="0" w:color="auto"/>
              <w:bottom w:val="single" w:sz="12" w:space="0" w:color="auto"/>
            </w:tcBorders>
          </w:tcPr>
          <w:p w14:paraId="35839A66" w14:textId="77777777" w:rsidR="009E6CB7" w:rsidRDefault="00686A48" w:rsidP="00B20551">
            <w:pPr>
              <w:spacing w:before="120"/>
            </w:pPr>
            <w:r>
              <w:rPr>
                <w:noProof/>
                <w:lang w:val="fr-CH" w:eastAsia="fr-CH"/>
              </w:rPr>
              <w:drawing>
                <wp:inline distT="0" distB="0" distL="0" distR="0" wp14:anchorId="67558908" wp14:editId="5776D6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C70C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32BF5DE" w14:textId="77777777" w:rsidR="009E6CB7" w:rsidRDefault="000C4CDD" w:rsidP="000C4CDD">
            <w:pPr>
              <w:spacing w:before="240" w:line="240" w:lineRule="exact"/>
            </w:pPr>
            <w:r>
              <w:t>Distr.: General</w:t>
            </w:r>
          </w:p>
          <w:p w14:paraId="38840A5C" w14:textId="2B6A5815" w:rsidR="000C4CDD" w:rsidRDefault="00C27420" w:rsidP="000C4CDD">
            <w:pPr>
              <w:spacing w:line="240" w:lineRule="exact"/>
            </w:pPr>
            <w:r>
              <w:t>15 July</w:t>
            </w:r>
            <w:r w:rsidR="000C4CDD">
              <w:t xml:space="preserve"> 2020</w:t>
            </w:r>
          </w:p>
          <w:p w14:paraId="3C8E348D" w14:textId="77777777" w:rsidR="000C4CDD" w:rsidRDefault="000C4CDD" w:rsidP="000C4CDD">
            <w:pPr>
              <w:spacing w:line="240" w:lineRule="exact"/>
            </w:pPr>
          </w:p>
          <w:p w14:paraId="3682E9DA" w14:textId="77777777" w:rsidR="000C4CDD" w:rsidRDefault="000C4CDD" w:rsidP="000C4CDD">
            <w:pPr>
              <w:spacing w:line="240" w:lineRule="exact"/>
            </w:pPr>
            <w:r>
              <w:t>Original: English</w:t>
            </w:r>
          </w:p>
        </w:tc>
      </w:tr>
    </w:tbl>
    <w:p w14:paraId="05D010B2" w14:textId="77777777" w:rsidR="00FA14FD" w:rsidRDefault="00FA14FD" w:rsidP="00FA14FD">
      <w:pPr>
        <w:spacing w:before="120"/>
        <w:rPr>
          <w:rFonts w:asciiTheme="majorBidi" w:eastAsia="BatangChe" w:hAnsiTheme="majorBidi" w:cstheme="majorBidi"/>
          <w:b/>
          <w:sz w:val="28"/>
          <w:szCs w:val="28"/>
        </w:rPr>
      </w:pPr>
      <w:r>
        <w:rPr>
          <w:rFonts w:asciiTheme="majorBidi" w:eastAsia="BatangChe" w:hAnsiTheme="majorBidi" w:cstheme="majorBidi"/>
          <w:b/>
          <w:bCs/>
          <w:sz w:val="28"/>
          <w:szCs w:val="28"/>
        </w:rPr>
        <w:t>Economic Commission for Europe</w:t>
      </w:r>
    </w:p>
    <w:p w14:paraId="1A1D341D" w14:textId="77777777" w:rsidR="00FA14FD" w:rsidRDefault="00FA14FD" w:rsidP="00FA14FD">
      <w:pPr>
        <w:spacing w:before="120"/>
        <w:rPr>
          <w:rFonts w:asciiTheme="majorBidi" w:eastAsia="BatangChe" w:hAnsiTheme="majorBidi" w:cstheme="majorBidi"/>
          <w:sz w:val="28"/>
          <w:szCs w:val="28"/>
        </w:rPr>
      </w:pPr>
      <w:r>
        <w:rPr>
          <w:rFonts w:asciiTheme="majorBidi" w:eastAsia="BatangChe" w:hAnsiTheme="majorBidi" w:cstheme="majorBidi"/>
          <w:sz w:val="28"/>
          <w:szCs w:val="28"/>
        </w:rPr>
        <w:t>Inland Transport Committee</w:t>
      </w:r>
    </w:p>
    <w:p w14:paraId="6D64FFE5" w14:textId="77777777" w:rsidR="00FA14FD" w:rsidRDefault="00FA14FD" w:rsidP="00FA14FD">
      <w:pPr>
        <w:spacing w:before="120"/>
        <w:rPr>
          <w:rFonts w:asciiTheme="majorBidi" w:eastAsia="BatangChe" w:hAnsiTheme="majorBidi" w:cstheme="majorBidi"/>
          <w:b/>
          <w:sz w:val="24"/>
          <w:szCs w:val="24"/>
        </w:rPr>
      </w:pPr>
      <w:r>
        <w:rPr>
          <w:rFonts w:asciiTheme="majorBidi" w:eastAsia="BatangChe" w:hAnsiTheme="majorBidi" w:cstheme="majorBidi"/>
          <w:b/>
          <w:bCs/>
          <w:sz w:val="24"/>
          <w:szCs w:val="24"/>
        </w:rPr>
        <w:t>Working Party on the Transport of Dangerous Goods</w:t>
      </w:r>
    </w:p>
    <w:p w14:paraId="56B9D958" w14:textId="77777777" w:rsidR="00FA14FD" w:rsidRDefault="00FA14FD" w:rsidP="00FA14FD">
      <w:pPr>
        <w:spacing w:before="120"/>
        <w:rPr>
          <w:rStyle w:val="Numrodepage"/>
          <w:rFonts w:asciiTheme="majorBidi" w:eastAsia="BatangChe" w:hAnsiTheme="majorBidi" w:cstheme="majorBidi"/>
        </w:rPr>
      </w:pPr>
      <w:r>
        <w:rPr>
          <w:rFonts w:asciiTheme="majorBidi" w:eastAsia="BatangChe" w:hAnsiTheme="majorBidi" w:cstheme="majorBidi"/>
          <w:b/>
          <w:bCs/>
        </w:rPr>
        <w:t>108th session</w:t>
      </w:r>
    </w:p>
    <w:p w14:paraId="32D3E733" w14:textId="77777777" w:rsidR="00FA14FD" w:rsidRDefault="00FA14FD" w:rsidP="00FA14FD">
      <w:pPr>
        <w:rPr>
          <w:rFonts w:eastAsia="BatangChe"/>
        </w:rPr>
      </w:pPr>
      <w:r>
        <w:rPr>
          <w:rFonts w:asciiTheme="majorBidi" w:eastAsia="BatangChe" w:hAnsiTheme="majorBidi" w:cstheme="majorBidi"/>
        </w:rPr>
        <w:t xml:space="preserve">Geneva, </w:t>
      </w:r>
      <w:r w:rsidR="00311F9C">
        <w:rPr>
          <w:rFonts w:asciiTheme="majorBidi" w:eastAsia="BatangChe" w:hAnsiTheme="majorBidi" w:cstheme="majorBidi"/>
        </w:rPr>
        <w:t>9</w:t>
      </w:r>
      <w:r>
        <w:rPr>
          <w:rFonts w:asciiTheme="majorBidi" w:eastAsia="BatangChe" w:hAnsiTheme="majorBidi" w:cstheme="majorBidi"/>
        </w:rPr>
        <w:t>–1</w:t>
      </w:r>
      <w:r w:rsidR="00726452">
        <w:rPr>
          <w:rFonts w:asciiTheme="majorBidi" w:eastAsia="BatangChe" w:hAnsiTheme="majorBidi" w:cstheme="majorBidi"/>
        </w:rPr>
        <w:t>3</w:t>
      </w:r>
      <w:r>
        <w:rPr>
          <w:rFonts w:asciiTheme="majorBidi" w:eastAsia="BatangChe" w:hAnsiTheme="majorBidi" w:cstheme="majorBidi"/>
        </w:rPr>
        <w:t xml:space="preserve"> </w:t>
      </w:r>
      <w:r w:rsidR="00726452">
        <w:rPr>
          <w:rFonts w:asciiTheme="majorBidi" w:eastAsia="BatangChe" w:hAnsiTheme="majorBidi" w:cstheme="majorBidi"/>
        </w:rPr>
        <w:t>November</w:t>
      </w:r>
      <w:r>
        <w:rPr>
          <w:rFonts w:asciiTheme="majorBidi" w:eastAsia="BatangChe" w:hAnsiTheme="majorBidi" w:cstheme="majorBidi"/>
        </w:rPr>
        <w:t xml:space="preserve"> 2020</w:t>
      </w:r>
    </w:p>
    <w:p w14:paraId="06596E64" w14:textId="77777777" w:rsidR="00FA14FD" w:rsidRDefault="00FA14FD" w:rsidP="00FA14FD">
      <w:pPr>
        <w:rPr>
          <w:rFonts w:asciiTheme="majorBidi" w:eastAsia="BatangChe" w:hAnsiTheme="majorBidi" w:cstheme="majorBidi"/>
        </w:rPr>
      </w:pPr>
      <w:r>
        <w:rPr>
          <w:rFonts w:asciiTheme="majorBidi" w:eastAsia="BatangChe" w:hAnsiTheme="majorBidi" w:cstheme="majorBidi"/>
        </w:rPr>
        <w:t>Item 5 (b) of the provisional agenda</w:t>
      </w:r>
    </w:p>
    <w:p w14:paraId="2FECA428" w14:textId="77777777" w:rsidR="00FA14FD" w:rsidRDefault="00FA14FD" w:rsidP="00FA14FD">
      <w:pPr>
        <w:rPr>
          <w:rFonts w:asciiTheme="majorBidi" w:eastAsia="BatangChe" w:hAnsiTheme="majorBidi" w:cstheme="majorBidi"/>
          <w:b/>
          <w:bCs/>
        </w:rPr>
      </w:pPr>
      <w:r>
        <w:rPr>
          <w:rFonts w:asciiTheme="majorBidi" w:eastAsia="BatangChe" w:hAnsiTheme="majorBidi" w:cstheme="majorBidi"/>
          <w:b/>
          <w:bCs/>
        </w:rPr>
        <w:t>Proposals for amendments to annexes A and B of ADR:</w:t>
      </w:r>
      <w:r>
        <w:rPr>
          <w:rFonts w:asciiTheme="majorBidi" w:eastAsia="BatangChe" w:hAnsiTheme="majorBidi" w:cstheme="majorBidi"/>
          <w:b/>
          <w:bCs/>
        </w:rPr>
        <w:br/>
        <w:t>miscellaneous proposals</w:t>
      </w:r>
    </w:p>
    <w:p w14:paraId="2462645B" w14:textId="77777777" w:rsidR="00FA14FD" w:rsidRPr="00204828" w:rsidRDefault="00FA14FD" w:rsidP="00FA14FD">
      <w:pPr>
        <w:pStyle w:val="HChG"/>
      </w:pPr>
      <w:r>
        <w:tab/>
      </w:r>
      <w:r>
        <w:tab/>
        <w:t xml:space="preserve">Clarification of the application of the tunnel restriction code for the carriage of empty </w:t>
      </w:r>
      <w:proofErr w:type="spellStart"/>
      <w:r>
        <w:t>packagings</w:t>
      </w:r>
      <w:proofErr w:type="spellEnd"/>
      <w:r>
        <w:t>, uncleaned, in accordance with section 5.4.1.1.6.2.1 (a) and (b) of ADR</w:t>
      </w:r>
    </w:p>
    <w:p w14:paraId="6DB0B805" w14:textId="082D8876" w:rsidR="00FA14FD" w:rsidRDefault="00FA14FD" w:rsidP="00FA14FD">
      <w:pPr>
        <w:pStyle w:val="H1G"/>
      </w:pPr>
      <w:r>
        <w:tab/>
      </w:r>
      <w:r>
        <w:tab/>
        <w:t>Transmitted by the Government of Germany</w:t>
      </w:r>
      <w:r w:rsidR="00767713" w:rsidRPr="000329A3">
        <w:rPr>
          <w:b w:val="0"/>
          <w:bCs/>
          <w:sz w:val="20"/>
          <w:szCs w:val="16"/>
        </w:rPr>
        <w:footnoteReference w:customMarkFollows="1" w:id="2"/>
        <w:sym w:font="Symbol" w:char="F02A"/>
      </w:r>
    </w:p>
    <w:p w14:paraId="2F90842A" w14:textId="77777777" w:rsidR="00FA14FD" w:rsidRPr="000B55DB" w:rsidRDefault="00FA14FD" w:rsidP="00FA14FD">
      <w:pPr>
        <w:pStyle w:val="HChG"/>
        <w:keepNext w:val="0"/>
        <w:keepLines w:val="0"/>
      </w:pPr>
      <w:r>
        <w:tab/>
      </w:r>
      <w:r>
        <w:tab/>
        <w:t>Summary</w:t>
      </w:r>
    </w:p>
    <w:p w14:paraId="562B0BE9" w14:textId="08380287" w:rsidR="00FA14FD" w:rsidRPr="000B55DB" w:rsidRDefault="00FA14FD" w:rsidP="00FA14FD">
      <w:pPr>
        <w:spacing w:after="120"/>
        <w:ind w:left="1134" w:right="1134"/>
        <w:jc w:val="both"/>
      </w:pPr>
      <w:r>
        <w:t>1.</w:t>
      </w:r>
      <w:r>
        <w:tab/>
        <w:t xml:space="preserve">The aim of this proposal is to clarify the </w:t>
      </w:r>
      <w:r w:rsidR="00C27420">
        <w:t>requirements</w:t>
      </w:r>
      <w:r>
        <w:t xml:space="preserve"> set out in 5.4.1.1.6.2.1 (a) and (b) of ADR regarding the indication of the tunnel restriction code. </w:t>
      </w:r>
    </w:p>
    <w:p w14:paraId="4C74BC84" w14:textId="77777777" w:rsidR="00FA14FD" w:rsidRPr="000B55DB" w:rsidRDefault="00FA14FD" w:rsidP="00FA14FD">
      <w:pPr>
        <w:pStyle w:val="HChG"/>
        <w:keepNext w:val="0"/>
        <w:keepLines w:val="0"/>
      </w:pPr>
      <w:r>
        <w:tab/>
      </w:r>
      <w:r>
        <w:tab/>
        <w:t>Introduction</w:t>
      </w:r>
    </w:p>
    <w:p w14:paraId="3570E9BF" w14:textId="43C3FE39" w:rsidR="00FA14FD" w:rsidRDefault="00FA14FD" w:rsidP="00FA14FD">
      <w:pPr>
        <w:pStyle w:val="SingleTxtG"/>
      </w:pPr>
      <w:r>
        <w:t>2.</w:t>
      </w:r>
      <w:r>
        <w:tab/>
        <w:t xml:space="preserve">In ADR 2017, a possibility to simplify transport document information for empty </w:t>
      </w:r>
      <w:proofErr w:type="spellStart"/>
      <w:r>
        <w:t>packagings</w:t>
      </w:r>
      <w:proofErr w:type="spellEnd"/>
      <w:r>
        <w:t xml:space="preserve">, uncleaned, which contain residues of different dangerous goods was included. </w:t>
      </w:r>
      <w:bookmarkStart w:id="0" w:name="_GoBack"/>
      <w:r>
        <w:t xml:space="preserve">5.4.1.1.6.2.1 </w:t>
      </w:r>
      <w:bookmarkEnd w:id="0"/>
      <w:r>
        <w:t>was amended as follows:</w:t>
      </w:r>
      <w:r w:rsidR="00C27420">
        <w:rPr>
          <w:rStyle w:val="Appelnotedebasdep"/>
        </w:rPr>
        <w:footnoteReference w:id="3"/>
      </w:r>
    </w:p>
    <w:p w14:paraId="47C41D67" w14:textId="77777777" w:rsidR="00FA14FD" w:rsidRPr="00B5264D" w:rsidRDefault="00FA14FD" w:rsidP="00FA14FD">
      <w:pPr>
        <w:pStyle w:val="SingleTxtG"/>
      </w:pPr>
      <w:r>
        <w:t>“In addition, in such a case:</w:t>
      </w:r>
    </w:p>
    <w:p w14:paraId="49A8CA2A" w14:textId="77777777" w:rsidR="00FA14FD" w:rsidRDefault="00FA14FD" w:rsidP="00FA14FD">
      <w:pPr>
        <w:pStyle w:val="SingleTxtG"/>
      </w:pPr>
      <w:r>
        <w:tab/>
      </w:r>
      <w:r>
        <w:tab/>
        <w:t>(a)</w:t>
      </w:r>
      <w:r>
        <w:tab/>
        <w:t>If the dangerous goods last loaded are goods of Class 2, the information prescribed in 5.4.1.1.1 (c) may be replaced by the number of the class “2”;</w:t>
      </w:r>
    </w:p>
    <w:p w14:paraId="6B608D9D" w14:textId="77777777" w:rsidR="00FA14FD" w:rsidRPr="006A38D7" w:rsidRDefault="00FA14FD" w:rsidP="00FA14FD">
      <w:pPr>
        <w:pStyle w:val="SingleTxtG"/>
        <w:rPr>
          <w:u w:val="single"/>
        </w:rPr>
      </w:pPr>
      <w:r>
        <w:tab/>
      </w:r>
      <w:r>
        <w:tab/>
      </w:r>
      <w:r>
        <w:rPr>
          <w:u w:val="single"/>
        </w:rPr>
        <w:t>(b)</w:t>
      </w:r>
      <w:r>
        <w:rPr>
          <w:u w:val="single"/>
        </w:rPr>
        <w:tab/>
        <w:t xml:space="preserve">If the dangerous goods last loaded are goods of Classes 3, 4.1, 4.2, 4.3, 5.1, 5.2, 6.1, 8 or 9, the information of the goods last loaded, as described in 5.4.1.1.1 (c) may be replaced by the words “WITH RESIDUES OF […]” followed by the class(es) and subsidiary hazard(s) corresponding to the different residues, in the class numbering order. </w:t>
      </w:r>
    </w:p>
    <w:p w14:paraId="7225B080" w14:textId="77777777" w:rsidR="00FA14FD" w:rsidRPr="006A38D7" w:rsidRDefault="00FA14FD" w:rsidP="00FA14FD">
      <w:pPr>
        <w:pStyle w:val="SingleTxtG"/>
        <w:rPr>
          <w:u w:val="single"/>
        </w:rPr>
      </w:pPr>
      <w:r>
        <w:rPr>
          <w:u w:val="single"/>
        </w:rPr>
        <w:t xml:space="preserve">Example: Empty packages, uncleaned, having contained goods of Class 3 carried together with empty </w:t>
      </w:r>
      <w:proofErr w:type="spellStart"/>
      <w:r>
        <w:rPr>
          <w:u w:val="single"/>
        </w:rPr>
        <w:t>packagings</w:t>
      </w:r>
      <w:proofErr w:type="spellEnd"/>
      <w:r>
        <w:rPr>
          <w:u w:val="single"/>
        </w:rPr>
        <w:t>, uncleaned, having contained goods of Class 8 with a Class 6.1 subsidiary hazard may be referred to in the transport document as:</w:t>
      </w:r>
    </w:p>
    <w:p w14:paraId="2AF11111" w14:textId="77777777" w:rsidR="00FA14FD" w:rsidRPr="006A38D7" w:rsidRDefault="00311F9C" w:rsidP="00FA14FD">
      <w:pPr>
        <w:pStyle w:val="SingleTxtG"/>
        <w:rPr>
          <w:u w:val="single"/>
        </w:rPr>
      </w:pPr>
      <w:r>
        <w:rPr>
          <w:u w:val="single"/>
        </w:rPr>
        <w:lastRenderedPageBreak/>
        <w:tab/>
      </w:r>
      <w:r>
        <w:tab/>
      </w:r>
      <w:r w:rsidR="00FA14FD">
        <w:rPr>
          <w:u w:val="single"/>
        </w:rPr>
        <w:t>“EMPTY PACKAGINGS, WITH RESIDUES OF 3, 6.1, 8”.”</w:t>
      </w:r>
    </w:p>
    <w:p w14:paraId="171023FA" w14:textId="77777777" w:rsidR="00FA14FD" w:rsidRPr="006A38D7" w:rsidRDefault="00FA14FD" w:rsidP="00FA14FD">
      <w:pPr>
        <w:pStyle w:val="SingleTxtG"/>
      </w:pPr>
      <w:r>
        <w:t>3.</w:t>
      </w:r>
      <w:r>
        <w:tab/>
        <w:t xml:space="preserve">In this use case, it is not possible to unambiguously assign a tunnel restriction code as different empty </w:t>
      </w:r>
      <w:proofErr w:type="spellStart"/>
      <w:r>
        <w:t>packagings</w:t>
      </w:r>
      <w:proofErr w:type="spellEnd"/>
      <w:r>
        <w:t>, uncleaned, can intentionally be carried together and no reference can thus be made to a UN number.</w:t>
      </w:r>
    </w:p>
    <w:p w14:paraId="6140DA1A" w14:textId="77777777" w:rsidR="00FA14FD" w:rsidRDefault="00FA14FD" w:rsidP="00FA14FD">
      <w:pPr>
        <w:pStyle w:val="SingleTxtG"/>
      </w:pPr>
      <w:r>
        <w:t>4.</w:t>
      </w:r>
      <w:r>
        <w:tab/>
        <w:t xml:space="preserve">Similarly, such an assignation would not make sense as empty </w:t>
      </w:r>
      <w:proofErr w:type="spellStart"/>
      <w:r>
        <w:t>packagings</w:t>
      </w:r>
      <w:proofErr w:type="spellEnd"/>
      <w:r>
        <w:t xml:space="preserve">, uncleaned, fall under transport category 4 in accordance with 1.1.3.6 and are thus not subject to tunnel restrictions (exception: </w:t>
      </w:r>
      <w:proofErr w:type="spellStart"/>
      <w:r>
        <w:t>packagings</w:t>
      </w:r>
      <w:proofErr w:type="spellEnd"/>
      <w:r>
        <w:t xml:space="preserve"> falling under transport category 0). </w:t>
      </w:r>
    </w:p>
    <w:p w14:paraId="0FFBFEB3" w14:textId="77777777" w:rsidR="00FA14FD" w:rsidRDefault="00FA14FD" w:rsidP="00FA14FD">
      <w:pPr>
        <w:pStyle w:val="SingleTxtG"/>
      </w:pPr>
      <w:r>
        <w:t>5.</w:t>
      </w:r>
      <w:r>
        <w:tab/>
        <w:t>Moreover, the examination of the facts showed that no tunnel code can be assigned for the carriage of empty uncleaned gas cylinders in accordance with 5.4.1.1.6.2.1 (a) of ADR, as in many cases different gases are returned together.</w:t>
      </w:r>
    </w:p>
    <w:p w14:paraId="5166D80B" w14:textId="77777777" w:rsidR="00FA14FD" w:rsidRPr="007B7AEE" w:rsidRDefault="00FA14FD" w:rsidP="00FA14FD">
      <w:pPr>
        <w:pStyle w:val="SingleTxtG"/>
        <w:rPr>
          <w:color w:val="000000"/>
        </w:rPr>
      </w:pPr>
      <w:r>
        <w:t>6.</w:t>
      </w:r>
      <w:r>
        <w:tab/>
        <w:t>For these reasons, it should be clarified that the requirement to indicate the tunnel restriction code does not apply to the aforementioned cases.</w:t>
      </w:r>
    </w:p>
    <w:p w14:paraId="717AEE9E" w14:textId="77777777" w:rsidR="00FA14FD" w:rsidRPr="007B7AEE" w:rsidRDefault="00FA14FD" w:rsidP="00FA14FD">
      <w:pPr>
        <w:pStyle w:val="HChG"/>
        <w:rPr>
          <w:color w:val="000000"/>
        </w:rPr>
      </w:pPr>
      <w:r>
        <w:rPr>
          <w:color w:val="000000"/>
        </w:rPr>
        <w:tab/>
      </w:r>
      <w:r>
        <w:rPr>
          <w:color w:val="000000"/>
        </w:rPr>
        <w:tab/>
        <w:t>Proposal</w:t>
      </w:r>
    </w:p>
    <w:p w14:paraId="14210E53" w14:textId="54472A2E" w:rsidR="00FA14FD" w:rsidRPr="007B7AEE" w:rsidRDefault="00FA14FD" w:rsidP="00FA14FD">
      <w:pPr>
        <w:pStyle w:val="SingleTxtG"/>
        <w:rPr>
          <w:color w:val="000000"/>
        </w:rPr>
      </w:pPr>
      <w:r>
        <w:rPr>
          <w:color w:val="000000"/>
        </w:rPr>
        <w:t>7.</w:t>
      </w:r>
      <w:r>
        <w:rPr>
          <w:color w:val="000000"/>
        </w:rPr>
        <w:tab/>
        <w:t>In 5.4.1.1.6.2.1 (a) of ADR, add the following after the semicolon:</w:t>
      </w:r>
    </w:p>
    <w:p w14:paraId="532F416B" w14:textId="77777777" w:rsidR="00FA14FD" w:rsidRPr="007B7AEE" w:rsidRDefault="00311F9C" w:rsidP="00FA14FD">
      <w:pPr>
        <w:pStyle w:val="SingleTxtG"/>
        <w:rPr>
          <w:color w:val="000000"/>
        </w:rPr>
      </w:pPr>
      <w:r>
        <w:rPr>
          <w:color w:val="000000"/>
        </w:rPr>
        <w:tab/>
      </w:r>
      <w:r>
        <w:rPr>
          <w:color w:val="000000"/>
        </w:rPr>
        <w:tab/>
      </w:r>
      <w:r w:rsidR="00FA14FD">
        <w:rPr>
          <w:color w:val="000000"/>
        </w:rPr>
        <w:t>“</w:t>
      </w:r>
      <w:r w:rsidR="00FA14FD" w:rsidRPr="00E67150">
        <w:rPr>
          <w:color w:val="000000"/>
          <w:u w:val="single"/>
        </w:rPr>
        <w:t>a tunnel restriction code in accordance with 5.4.1.1.1 (k) shall not be indicated</w:t>
      </w:r>
      <w:r w:rsidR="00FA14FD">
        <w:rPr>
          <w:color w:val="000000"/>
        </w:rPr>
        <w:t>.”</w:t>
      </w:r>
    </w:p>
    <w:p w14:paraId="56ED99B6" w14:textId="492A1382" w:rsidR="00FA14FD" w:rsidRPr="007B7AEE" w:rsidRDefault="00C27420" w:rsidP="00C27420">
      <w:pPr>
        <w:pStyle w:val="SingleTxtG"/>
        <w:rPr>
          <w:color w:val="000000"/>
        </w:rPr>
      </w:pPr>
      <w:r>
        <w:rPr>
          <w:color w:val="000000"/>
        </w:rPr>
        <w:tab/>
      </w:r>
      <w:r>
        <w:rPr>
          <w:color w:val="000000"/>
        </w:rPr>
        <w:tab/>
      </w:r>
      <w:r w:rsidR="00FA14FD">
        <w:rPr>
          <w:color w:val="000000"/>
        </w:rPr>
        <w:t>In 5.4.1.1.6.2.1 (b) of ADR, add the following sentence at the end:</w:t>
      </w:r>
    </w:p>
    <w:p w14:paraId="742EADE9" w14:textId="77777777" w:rsidR="00FA14FD" w:rsidRPr="007B7AEE" w:rsidRDefault="00311F9C" w:rsidP="00FA14FD">
      <w:pPr>
        <w:pStyle w:val="SingleTxtG"/>
        <w:rPr>
          <w:color w:val="000000"/>
        </w:rPr>
      </w:pPr>
      <w:r>
        <w:rPr>
          <w:color w:val="000000"/>
        </w:rPr>
        <w:tab/>
      </w:r>
      <w:r>
        <w:rPr>
          <w:color w:val="000000"/>
        </w:rPr>
        <w:tab/>
      </w:r>
      <w:r w:rsidR="00FA14FD">
        <w:rPr>
          <w:color w:val="000000"/>
        </w:rPr>
        <w:t>“</w:t>
      </w:r>
      <w:r w:rsidR="00FA14FD">
        <w:rPr>
          <w:color w:val="000000"/>
          <w:u w:val="single"/>
        </w:rPr>
        <w:t>A tunnel restriction code in accordance with 5.4.1.1.1 (k) shall not be indicated</w:t>
      </w:r>
      <w:r w:rsidR="00FA14FD">
        <w:rPr>
          <w:color w:val="000000"/>
        </w:rPr>
        <w:t xml:space="preserve">.” </w:t>
      </w:r>
    </w:p>
    <w:p w14:paraId="045FB954" w14:textId="6E3B322C" w:rsidR="00FA14FD" w:rsidRPr="00C27420" w:rsidRDefault="00FA14FD" w:rsidP="00C27420">
      <w:pPr>
        <w:pStyle w:val="SingleTxtG"/>
        <w:spacing w:before="240" w:after="0"/>
        <w:jc w:val="center"/>
        <w:rPr>
          <w:u w:val="single"/>
        </w:rPr>
      </w:pPr>
      <w:r>
        <w:rPr>
          <w:u w:val="single"/>
        </w:rPr>
        <w:tab/>
      </w:r>
      <w:r>
        <w:rPr>
          <w:u w:val="single"/>
        </w:rPr>
        <w:tab/>
      </w:r>
      <w:r>
        <w:rPr>
          <w:u w:val="single"/>
        </w:rPr>
        <w:tab/>
      </w:r>
    </w:p>
    <w:sectPr w:rsidR="00FA14FD" w:rsidRPr="00C27420" w:rsidSect="000C4CDD">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8B47" w14:textId="77777777" w:rsidR="000C4CDD" w:rsidRDefault="000C4CDD"/>
  </w:endnote>
  <w:endnote w:type="continuationSeparator" w:id="0">
    <w:p w14:paraId="2C5654BF" w14:textId="77777777" w:rsidR="000C4CDD" w:rsidRDefault="000C4CDD"/>
  </w:endnote>
  <w:endnote w:type="continuationNotice" w:id="1">
    <w:p w14:paraId="583BF380" w14:textId="77777777" w:rsidR="000C4CDD" w:rsidRDefault="000C4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51C8" w14:textId="77777777" w:rsidR="000C4CDD" w:rsidRPr="000C4CDD" w:rsidRDefault="000C4CDD" w:rsidP="000C4CDD">
    <w:pPr>
      <w:pStyle w:val="Pieddepage"/>
      <w:tabs>
        <w:tab w:val="right" w:pos="9638"/>
      </w:tabs>
      <w:rPr>
        <w:sz w:val="18"/>
      </w:rPr>
    </w:pPr>
    <w:r w:rsidRPr="000C4CDD">
      <w:rPr>
        <w:b/>
        <w:sz w:val="18"/>
      </w:rPr>
      <w:fldChar w:fldCharType="begin"/>
    </w:r>
    <w:r w:rsidRPr="000C4CDD">
      <w:rPr>
        <w:b/>
        <w:sz w:val="18"/>
      </w:rPr>
      <w:instrText xml:space="preserve"> PAGE  \* MERGEFORMAT </w:instrText>
    </w:r>
    <w:r w:rsidRPr="000C4CDD">
      <w:rPr>
        <w:b/>
        <w:sz w:val="18"/>
      </w:rPr>
      <w:fldChar w:fldCharType="separate"/>
    </w:r>
    <w:r w:rsidRPr="000C4CDD">
      <w:rPr>
        <w:b/>
        <w:noProof/>
        <w:sz w:val="18"/>
      </w:rPr>
      <w:t>2</w:t>
    </w:r>
    <w:r w:rsidRPr="000C4CD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7D79" w14:textId="77777777" w:rsidR="000C4CDD" w:rsidRPr="000C4CDD" w:rsidRDefault="000C4CDD" w:rsidP="000C4CDD">
    <w:pPr>
      <w:pStyle w:val="Pieddepage"/>
      <w:tabs>
        <w:tab w:val="right" w:pos="9638"/>
      </w:tabs>
      <w:rPr>
        <w:b/>
        <w:sz w:val="18"/>
      </w:rPr>
    </w:pPr>
    <w:r>
      <w:tab/>
    </w:r>
    <w:r w:rsidRPr="000C4CDD">
      <w:rPr>
        <w:b/>
        <w:sz w:val="18"/>
      </w:rPr>
      <w:fldChar w:fldCharType="begin"/>
    </w:r>
    <w:r w:rsidRPr="000C4CDD">
      <w:rPr>
        <w:b/>
        <w:sz w:val="18"/>
      </w:rPr>
      <w:instrText xml:space="preserve"> PAGE  \* MERGEFORMAT </w:instrText>
    </w:r>
    <w:r w:rsidRPr="000C4CDD">
      <w:rPr>
        <w:b/>
        <w:sz w:val="18"/>
      </w:rPr>
      <w:fldChar w:fldCharType="separate"/>
    </w:r>
    <w:r w:rsidRPr="000C4CDD">
      <w:rPr>
        <w:b/>
        <w:noProof/>
        <w:sz w:val="18"/>
      </w:rPr>
      <w:t>3</w:t>
    </w:r>
    <w:r w:rsidRPr="000C4CD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35A8" w14:textId="77777777" w:rsidR="000C4CDD" w:rsidRPr="000B175B" w:rsidRDefault="000C4CDD" w:rsidP="000B175B">
      <w:pPr>
        <w:tabs>
          <w:tab w:val="right" w:pos="2155"/>
        </w:tabs>
        <w:spacing w:after="80"/>
        <w:ind w:left="680"/>
        <w:rPr>
          <w:u w:val="single"/>
        </w:rPr>
      </w:pPr>
      <w:r>
        <w:rPr>
          <w:u w:val="single"/>
        </w:rPr>
        <w:tab/>
      </w:r>
    </w:p>
  </w:footnote>
  <w:footnote w:type="continuationSeparator" w:id="0">
    <w:p w14:paraId="0A29E984" w14:textId="77777777" w:rsidR="000C4CDD" w:rsidRPr="00FC68B7" w:rsidRDefault="000C4CDD" w:rsidP="00FC68B7">
      <w:pPr>
        <w:tabs>
          <w:tab w:val="left" w:pos="2155"/>
        </w:tabs>
        <w:spacing w:after="80"/>
        <w:ind w:left="680"/>
        <w:rPr>
          <w:u w:val="single"/>
        </w:rPr>
      </w:pPr>
      <w:r>
        <w:rPr>
          <w:u w:val="single"/>
        </w:rPr>
        <w:tab/>
      </w:r>
    </w:p>
  </w:footnote>
  <w:footnote w:type="continuationNotice" w:id="1">
    <w:p w14:paraId="0930439F" w14:textId="77777777" w:rsidR="000C4CDD" w:rsidRDefault="000C4CDD"/>
  </w:footnote>
  <w:footnote w:id="2">
    <w:p w14:paraId="55D8DD73" w14:textId="77777777" w:rsidR="00767713" w:rsidRDefault="00767713" w:rsidP="00767713">
      <w:pPr>
        <w:pStyle w:val="Notedebasdepage"/>
      </w:pPr>
      <w:r>
        <w:rPr>
          <w:rStyle w:val="Titre3Car"/>
        </w:rPr>
        <w:tab/>
      </w:r>
      <w:r w:rsidRPr="00767713">
        <w:rPr>
          <w:rStyle w:val="Titre3Car"/>
          <w:sz w:val="20"/>
        </w:rPr>
        <w:sym w:font="Symbol" w:char="F02A"/>
      </w:r>
      <w:r>
        <w:tab/>
      </w:r>
      <w:r w:rsidRPr="00DD419C">
        <w:t>Subprogramme 2 of the programme budget for 2020 (A/74/6 (Sect. 20) and additional information).</w:t>
      </w:r>
    </w:p>
  </w:footnote>
  <w:footnote w:id="3">
    <w:p w14:paraId="50FC9CAF" w14:textId="089F3BA4" w:rsidR="00C27420" w:rsidRPr="00C27420" w:rsidRDefault="00C27420" w:rsidP="00C27420">
      <w:pPr>
        <w:pStyle w:val="Notedebasdepage"/>
        <w:widowControl w:val="0"/>
        <w:tabs>
          <w:tab w:val="clear" w:pos="1021"/>
          <w:tab w:val="right" w:pos="1020"/>
        </w:tabs>
        <w:rPr>
          <w:lang w:val="fr-CH"/>
        </w:rPr>
      </w:pPr>
      <w:r>
        <w:tab/>
      </w:r>
      <w:r>
        <w:rPr>
          <w:rStyle w:val="Appelnotedebasdep"/>
        </w:rPr>
        <w:footnoteRef/>
      </w:r>
      <w:r>
        <w:tab/>
        <w:t xml:space="preserve">Note by the secretariat: this text also text into account the amendments adopted in ADR 2019 to replace “risk” by “hazard” where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B192" w14:textId="77777777" w:rsidR="000C4CDD" w:rsidRPr="000C4CDD" w:rsidRDefault="00767713">
    <w:pPr>
      <w:pStyle w:val="En-tte"/>
    </w:pPr>
    <w:fldSimple w:instr=" TITLE  \* MERGEFORMAT ">
      <w:r w:rsidR="000C4CDD">
        <w:t>ECE/TRANS/WP.15/2020/12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4D50" w14:textId="77777777" w:rsidR="000C4CDD" w:rsidRPr="000C4CDD" w:rsidRDefault="00767713" w:rsidP="000C4CDD">
    <w:pPr>
      <w:pStyle w:val="En-tte"/>
      <w:jc w:val="right"/>
    </w:pPr>
    <w:fldSimple w:instr=" TITLE  \* MERGEFORMAT ">
      <w:r w:rsidR="000C4CDD">
        <w:t>ECE/TRANS/WP.15/2020/12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DD"/>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C4CDD"/>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11F9C"/>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26452"/>
    <w:rsid w:val="007358E8"/>
    <w:rsid w:val="00736ECE"/>
    <w:rsid w:val="0074533B"/>
    <w:rsid w:val="007643BC"/>
    <w:rsid w:val="00767713"/>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7420"/>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14F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B1B481"/>
  <w15:docId w15:val="{7834FF78-0AFB-41B4-920B-902FDBCF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link w:val="Titre3Car"/>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
    <w:basedOn w:val="Policepardfaut"/>
    <w:qFormat/>
    <w:rsid w:val="00E925AD"/>
    <w:rPr>
      <w:rFonts w:ascii="Times New Roman" w:hAnsi="Times New Roman"/>
      <w:sz w:val="18"/>
      <w:vertAlign w:val="superscript"/>
    </w:rPr>
  </w:style>
  <w:style w:type="paragraph" w:styleId="Notedebasdepage">
    <w:name w:val="footnote text"/>
    <w:aliases w:val="5_G"/>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FA14FD"/>
    <w:rPr>
      <w:b/>
      <w:sz w:val="28"/>
      <w:lang w:val="en-GB"/>
    </w:rPr>
  </w:style>
  <w:style w:type="character" w:customStyle="1" w:styleId="H1GChar">
    <w:name w:val="_ H_1_G Char"/>
    <w:link w:val="H1G"/>
    <w:locked/>
    <w:rsid w:val="00FA14FD"/>
    <w:rPr>
      <w:b/>
      <w:sz w:val="24"/>
      <w:lang w:val="en-GB"/>
    </w:rPr>
  </w:style>
  <w:style w:type="character" w:customStyle="1" w:styleId="Titre3Car">
    <w:name w:val="Titre 3 Car"/>
    <w:basedOn w:val="Policepardfaut"/>
    <w:link w:val="Titre3"/>
    <w:semiHidden/>
    <w:rsid w:val="00767713"/>
    <w:rPr>
      <w:lang w:val="en-GB"/>
    </w:rPr>
  </w:style>
  <w:style w:type="character" w:customStyle="1" w:styleId="NotedebasdepageCar">
    <w:name w:val="Note de bas de page Car"/>
    <w:aliases w:val="5_G Car"/>
    <w:basedOn w:val="Policepardfaut"/>
    <w:link w:val="Notedebasdepage"/>
    <w:rsid w:val="00767713"/>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C9C7-C72C-47DE-8A45-15CCDC1D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16</TotalTime>
  <Pages>2</Pages>
  <Words>463</Words>
  <Characters>2552</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ECE/TRANS/WP.15/2020/12</vt:lpstr>
      <vt:lpstr/>
    </vt:vector>
  </TitlesOfParts>
  <Company>CSD</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ECE/TRANS/WP.15/2020/12</dc:title>
  <dc:creator>Christine Barrio-Champeau</dc:creator>
  <cp:lastModifiedBy>Editorial</cp:lastModifiedBy>
  <cp:revision>6</cp:revision>
  <cp:lastPrinted>2009-02-18T09:36:00Z</cp:lastPrinted>
  <dcterms:created xsi:type="dcterms:W3CDTF">2020-04-07T14:36:00Z</dcterms:created>
  <dcterms:modified xsi:type="dcterms:W3CDTF">2020-07-15T09:12:00Z</dcterms:modified>
</cp:coreProperties>
</file>