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95CCC" w:rsidP="00F95CCC">
            <w:pPr>
              <w:suppressAutoHyphens w:val="0"/>
              <w:spacing w:after="20"/>
              <w:jc w:val="right"/>
            </w:pPr>
            <w:r w:rsidRPr="00F95CCC">
              <w:rPr>
                <w:sz w:val="40"/>
              </w:rPr>
              <w:t>ECE</w:t>
            </w:r>
            <w:r>
              <w:t>/TRANS/WP.15/2020/11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95CCC" w:rsidP="00F95CCC">
            <w:pPr>
              <w:spacing w:before="240"/>
            </w:pPr>
            <w:r>
              <w:t>Distr.: General</w:t>
            </w:r>
          </w:p>
          <w:p w:rsidR="00F95CCC" w:rsidRDefault="00F95CCC" w:rsidP="00F95CCC">
            <w:pPr>
              <w:suppressAutoHyphens w:val="0"/>
            </w:pPr>
            <w:r>
              <w:t>21 February 2020</w:t>
            </w:r>
          </w:p>
          <w:p w:rsidR="00F95CCC" w:rsidRDefault="00F95CCC" w:rsidP="00F95CCC">
            <w:pPr>
              <w:suppressAutoHyphens w:val="0"/>
            </w:pPr>
            <w:r>
              <w:t>English</w:t>
            </w:r>
          </w:p>
          <w:p w:rsidR="00F95CCC" w:rsidRDefault="00F95CCC" w:rsidP="00F95CCC">
            <w:pPr>
              <w:suppressAutoHyphens w:val="0"/>
            </w:pPr>
            <w:r>
              <w:t>Original: French</w:t>
            </w:r>
          </w:p>
        </w:tc>
      </w:tr>
    </w:tbl>
    <w:p w:rsidR="005646ED" w:rsidRPr="00072165" w:rsidRDefault="005646ED" w:rsidP="005646ED">
      <w:pPr>
        <w:spacing w:before="120"/>
        <w:rPr>
          <w:rFonts w:asciiTheme="majorBidi" w:eastAsia="BatangChe" w:hAnsiTheme="majorBidi" w:cstheme="majorBidi"/>
          <w:b/>
          <w:sz w:val="28"/>
          <w:szCs w:val="28"/>
        </w:rPr>
      </w:pPr>
      <w:r w:rsidRPr="00072165">
        <w:rPr>
          <w:rFonts w:asciiTheme="majorBidi" w:eastAsia="BatangChe" w:hAnsiTheme="majorBidi" w:cstheme="majorBidi"/>
          <w:b/>
          <w:bCs/>
          <w:sz w:val="28"/>
          <w:szCs w:val="28"/>
        </w:rPr>
        <w:t>Economic Commission for Europe</w:t>
      </w:r>
    </w:p>
    <w:p w:rsidR="005646ED" w:rsidRPr="00072165" w:rsidRDefault="005646ED" w:rsidP="005646ED">
      <w:pPr>
        <w:spacing w:before="120"/>
        <w:rPr>
          <w:rFonts w:asciiTheme="majorBidi" w:eastAsia="BatangChe" w:hAnsiTheme="majorBidi" w:cstheme="majorBidi"/>
          <w:sz w:val="28"/>
          <w:szCs w:val="28"/>
        </w:rPr>
      </w:pPr>
      <w:r w:rsidRPr="00072165">
        <w:rPr>
          <w:rFonts w:asciiTheme="majorBidi" w:eastAsia="BatangChe" w:hAnsiTheme="majorBidi" w:cstheme="majorBidi"/>
          <w:sz w:val="28"/>
          <w:szCs w:val="28"/>
        </w:rPr>
        <w:t>Inland Transport Committee</w:t>
      </w:r>
    </w:p>
    <w:p w:rsidR="005646ED" w:rsidRPr="00072165" w:rsidRDefault="005646ED" w:rsidP="005646ED">
      <w:pPr>
        <w:spacing w:before="120"/>
        <w:rPr>
          <w:rFonts w:asciiTheme="majorBidi" w:eastAsia="BatangChe" w:hAnsiTheme="majorBidi" w:cstheme="majorBidi"/>
          <w:b/>
          <w:sz w:val="24"/>
          <w:szCs w:val="24"/>
        </w:rPr>
      </w:pPr>
      <w:r w:rsidRPr="00072165">
        <w:rPr>
          <w:rFonts w:asciiTheme="majorBidi" w:eastAsia="BatangChe" w:hAnsiTheme="majorBidi" w:cstheme="majorBidi"/>
          <w:b/>
          <w:bCs/>
          <w:sz w:val="24"/>
          <w:szCs w:val="24"/>
        </w:rPr>
        <w:t>Working Party on the Transport of Dangerous Goods</w:t>
      </w:r>
    </w:p>
    <w:p w:rsidR="005646ED" w:rsidRPr="00072165" w:rsidRDefault="005646ED" w:rsidP="005646ED">
      <w:pPr>
        <w:spacing w:before="120"/>
        <w:rPr>
          <w:rStyle w:val="PageNumber"/>
          <w:rFonts w:asciiTheme="majorBidi" w:eastAsia="BatangChe" w:hAnsiTheme="majorBidi" w:cstheme="majorBidi"/>
        </w:rPr>
      </w:pPr>
      <w:r w:rsidRPr="00072165">
        <w:rPr>
          <w:rFonts w:asciiTheme="majorBidi" w:eastAsia="BatangChe" w:hAnsiTheme="majorBidi" w:cstheme="majorBidi"/>
          <w:b/>
          <w:bCs/>
        </w:rPr>
        <w:t>108th session</w:t>
      </w:r>
    </w:p>
    <w:p w:rsidR="005646ED" w:rsidRPr="00072165" w:rsidRDefault="005646ED" w:rsidP="005646ED">
      <w:pPr>
        <w:rPr>
          <w:rFonts w:asciiTheme="majorBidi" w:eastAsia="BatangChe" w:hAnsiTheme="majorBidi" w:cstheme="majorBidi"/>
        </w:rPr>
      </w:pPr>
      <w:r w:rsidRPr="00072165">
        <w:rPr>
          <w:rFonts w:asciiTheme="majorBidi" w:eastAsia="BatangChe" w:hAnsiTheme="majorBidi" w:cstheme="majorBidi"/>
        </w:rPr>
        <w:t>Geneva, 11–15 May 2020</w:t>
      </w:r>
    </w:p>
    <w:p w:rsidR="005646ED" w:rsidRPr="00072165" w:rsidRDefault="005646ED" w:rsidP="005646ED">
      <w:pPr>
        <w:rPr>
          <w:rFonts w:asciiTheme="majorBidi" w:eastAsia="BatangChe" w:hAnsiTheme="majorBidi" w:cstheme="majorBidi"/>
        </w:rPr>
      </w:pPr>
      <w:r w:rsidRPr="00072165">
        <w:rPr>
          <w:rFonts w:asciiTheme="majorBidi" w:eastAsia="BatangChe" w:hAnsiTheme="majorBidi" w:cstheme="majorBidi"/>
        </w:rPr>
        <w:t>Item 5 (b) of the provisional agenda</w:t>
      </w:r>
    </w:p>
    <w:p w:rsidR="005646ED" w:rsidRPr="00072165" w:rsidRDefault="005646ED" w:rsidP="00213B42">
      <w:pPr>
        <w:rPr>
          <w:rFonts w:asciiTheme="majorBidi" w:eastAsia="BatangChe" w:hAnsiTheme="majorBidi" w:cstheme="majorBidi"/>
          <w:b/>
          <w:bCs/>
        </w:rPr>
      </w:pPr>
      <w:r w:rsidRPr="00072165">
        <w:rPr>
          <w:rFonts w:asciiTheme="majorBidi" w:eastAsia="BatangChe" w:hAnsiTheme="majorBidi" w:cstheme="majorBidi"/>
          <w:b/>
          <w:bCs/>
        </w:rPr>
        <w:t>Proposals for amendments to annexes A and B of ADR:</w:t>
      </w:r>
      <w:r w:rsidR="00213B42">
        <w:rPr>
          <w:rFonts w:asciiTheme="majorBidi" w:eastAsia="BatangChe" w:hAnsiTheme="majorBidi" w:cstheme="majorBidi"/>
          <w:b/>
          <w:bCs/>
        </w:rPr>
        <w:br/>
      </w:r>
      <w:r w:rsidRPr="00072165">
        <w:rPr>
          <w:rFonts w:asciiTheme="majorBidi" w:eastAsia="BatangChe" w:hAnsiTheme="majorBidi" w:cstheme="majorBidi"/>
          <w:b/>
          <w:bCs/>
        </w:rPr>
        <w:t>miscellaneous proposals</w:t>
      </w:r>
    </w:p>
    <w:p w:rsidR="005646ED" w:rsidRPr="00072165" w:rsidRDefault="005646ED" w:rsidP="005646ED">
      <w:pPr>
        <w:pStyle w:val="HChG"/>
        <w:rPr>
          <w:rFonts w:asciiTheme="majorBidi" w:eastAsia="BatangChe" w:hAnsiTheme="majorBidi" w:cstheme="majorBidi"/>
          <w:sz w:val="24"/>
          <w:szCs w:val="24"/>
        </w:rPr>
      </w:pPr>
      <w:r w:rsidRPr="00072165">
        <w:rPr>
          <w:rFonts w:asciiTheme="majorBidi" w:eastAsia="BatangChe" w:hAnsiTheme="majorBidi" w:cstheme="majorBidi"/>
        </w:rPr>
        <w:tab/>
      </w:r>
      <w:r w:rsidRPr="00072165">
        <w:rPr>
          <w:rFonts w:asciiTheme="majorBidi" w:eastAsia="BatangChe" w:hAnsiTheme="majorBidi" w:cstheme="majorBidi"/>
        </w:rPr>
        <w:tab/>
      </w:r>
      <w:r w:rsidRPr="00072165">
        <w:rPr>
          <w:rFonts w:asciiTheme="majorBidi" w:eastAsia="BatangChe" w:hAnsiTheme="majorBidi" w:cstheme="majorBidi"/>
          <w:bCs/>
        </w:rPr>
        <w:t>Text of 9.1.3.4</w:t>
      </w:r>
    </w:p>
    <w:p w:rsidR="005646ED" w:rsidRPr="00072165" w:rsidRDefault="005646ED" w:rsidP="005646ED">
      <w:pPr>
        <w:pStyle w:val="H1G"/>
        <w:rPr>
          <w:rFonts w:asciiTheme="majorBidi" w:eastAsia="BatangChe" w:hAnsiTheme="majorBidi" w:cstheme="majorBidi"/>
        </w:rPr>
      </w:pPr>
      <w:r w:rsidRPr="00072165">
        <w:rPr>
          <w:rFonts w:asciiTheme="majorBidi" w:eastAsia="BatangChe" w:hAnsiTheme="majorBidi" w:cstheme="majorBidi"/>
        </w:rPr>
        <w:tab/>
      </w:r>
      <w:r w:rsidRPr="00072165">
        <w:rPr>
          <w:rFonts w:asciiTheme="majorBidi" w:eastAsia="BatangChe" w:hAnsiTheme="majorBidi" w:cstheme="majorBidi"/>
        </w:rPr>
        <w:tab/>
      </w:r>
      <w:r w:rsidRPr="00072165">
        <w:rPr>
          <w:rFonts w:asciiTheme="majorBidi" w:eastAsia="BatangChe" w:hAnsiTheme="majorBidi" w:cstheme="majorBidi"/>
          <w:bCs/>
        </w:rPr>
        <w:t>Note by the secretariat</w:t>
      </w:r>
      <w:r w:rsidRPr="00BA29CE">
        <w:rPr>
          <w:rStyle w:val="FootnoteReference"/>
          <w:rFonts w:eastAsia="BatangChe"/>
          <w:b w:val="0"/>
          <w:bCs/>
          <w:sz w:val="20"/>
          <w:vertAlign w:val="baseline"/>
        </w:rPr>
        <w:footnoteReference w:customMarkFollows="1" w:id="1"/>
        <w:sym w:font="Symbol" w:char="F02A"/>
      </w:r>
    </w:p>
    <w:p w:rsidR="005646ED" w:rsidRPr="00072165" w:rsidRDefault="005646ED" w:rsidP="005646ED">
      <w:pPr>
        <w:pStyle w:val="HChG"/>
        <w:rPr>
          <w:rFonts w:asciiTheme="majorBidi" w:eastAsia="BatangChe" w:hAnsiTheme="majorBidi" w:cstheme="majorBidi"/>
        </w:rPr>
      </w:pPr>
      <w:r w:rsidRPr="00072165">
        <w:rPr>
          <w:rFonts w:asciiTheme="majorBidi" w:eastAsia="BatangChe" w:hAnsiTheme="majorBidi" w:cstheme="majorBidi"/>
        </w:rPr>
        <w:tab/>
      </w:r>
      <w:r w:rsidRPr="00072165">
        <w:rPr>
          <w:rFonts w:asciiTheme="majorBidi" w:eastAsia="BatangChe" w:hAnsiTheme="majorBidi" w:cstheme="majorBidi"/>
        </w:rPr>
        <w:tab/>
      </w:r>
      <w:r w:rsidRPr="00072165">
        <w:rPr>
          <w:rFonts w:asciiTheme="majorBidi" w:eastAsia="BatangChe" w:hAnsiTheme="majorBidi" w:cstheme="majorBidi"/>
          <w:bCs/>
        </w:rPr>
        <w:t>Introduction</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1.</w:t>
      </w:r>
      <w:r w:rsidRPr="00072165">
        <w:rPr>
          <w:rFonts w:asciiTheme="majorBidi" w:eastAsia="BatangChe" w:hAnsiTheme="majorBidi" w:cstheme="majorBidi"/>
        </w:rPr>
        <w:tab/>
        <w:t>The amendments to ADR due to enter into force on 1 January 2021 (see ECE/TRANS/WP.15/249) include the addition of a new second paragraph to 9.1.3.4.</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2.</w:t>
      </w:r>
      <w:r w:rsidRPr="00072165">
        <w:rPr>
          <w:rFonts w:asciiTheme="majorBidi" w:eastAsia="BatangChe" w:hAnsiTheme="majorBidi" w:cstheme="majorBidi"/>
        </w:rPr>
        <w:tab/>
        <w:t>9.1.3.4 as amended reads (new text underlined):</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“9.1.3.4</w:t>
      </w:r>
      <w:r w:rsidRPr="00072165">
        <w:rPr>
          <w:rFonts w:asciiTheme="majorBidi" w:eastAsia="BatangChe" w:hAnsiTheme="majorBidi" w:cstheme="majorBidi"/>
        </w:rPr>
        <w:tab/>
        <w:t>The validity of a certificate of approval shall expire not later than one year after the date of the technical inspection of the vehicle preceding the issue of the certificate. The next approval term shall, however, be related to the last nominal expiry date, if the technical inspection is performed within one month before or after that date.</w:t>
      </w:r>
    </w:p>
    <w:p w:rsidR="005646ED" w:rsidRPr="00072165" w:rsidRDefault="005646ED" w:rsidP="005646ED">
      <w:pPr>
        <w:pStyle w:val="SingleTxtG"/>
        <w:rPr>
          <w:rFonts w:asciiTheme="majorBidi" w:eastAsia="BatangChe" w:hAnsiTheme="majorBidi" w:cstheme="majorBidi"/>
          <w:u w:val="single"/>
        </w:rPr>
      </w:pPr>
      <w:r w:rsidRPr="00072165">
        <w:rPr>
          <w:rFonts w:asciiTheme="majorBidi" w:eastAsia="BatangChe" w:hAnsiTheme="majorBidi" w:cstheme="majorBidi"/>
          <w:u w:val="single"/>
        </w:rPr>
        <w:t>The vehicle shall not be used for the carriage of dangerous goods after the nominal expiry date until the vehicle has a valid certificate of approval.</w:t>
      </w:r>
    </w:p>
    <w:p w:rsidR="005646ED" w:rsidRPr="00072165" w:rsidRDefault="005646ED" w:rsidP="005646ED">
      <w:pPr>
        <w:pStyle w:val="SingleTxtG"/>
        <w:rPr>
          <w:rFonts w:asciiTheme="majorBidi" w:hAnsiTheme="majorBidi" w:cstheme="majorBidi"/>
        </w:rPr>
      </w:pPr>
      <w:r w:rsidRPr="00072165">
        <w:rPr>
          <w:rFonts w:asciiTheme="majorBidi" w:eastAsia="BatangChe" w:hAnsiTheme="majorBidi" w:cstheme="majorBidi"/>
        </w:rPr>
        <w:t>However, in the case of tanks subject to compulsory periodic inspection this provision shall not mean that tightness (leakproofness) tests, hydraulic pressure tests or internal inspections of tanks have to be carried out at intervals shorter than those laid down in Chapters 6.8 and 6.9.”</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3.</w:t>
      </w:r>
      <w:r w:rsidRPr="00072165">
        <w:rPr>
          <w:rFonts w:asciiTheme="majorBidi" w:eastAsia="BatangChe" w:hAnsiTheme="majorBidi" w:cstheme="majorBidi"/>
        </w:rPr>
        <w:tab/>
        <w:t>With the addition of the new second paragraph, the phrase “this provision” in the final paragraph should be clarified, since it refers to the provision contained in the first paragraph (see Proposal 1). Moreover, following a discussion with the Chair of the Working Party, it became clear that this final paragraph could be further clarified (see Proposal 2).</w:t>
      </w:r>
    </w:p>
    <w:p w:rsidR="005646ED" w:rsidRPr="00072165" w:rsidRDefault="005646ED" w:rsidP="005646ED">
      <w:pPr>
        <w:pStyle w:val="HChG"/>
        <w:rPr>
          <w:rFonts w:asciiTheme="majorBidi" w:eastAsia="BatangChe" w:hAnsiTheme="majorBidi" w:cstheme="majorBidi"/>
        </w:rPr>
      </w:pPr>
      <w:r w:rsidRPr="00072165">
        <w:rPr>
          <w:rFonts w:asciiTheme="majorBidi" w:eastAsia="BatangChe" w:hAnsiTheme="majorBidi" w:cstheme="majorBidi"/>
        </w:rPr>
        <w:lastRenderedPageBreak/>
        <w:tab/>
      </w:r>
      <w:r w:rsidRPr="00072165">
        <w:rPr>
          <w:rFonts w:asciiTheme="majorBidi" w:eastAsia="BatangChe" w:hAnsiTheme="majorBidi" w:cstheme="majorBidi"/>
        </w:rPr>
        <w:tab/>
      </w:r>
      <w:r w:rsidRPr="00072165">
        <w:rPr>
          <w:rFonts w:asciiTheme="majorBidi" w:eastAsia="BatangChe" w:hAnsiTheme="majorBidi" w:cstheme="majorBidi"/>
          <w:bCs/>
        </w:rPr>
        <w:t>Proposed amendments</w:t>
      </w:r>
    </w:p>
    <w:p w:rsidR="005646ED" w:rsidRPr="00072165" w:rsidRDefault="005646ED" w:rsidP="005646ED">
      <w:pPr>
        <w:pStyle w:val="H1G"/>
        <w:rPr>
          <w:rFonts w:asciiTheme="majorBidi" w:eastAsia="BatangChe" w:hAnsiTheme="majorBidi" w:cstheme="majorBidi"/>
        </w:rPr>
      </w:pPr>
      <w:r w:rsidRPr="00072165">
        <w:rPr>
          <w:rFonts w:asciiTheme="majorBidi" w:eastAsia="BatangChe" w:hAnsiTheme="majorBidi" w:cstheme="majorBidi"/>
        </w:rPr>
        <w:tab/>
      </w:r>
      <w:r w:rsidRPr="00072165">
        <w:rPr>
          <w:rFonts w:asciiTheme="majorBidi" w:eastAsia="BatangChe" w:hAnsiTheme="majorBidi" w:cstheme="majorBidi"/>
        </w:rPr>
        <w:tab/>
      </w:r>
      <w:r w:rsidRPr="00072165">
        <w:rPr>
          <w:rFonts w:asciiTheme="majorBidi" w:eastAsia="BatangChe" w:hAnsiTheme="majorBidi" w:cstheme="majorBidi"/>
          <w:bCs/>
        </w:rPr>
        <w:t>Proposal 1</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4.</w:t>
      </w:r>
      <w:r w:rsidRPr="00072165">
        <w:rPr>
          <w:rFonts w:asciiTheme="majorBidi" w:eastAsia="BatangChe" w:hAnsiTheme="majorBidi" w:cstheme="majorBidi"/>
        </w:rPr>
        <w:tab/>
        <w:t>It is proposed that the words “this provision shall not” be replaced with “these provisions shall not”.</w:t>
      </w:r>
    </w:p>
    <w:p w:rsidR="005646ED" w:rsidRPr="00072165" w:rsidRDefault="005646ED" w:rsidP="005646ED">
      <w:pPr>
        <w:pStyle w:val="H1G"/>
        <w:rPr>
          <w:rFonts w:asciiTheme="majorBidi" w:eastAsia="BatangChe" w:hAnsiTheme="majorBidi" w:cstheme="majorBidi"/>
        </w:rPr>
      </w:pPr>
      <w:r w:rsidRPr="00072165">
        <w:rPr>
          <w:rFonts w:asciiTheme="majorBidi" w:eastAsia="BatangChe" w:hAnsiTheme="majorBidi" w:cstheme="majorBidi"/>
        </w:rPr>
        <w:tab/>
      </w:r>
      <w:r w:rsidRPr="00072165">
        <w:rPr>
          <w:rFonts w:asciiTheme="majorBidi" w:eastAsia="BatangChe" w:hAnsiTheme="majorBidi" w:cstheme="majorBidi"/>
        </w:rPr>
        <w:tab/>
      </w:r>
      <w:r w:rsidRPr="00072165">
        <w:rPr>
          <w:rFonts w:asciiTheme="majorBidi" w:eastAsia="BatangChe" w:hAnsiTheme="majorBidi" w:cstheme="majorBidi"/>
          <w:bCs/>
        </w:rPr>
        <w:t>Proposal 2</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5.</w:t>
      </w:r>
      <w:r w:rsidRPr="00072165">
        <w:rPr>
          <w:rFonts w:asciiTheme="majorBidi" w:eastAsia="BatangChe" w:hAnsiTheme="majorBidi" w:cstheme="majorBidi"/>
        </w:rPr>
        <w:tab/>
        <w:t>Alternatively, the Working Party may wish to amend the final paragraph of 9.1.3.4 to read:</w:t>
      </w:r>
    </w:p>
    <w:p w:rsidR="005646ED" w:rsidRPr="00072165"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“However, these provisions shall not mean that tank inspections have to be carried out at intervals shorter than those laid down in Chapters 6.8, 6.9 and 6.10.”</w:t>
      </w:r>
    </w:p>
    <w:p w:rsidR="005646ED" w:rsidRPr="00072165" w:rsidRDefault="005646ED" w:rsidP="005646ED">
      <w:pPr>
        <w:pStyle w:val="HChG"/>
        <w:rPr>
          <w:rFonts w:asciiTheme="majorBidi" w:eastAsia="BatangChe" w:hAnsiTheme="majorBidi" w:cstheme="majorBidi"/>
        </w:rPr>
      </w:pPr>
      <w:r w:rsidRPr="00072165">
        <w:rPr>
          <w:rFonts w:asciiTheme="majorBidi" w:eastAsia="BatangChe" w:hAnsiTheme="majorBidi" w:cstheme="majorBidi"/>
        </w:rPr>
        <w:tab/>
      </w:r>
      <w:r w:rsidRPr="00072165">
        <w:rPr>
          <w:rFonts w:asciiTheme="majorBidi" w:eastAsia="BatangChe" w:hAnsiTheme="majorBidi" w:cstheme="majorBidi"/>
        </w:rPr>
        <w:tab/>
      </w:r>
      <w:r w:rsidRPr="00072165">
        <w:rPr>
          <w:rFonts w:asciiTheme="majorBidi" w:eastAsia="BatangChe" w:hAnsiTheme="majorBidi" w:cstheme="majorBidi"/>
          <w:bCs/>
        </w:rPr>
        <w:t>Entry into force</w:t>
      </w:r>
    </w:p>
    <w:p w:rsidR="005646ED" w:rsidRDefault="005646ED" w:rsidP="005646ED">
      <w:pPr>
        <w:pStyle w:val="SingleTxtG"/>
        <w:rPr>
          <w:rFonts w:asciiTheme="majorBidi" w:eastAsia="BatangChe" w:hAnsiTheme="majorBidi" w:cstheme="majorBidi"/>
        </w:rPr>
      </w:pPr>
      <w:r w:rsidRPr="00072165">
        <w:rPr>
          <w:rFonts w:asciiTheme="majorBidi" w:eastAsia="BatangChe" w:hAnsiTheme="majorBidi" w:cstheme="majorBidi"/>
        </w:rPr>
        <w:t>6.</w:t>
      </w:r>
      <w:r w:rsidRPr="00072165">
        <w:rPr>
          <w:rFonts w:asciiTheme="majorBidi" w:eastAsia="BatangChe" w:hAnsiTheme="majorBidi" w:cstheme="majorBidi"/>
        </w:rPr>
        <w:tab/>
        <w:t>It is proposed that this amendment be adopted for entry into force on 1 January 2021, together with the addition of the new second paragraph.</w:t>
      </w:r>
    </w:p>
    <w:p w:rsidR="005646ED" w:rsidRPr="005646ED" w:rsidRDefault="005646ED" w:rsidP="005646ED">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646ED" w:rsidRPr="005646E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D9" w:rsidRPr="00FB1744" w:rsidRDefault="00DC68D9" w:rsidP="00FB1744">
      <w:pPr>
        <w:pStyle w:val="Footer"/>
      </w:pPr>
    </w:p>
  </w:endnote>
  <w:endnote w:type="continuationSeparator" w:id="0">
    <w:p w:rsidR="00DC68D9" w:rsidRPr="00FB1744" w:rsidRDefault="00DC68D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CC" w:rsidRDefault="00F95CCC" w:rsidP="00F95CCC">
    <w:pPr>
      <w:pStyle w:val="Footer"/>
      <w:tabs>
        <w:tab w:val="right" w:pos="9638"/>
      </w:tabs>
    </w:pPr>
    <w:r w:rsidRPr="00F95CCC">
      <w:rPr>
        <w:b/>
        <w:bCs/>
        <w:sz w:val="18"/>
      </w:rPr>
      <w:fldChar w:fldCharType="begin"/>
    </w:r>
    <w:r w:rsidRPr="00F95CCC">
      <w:rPr>
        <w:b/>
        <w:bCs/>
        <w:sz w:val="18"/>
      </w:rPr>
      <w:instrText xml:space="preserve"> PAGE  \* MERGEFORMAT </w:instrText>
    </w:r>
    <w:r w:rsidRPr="00F95CCC">
      <w:rPr>
        <w:b/>
        <w:bCs/>
        <w:sz w:val="18"/>
      </w:rPr>
      <w:fldChar w:fldCharType="separate"/>
    </w:r>
    <w:r w:rsidRPr="00F95CCC">
      <w:rPr>
        <w:b/>
        <w:bCs/>
        <w:noProof/>
        <w:sz w:val="18"/>
      </w:rPr>
      <w:t>2</w:t>
    </w:r>
    <w:r w:rsidRPr="00F95CCC">
      <w:rPr>
        <w:b/>
        <w:bCs/>
        <w:sz w:val="18"/>
      </w:rPr>
      <w:fldChar w:fldCharType="end"/>
    </w:r>
    <w:r>
      <w:tab/>
      <w:t>GE.20-02739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CC" w:rsidRDefault="00F95CCC" w:rsidP="00F95CCC">
    <w:pPr>
      <w:pStyle w:val="Footer"/>
      <w:tabs>
        <w:tab w:val="right" w:pos="9638"/>
      </w:tabs>
    </w:pPr>
    <w:r>
      <w:t>GE.20-02739</w:t>
    </w:r>
    <w:r>
      <w:tab/>
    </w:r>
    <w:r w:rsidRPr="00F95CCC">
      <w:rPr>
        <w:b/>
        <w:bCs/>
        <w:sz w:val="18"/>
      </w:rPr>
      <w:fldChar w:fldCharType="begin"/>
    </w:r>
    <w:r w:rsidRPr="00F95CCC">
      <w:rPr>
        <w:b/>
        <w:bCs/>
        <w:sz w:val="18"/>
      </w:rPr>
      <w:instrText xml:space="preserve"> PAGE  \* MERGEFORMAT </w:instrText>
    </w:r>
    <w:r w:rsidRPr="00F95CCC">
      <w:rPr>
        <w:b/>
        <w:bCs/>
        <w:sz w:val="18"/>
      </w:rPr>
      <w:fldChar w:fldCharType="separate"/>
    </w:r>
    <w:r w:rsidRPr="00F95CCC">
      <w:rPr>
        <w:b/>
        <w:bCs/>
        <w:noProof/>
        <w:sz w:val="18"/>
      </w:rPr>
      <w:t>3</w:t>
    </w:r>
    <w:r w:rsidRPr="00F95CC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CC" w:rsidRDefault="00F95CC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95CCC" w:rsidRDefault="00F95CCC" w:rsidP="00F95CCC">
    <w:pPr>
      <w:pStyle w:val="Footer"/>
      <w:rPr>
        <w:sz w:val="20"/>
      </w:rPr>
    </w:pPr>
    <w:r>
      <w:rPr>
        <w:sz w:val="20"/>
      </w:rPr>
      <w:t>GE.20-</w:t>
    </w:r>
    <w:proofErr w:type="gramStart"/>
    <w:r>
      <w:rPr>
        <w:sz w:val="20"/>
      </w:rPr>
      <w:t>02739  (</w:t>
    </w:r>
    <w:proofErr w:type="gramEnd"/>
    <w:r>
      <w:rPr>
        <w:sz w:val="20"/>
      </w:rPr>
      <w:t>E)</w:t>
    </w:r>
    <w:r w:rsidR="008B7383">
      <w:rPr>
        <w:sz w:val="20"/>
      </w:rPr>
      <w:t xml:space="preserve">    050320    050320</w:t>
    </w:r>
  </w:p>
  <w:p w:rsidR="00F95CCC" w:rsidRPr="00F95CCC" w:rsidRDefault="00F95CCC" w:rsidP="00F95CC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D9" w:rsidRPr="00FB1744" w:rsidRDefault="00DC68D9" w:rsidP="00FB1744">
      <w:pPr>
        <w:tabs>
          <w:tab w:val="right" w:pos="2155"/>
        </w:tabs>
        <w:spacing w:after="80" w:line="240" w:lineRule="auto"/>
        <w:ind w:left="680"/>
      </w:pPr>
      <w:r>
        <w:rPr>
          <w:u w:val="single"/>
        </w:rPr>
        <w:tab/>
      </w:r>
    </w:p>
  </w:footnote>
  <w:footnote w:type="continuationSeparator" w:id="0">
    <w:p w:rsidR="00DC68D9" w:rsidRPr="00FB1744" w:rsidRDefault="00DC68D9" w:rsidP="00FB1744">
      <w:pPr>
        <w:tabs>
          <w:tab w:val="right" w:pos="2155"/>
        </w:tabs>
        <w:spacing w:after="80" w:line="240" w:lineRule="auto"/>
        <w:ind w:left="680"/>
      </w:pPr>
      <w:r>
        <w:rPr>
          <w:u w:val="single"/>
        </w:rPr>
        <w:tab/>
      </w:r>
    </w:p>
  </w:footnote>
  <w:footnote w:id="1">
    <w:p w:rsidR="005646ED" w:rsidRPr="00713997" w:rsidRDefault="005646ED" w:rsidP="005646ED">
      <w:pPr>
        <w:pStyle w:val="FootnoteText"/>
      </w:pPr>
      <w:r>
        <w:tab/>
      </w:r>
      <w:r w:rsidRPr="00BD09F7">
        <w:rPr>
          <w:rStyle w:val="FootnoteReference"/>
          <w:sz w:val="20"/>
          <w:vertAlign w:val="baseline"/>
        </w:rPr>
        <w:sym w:font="Symbol" w:char="F02A"/>
      </w:r>
      <w:r w:rsidRPr="003C7E84">
        <w:tab/>
      </w:r>
      <w:r>
        <w:t>Subprogramme 2 of the programme budget for 2020 (A/74/6 (Sect. 20) and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CC" w:rsidRDefault="00F95CCC" w:rsidP="00F95CCC">
    <w:pPr>
      <w:pStyle w:val="Header"/>
    </w:pPr>
    <w:r>
      <w:t>ECE/TRANS/WP.15/2020/11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CCC" w:rsidRDefault="00F95CCC" w:rsidP="00F95CCC">
    <w:pPr>
      <w:pStyle w:val="Header"/>
      <w:jc w:val="right"/>
    </w:pPr>
    <w:r>
      <w:t>ECE/TRANS/WP.15/2020/11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D9"/>
    <w:rsid w:val="00046E92"/>
    <w:rsid w:val="000D1B89"/>
    <w:rsid w:val="001170DC"/>
    <w:rsid w:val="001B5E5F"/>
    <w:rsid w:val="00213B42"/>
    <w:rsid w:val="00247E2C"/>
    <w:rsid w:val="002D6C53"/>
    <w:rsid w:val="002F5595"/>
    <w:rsid w:val="00334F6A"/>
    <w:rsid w:val="00342AC8"/>
    <w:rsid w:val="003B4550"/>
    <w:rsid w:val="0043448D"/>
    <w:rsid w:val="00461253"/>
    <w:rsid w:val="005042C2"/>
    <w:rsid w:val="00506C12"/>
    <w:rsid w:val="005646ED"/>
    <w:rsid w:val="0056599A"/>
    <w:rsid w:val="00587690"/>
    <w:rsid w:val="00671529"/>
    <w:rsid w:val="00717266"/>
    <w:rsid w:val="007268F9"/>
    <w:rsid w:val="007C52B0"/>
    <w:rsid w:val="008B7383"/>
    <w:rsid w:val="009048FD"/>
    <w:rsid w:val="009411B4"/>
    <w:rsid w:val="009D0139"/>
    <w:rsid w:val="009F5CDC"/>
    <w:rsid w:val="00A15E62"/>
    <w:rsid w:val="00A429CD"/>
    <w:rsid w:val="00A775CF"/>
    <w:rsid w:val="00AB3C7E"/>
    <w:rsid w:val="00AD49C6"/>
    <w:rsid w:val="00B06045"/>
    <w:rsid w:val="00BA29CE"/>
    <w:rsid w:val="00BD09F7"/>
    <w:rsid w:val="00C35A27"/>
    <w:rsid w:val="00DC68D9"/>
    <w:rsid w:val="00E02C2B"/>
    <w:rsid w:val="00ED6C48"/>
    <w:rsid w:val="00F65F5D"/>
    <w:rsid w:val="00F86A3A"/>
    <w:rsid w:val="00F95CCC"/>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90BA17-730A-47C8-A32F-2FD9AF2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5646ED"/>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8970-C481-47D6-B54B-99DBD087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ECE/TRANS/WP.15/2020/11</vt:lpstr>
    </vt:vector>
  </TitlesOfParts>
  <Company>DCM</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ECE/TRANS/WP.15/2020/11</dc:title>
  <dc:subject>2002739</dc:subject>
  <dc:creator>CPM</dc:creator>
  <cp:keywords/>
  <dc:description/>
  <cp:lastModifiedBy>Christine Barrio-Champeau</cp:lastModifiedBy>
  <cp:revision>2</cp:revision>
  <cp:lastPrinted>2020-03-05T13:39:00Z</cp:lastPrinted>
  <dcterms:created xsi:type="dcterms:W3CDTF">2020-03-05T14:23:00Z</dcterms:created>
  <dcterms:modified xsi:type="dcterms:W3CDTF">2020-03-05T14:23:00Z</dcterms:modified>
</cp:coreProperties>
</file>