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A8223D" w:rsidP="00A8223D">
            <w:pPr>
              <w:jc w:val="right"/>
            </w:pPr>
            <w:r w:rsidRPr="00A8223D">
              <w:rPr>
                <w:sz w:val="40"/>
              </w:rPr>
              <w:t>ECE</w:t>
            </w:r>
            <w:r>
              <w:t>/TRANS/WP.15/2020/7</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A8223D" w:rsidP="00A8223D">
            <w:pPr>
              <w:spacing w:before="240" w:line="240" w:lineRule="exact"/>
            </w:pPr>
            <w:r>
              <w:t>Distr.: General</w:t>
            </w:r>
          </w:p>
          <w:p w:rsidR="00A8223D" w:rsidRDefault="00EE7A29" w:rsidP="00A8223D">
            <w:pPr>
              <w:spacing w:line="240" w:lineRule="exact"/>
            </w:pPr>
            <w:r>
              <w:t>21</w:t>
            </w:r>
            <w:bookmarkStart w:id="0" w:name="_GoBack"/>
            <w:bookmarkEnd w:id="0"/>
            <w:r w:rsidR="00A8223D">
              <w:t xml:space="preserve"> February 2020</w:t>
            </w:r>
          </w:p>
          <w:p w:rsidR="00A8223D" w:rsidRDefault="00A8223D" w:rsidP="00A8223D">
            <w:pPr>
              <w:spacing w:line="240" w:lineRule="exact"/>
            </w:pPr>
          </w:p>
          <w:p w:rsidR="00A8223D" w:rsidRDefault="00A8223D" w:rsidP="00A8223D">
            <w:pPr>
              <w:spacing w:line="240" w:lineRule="exact"/>
            </w:pPr>
            <w:r>
              <w:t>Original: English</w:t>
            </w:r>
          </w:p>
        </w:tc>
      </w:tr>
    </w:tbl>
    <w:p w:rsidR="005461C5" w:rsidRDefault="005461C5" w:rsidP="005461C5">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5461C5" w:rsidRDefault="005461C5" w:rsidP="005461C5">
      <w:pPr>
        <w:spacing w:before="120"/>
        <w:rPr>
          <w:sz w:val="28"/>
          <w:szCs w:val="28"/>
        </w:rPr>
      </w:pPr>
      <w:r>
        <w:rPr>
          <w:sz w:val="28"/>
          <w:szCs w:val="28"/>
        </w:rPr>
        <w:t>Inland Transport Committee</w:t>
      </w:r>
    </w:p>
    <w:p w:rsidR="005461C5" w:rsidRDefault="005461C5" w:rsidP="005461C5">
      <w:pPr>
        <w:spacing w:before="120"/>
        <w:rPr>
          <w:b/>
          <w:sz w:val="24"/>
          <w:szCs w:val="24"/>
        </w:rPr>
      </w:pPr>
      <w:r>
        <w:rPr>
          <w:b/>
          <w:sz w:val="24"/>
          <w:szCs w:val="24"/>
        </w:rPr>
        <w:t>Working Party on the Transport of Dangerous Goods</w:t>
      </w:r>
    </w:p>
    <w:p w:rsidR="005461C5" w:rsidRDefault="005461C5" w:rsidP="005461C5">
      <w:pPr>
        <w:spacing w:before="120"/>
        <w:rPr>
          <w:rFonts w:eastAsia="SimSun"/>
          <w:b/>
        </w:rPr>
      </w:pPr>
      <w:r>
        <w:rPr>
          <w:rFonts w:eastAsia="SimSun"/>
          <w:b/>
        </w:rPr>
        <w:t>108th</w:t>
      </w:r>
      <w:r>
        <w:rPr>
          <w:rStyle w:val="hps"/>
          <w:rFonts w:ascii="Arial" w:hAnsi="Arial" w:cs="Arial"/>
          <w:color w:val="222222"/>
          <w:lang w:val="en"/>
        </w:rPr>
        <w:t xml:space="preserve"> </w:t>
      </w:r>
      <w:r>
        <w:rPr>
          <w:rFonts w:eastAsia="SimSun"/>
          <w:b/>
        </w:rPr>
        <w:t xml:space="preserve">session </w:t>
      </w:r>
    </w:p>
    <w:p w:rsidR="005461C5" w:rsidRDefault="005461C5" w:rsidP="005461C5">
      <w:pPr>
        <w:rPr>
          <w:rFonts w:eastAsia="SimSun"/>
        </w:rPr>
      </w:pPr>
      <w:r>
        <w:rPr>
          <w:rFonts w:eastAsia="SimSun"/>
        </w:rPr>
        <w:t>Geneva, 11–15 May 2020</w:t>
      </w:r>
    </w:p>
    <w:p w:rsidR="005461C5" w:rsidRDefault="005461C5" w:rsidP="005461C5">
      <w:r>
        <w:rPr>
          <w:rFonts w:eastAsia="SimSun"/>
        </w:rPr>
        <w:t xml:space="preserve">Item </w:t>
      </w:r>
      <w:r>
        <w:t>5 (b) of the provisional agenda</w:t>
      </w:r>
    </w:p>
    <w:p w:rsidR="005461C5" w:rsidRDefault="005461C5" w:rsidP="005461C5">
      <w:pPr>
        <w:rPr>
          <w:b/>
          <w:bCs/>
        </w:rPr>
      </w:pPr>
      <w:r>
        <w:rPr>
          <w:b/>
          <w:bCs/>
        </w:rPr>
        <w:t>Proposals for amendments to annexes A and B of ADR:</w:t>
      </w:r>
    </w:p>
    <w:p w:rsidR="005461C5" w:rsidRDefault="005461C5" w:rsidP="005461C5">
      <w:pPr>
        <w:rPr>
          <w:b/>
          <w:bCs/>
        </w:rPr>
      </w:pPr>
      <w:r>
        <w:rPr>
          <w:b/>
          <w:bCs/>
          <w:szCs w:val="24"/>
        </w:rPr>
        <w:t>miscellaneous proposals</w:t>
      </w:r>
    </w:p>
    <w:p w:rsidR="005461C5" w:rsidRPr="00864C5B" w:rsidRDefault="005461C5" w:rsidP="005461C5">
      <w:pPr>
        <w:pStyle w:val="HChG"/>
      </w:pPr>
      <w:r>
        <w:tab/>
      </w:r>
      <w:r>
        <w:tab/>
      </w:r>
      <w:r w:rsidRPr="00864C5B">
        <w:t xml:space="preserve">Clarification on the rules for the transport of </w:t>
      </w:r>
      <w:r>
        <w:t>Battery-Electric-Vehicles and Hybrids</w:t>
      </w:r>
      <w:r w:rsidRPr="00864C5B">
        <w:t xml:space="preserve"> as load, </w:t>
      </w:r>
      <w:r w:rsidR="00CC387D">
        <w:t>special provision</w:t>
      </w:r>
      <w:r w:rsidRPr="00864C5B">
        <w:t> </w:t>
      </w:r>
      <w:r>
        <w:t>667</w:t>
      </w:r>
    </w:p>
    <w:p w:rsidR="005461C5" w:rsidRDefault="005461C5" w:rsidP="005461C5">
      <w:pPr>
        <w:pStyle w:val="H1G"/>
        <w:rPr>
          <w:b w:val="0"/>
          <w:sz w:val="20"/>
        </w:rPr>
      </w:pPr>
      <w:r w:rsidRPr="00864C5B">
        <w:rPr>
          <w:sz w:val="20"/>
        </w:rPr>
        <w:tab/>
      </w:r>
      <w:r w:rsidRPr="00864C5B">
        <w:rPr>
          <w:sz w:val="20"/>
        </w:rPr>
        <w:tab/>
      </w:r>
      <w:r w:rsidR="009E1A72">
        <w:t>Submitted</w:t>
      </w:r>
      <w:r w:rsidRPr="00864C5B">
        <w:t xml:space="preserve"> by the Government of Austria</w:t>
      </w:r>
      <w:r>
        <w:rPr>
          <w:rStyle w:val="FootnoteReference"/>
          <w:b w:val="0"/>
          <w:sz w:val="20"/>
        </w:rPr>
        <w:footnoteReference w:customMarkFollows="1" w:id="2"/>
        <w:sym w:font="Symbol" w:char="F02A"/>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9E1A72" w:rsidTr="006E5E26">
        <w:trPr>
          <w:jc w:val="center"/>
        </w:trPr>
        <w:tc>
          <w:tcPr>
            <w:tcW w:w="9637" w:type="dxa"/>
            <w:shd w:val="clear" w:color="auto" w:fill="auto"/>
          </w:tcPr>
          <w:p w:rsidR="009E1A72" w:rsidRPr="00C6263E" w:rsidRDefault="009E1A72" w:rsidP="006E5E26">
            <w:pPr>
              <w:spacing w:before="240" w:after="120"/>
              <w:ind w:left="255"/>
              <w:rPr>
                <w:i/>
                <w:sz w:val="24"/>
              </w:rPr>
            </w:pPr>
            <w:r w:rsidRPr="00C6263E">
              <w:rPr>
                <w:i/>
                <w:sz w:val="24"/>
              </w:rPr>
              <w:t>Summary</w:t>
            </w:r>
          </w:p>
        </w:tc>
      </w:tr>
      <w:tr w:rsidR="009E1A72" w:rsidTr="006E5E26">
        <w:trPr>
          <w:jc w:val="center"/>
        </w:trPr>
        <w:tc>
          <w:tcPr>
            <w:tcW w:w="9637" w:type="dxa"/>
            <w:shd w:val="clear" w:color="auto" w:fill="auto"/>
          </w:tcPr>
          <w:p w:rsidR="009E1A72" w:rsidRDefault="009E1A72" w:rsidP="009E1A72">
            <w:pPr>
              <w:pStyle w:val="SingleTxtG"/>
              <w:ind w:left="2967" w:hanging="1833"/>
            </w:pPr>
            <w:r w:rsidRPr="009E1A72">
              <w:rPr>
                <w:b/>
                <w:bCs/>
              </w:rPr>
              <w:t>Executive summary:</w:t>
            </w:r>
            <w:r w:rsidRPr="009E1A72">
              <w:tab/>
            </w:r>
            <w:r>
              <w:t>Sub-paragraph</w:t>
            </w:r>
            <w:r w:rsidRPr="004E2AE2">
              <w:t xml:space="preserve"> (ii) of </w:t>
            </w:r>
            <w:r>
              <w:t>special provision</w:t>
            </w:r>
            <w:r w:rsidRPr="004E2AE2">
              <w:t xml:space="preserve"> 667 (</w:t>
            </w:r>
            <w:r>
              <w:t>b</w:t>
            </w:r>
            <w:r w:rsidRPr="004E2AE2">
              <w:t>) uses vague terms</w:t>
            </w:r>
            <w:r>
              <w:t xml:space="preserve"> </w:t>
            </w:r>
            <w:r w:rsidRPr="009E1A72">
              <w:t>that are open to interpretation</w:t>
            </w:r>
            <w:r w:rsidRPr="004E2AE2">
              <w:t xml:space="preserve"> </w:t>
            </w:r>
            <w:r>
              <w:t>I</w:t>
            </w:r>
            <w:r w:rsidRPr="004E2AE2">
              <w:t>t is not clear when:</w:t>
            </w:r>
          </w:p>
          <w:p w:rsidR="009E1A72" w:rsidRDefault="009E1A72" w:rsidP="009E1A72">
            <w:pPr>
              <w:pStyle w:val="SingleTxtG"/>
              <w:ind w:left="2967"/>
            </w:pPr>
            <w:r>
              <w:t>- “it is not possible to safely remove the cell or battery”; and</w:t>
            </w:r>
          </w:p>
          <w:p w:rsidR="009E1A72" w:rsidRDefault="009E1A72" w:rsidP="009E1A72">
            <w:pPr>
              <w:pStyle w:val="SingleTxtG"/>
              <w:ind w:left="2967"/>
            </w:pPr>
            <w:r>
              <w:t>- “it is not possible to verify the status of the cell or battery”.</w:t>
            </w:r>
          </w:p>
          <w:p w:rsidR="009E1A72" w:rsidRDefault="009E1A72" w:rsidP="009E1A72">
            <w:pPr>
              <w:pStyle w:val="SingleTxtG"/>
              <w:ind w:left="2967"/>
            </w:pPr>
            <w:r>
              <w:t>As an accident covered by the media shows, these terms caused (indirectly) a lot of delay in a transport of a damaged Battery-Electric-Vehicle. These terms should be clarified.</w:t>
            </w:r>
          </w:p>
          <w:p w:rsidR="009E1A72" w:rsidRPr="009E1A72" w:rsidRDefault="009E1A72" w:rsidP="009E1A72">
            <w:pPr>
              <w:pStyle w:val="SingleTxtG"/>
              <w:ind w:left="2967" w:hanging="1833"/>
              <w:rPr>
                <w:b/>
                <w:bCs/>
              </w:rPr>
            </w:pPr>
            <w:r w:rsidRPr="009E1A72">
              <w:rPr>
                <w:b/>
                <w:bCs/>
              </w:rPr>
              <w:t>Actions to be taken:</w:t>
            </w:r>
            <w:r w:rsidRPr="009E1A72">
              <w:rPr>
                <w:b/>
                <w:bCs/>
              </w:rPr>
              <w:tab/>
            </w:r>
            <w:r w:rsidRPr="009E1A72">
              <w:t>Amend special provision 667 with an additional note for clarification.</w:t>
            </w:r>
          </w:p>
        </w:tc>
      </w:tr>
      <w:tr w:rsidR="009E1A72" w:rsidTr="006E5E26">
        <w:trPr>
          <w:jc w:val="center"/>
        </w:trPr>
        <w:tc>
          <w:tcPr>
            <w:tcW w:w="9637" w:type="dxa"/>
            <w:shd w:val="clear" w:color="auto" w:fill="auto"/>
          </w:tcPr>
          <w:p w:rsidR="009E1A72" w:rsidRDefault="009E1A72" w:rsidP="006E5E26"/>
        </w:tc>
      </w:tr>
    </w:tbl>
    <w:p w:rsidR="009E1A72" w:rsidRDefault="009E1A72" w:rsidP="009E1A72"/>
    <w:p w:rsidR="005461C5" w:rsidRDefault="005461C5" w:rsidP="005461C5">
      <w:pPr>
        <w:suppressAutoHyphens w:val="0"/>
        <w:spacing w:line="276" w:lineRule="auto"/>
        <w:jc w:val="both"/>
      </w:pPr>
      <w:r>
        <w:br w:type="page"/>
      </w:r>
    </w:p>
    <w:p w:rsidR="005461C5" w:rsidRPr="003E1604" w:rsidRDefault="005461C5" w:rsidP="005461C5">
      <w:pPr>
        <w:pStyle w:val="HChG"/>
      </w:pPr>
      <w:r w:rsidRPr="00DE51F3">
        <w:rPr>
          <w:lang w:val="en-US"/>
        </w:rPr>
        <w:lastRenderedPageBreak/>
        <w:tab/>
      </w:r>
      <w:r w:rsidRPr="00DE51F3">
        <w:rPr>
          <w:lang w:val="en-US"/>
        </w:rPr>
        <w:tab/>
      </w:r>
      <w:r>
        <w:rPr>
          <w:lang w:val="en-US"/>
        </w:rPr>
        <w:tab/>
      </w:r>
      <w:r w:rsidRPr="003E1604">
        <w:t>Introduction</w:t>
      </w:r>
    </w:p>
    <w:p w:rsidR="005461C5" w:rsidRPr="005461C5" w:rsidRDefault="003457AA" w:rsidP="005461C5">
      <w:pPr>
        <w:pStyle w:val="SingleTxtG"/>
      </w:pPr>
      <w:r>
        <w:t>1.</w:t>
      </w:r>
      <w:r>
        <w:tab/>
      </w:r>
      <w:r w:rsidR="000B0A8B">
        <w:t>During</w:t>
      </w:r>
      <w:r w:rsidR="000B0A8B" w:rsidRPr="005461C5">
        <w:t xml:space="preserve"> </w:t>
      </w:r>
      <w:r w:rsidR="005461C5" w:rsidRPr="005461C5">
        <w:t xml:space="preserve">the coffee-breaks of </w:t>
      </w:r>
      <w:r w:rsidR="000B0A8B">
        <w:t xml:space="preserve">the </w:t>
      </w:r>
      <w:r w:rsidR="005461C5" w:rsidRPr="005461C5">
        <w:t xml:space="preserve">last meeting of </w:t>
      </w:r>
      <w:r w:rsidR="003C2EFD">
        <w:t>the Working Party</w:t>
      </w:r>
      <w:r w:rsidR="005461C5" w:rsidRPr="005461C5">
        <w:t xml:space="preserve">, several delegates </w:t>
      </w:r>
      <w:r w:rsidR="000B0A8B">
        <w:t xml:space="preserve">spoke about the </w:t>
      </w:r>
      <w:r w:rsidR="003C2EFD">
        <w:t>coverage</w:t>
      </w:r>
      <w:r w:rsidR="000B0A8B">
        <w:t xml:space="preserve"> of the media</w:t>
      </w:r>
      <w:r w:rsidR="003C2EFD" w:rsidRPr="005461C5">
        <w:t xml:space="preserve"> </w:t>
      </w:r>
      <w:r w:rsidR="005461C5" w:rsidRPr="005461C5">
        <w:t xml:space="preserve">after a crash of a Battery-Electric-Vehicle. After the first transport away from the scene of the accident to a safe location, there seemed to be a misunderstanding </w:t>
      </w:r>
      <w:r w:rsidR="000B0A8B">
        <w:t>about</w:t>
      </w:r>
      <w:r w:rsidR="000B0A8B" w:rsidRPr="005461C5">
        <w:t xml:space="preserve"> </w:t>
      </w:r>
      <w:r w:rsidR="005461C5" w:rsidRPr="005461C5">
        <w:t xml:space="preserve">the </w:t>
      </w:r>
      <w:r w:rsidR="003C2EFD">
        <w:t xml:space="preserve">applicable </w:t>
      </w:r>
      <w:r w:rsidR="005461C5" w:rsidRPr="005461C5">
        <w:t xml:space="preserve">rules for further transportation. It took the owner a lot of time to finally transport the damaged vehicle as load to its </w:t>
      </w:r>
      <w:proofErr w:type="gramStart"/>
      <w:r w:rsidR="005461C5" w:rsidRPr="005461C5">
        <w:t>final destination</w:t>
      </w:r>
      <w:proofErr w:type="gramEnd"/>
      <w:r w:rsidR="005461C5" w:rsidRPr="005461C5">
        <w:t xml:space="preserve">, as the media </w:t>
      </w:r>
      <w:r w:rsidR="000B0A8B">
        <w:t>reported</w:t>
      </w:r>
      <w:r w:rsidR="005461C5" w:rsidRPr="005461C5">
        <w:t>.</w:t>
      </w:r>
    </w:p>
    <w:p w:rsidR="005461C5" w:rsidRPr="005461C5" w:rsidRDefault="003457AA" w:rsidP="005461C5">
      <w:pPr>
        <w:pStyle w:val="SingleTxtG"/>
      </w:pPr>
      <w:r>
        <w:t>2.</w:t>
      </w:r>
      <w:r>
        <w:tab/>
      </w:r>
      <w:r w:rsidR="005461C5" w:rsidRPr="005461C5">
        <w:t>Special provision 667 deals with the conditions of the transport of damaged Battery-Electric-Vehicles as load.</w:t>
      </w:r>
    </w:p>
    <w:p w:rsidR="005461C5" w:rsidRPr="005461C5" w:rsidRDefault="003457AA" w:rsidP="005461C5">
      <w:pPr>
        <w:pStyle w:val="SingleTxtG"/>
      </w:pPr>
      <w:r>
        <w:t>3.</w:t>
      </w:r>
      <w:r>
        <w:tab/>
      </w:r>
      <w:r w:rsidR="005461C5" w:rsidRPr="005461C5">
        <w:t xml:space="preserve">However, </w:t>
      </w:r>
      <w:r w:rsidR="00CC387D">
        <w:t>special provision</w:t>
      </w:r>
      <w:r w:rsidR="005461C5" w:rsidRPr="005461C5">
        <w:t xml:space="preserve"> 667 uses some vague terms for the conditions of the transport. Special problems occur regarding </w:t>
      </w:r>
      <w:r w:rsidR="003C2EFD">
        <w:t>sub-paragraph</w:t>
      </w:r>
      <w:r w:rsidR="003C2EFD" w:rsidRPr="005461C5">
        <w:t xml:space="preserve"> </w:t>
      </w:r>
      <w:r w:rsidR="005461C5" w:rsidRPr="005461C5">
        <w:t xml:space="preserve">(ii) of </w:t>
      </w:r>
      <w:r w:rsidR="00CC387D">
        <w:t>special provision</w:t>
      </w:r>
      <w:r w:rsidR="005461C5" w:rsidRPr="005461C5">
        <w:t xml:space="preserve"> 667 (</w:t>
      </w:r>
      <w:r w:rsidR="003C2EFD">
        <w:t>b</w:t>
      </w:r>
      <w:r w:rsidR="005461C5" w:rsidRPr="005461C5">
        <w:t>).</w:t>
      </w:r>
    </w:p>
    <w:p w:rsidR="005461C5" w:rsidRPr="005461C5" w:rsidRDefault="003457AA" w:rsidP="005461C5">
      <w:pPr>
        <w:pStyle w:val="SingleTxtG"/>
      </w:pPr>
      <w:r>
        <w:t>4.</w:t>
      </w:r>
      <w:r>
        <w:tab/>
      </w:r>
      <w:r w:rsidR="005461C5" w:rsidRPr="005461C5">
        <w:t xml:space="preserve">At first, the question </w:t>
      </w:r>
      <w:r w:rsidR="000B0A8B">
        <w:t>arose</w:t>
      </w:r>
      <w:r w:rsidR="005461C5" w:rsidRPr="005461C5">
        <w:t>, when “it is not possible to safely remove the cell or battery” from a damaged or defective vehicle</w:t>
      </w:r>
      <w:r w:rsidR="000B0A8B">
        <w:t>?</w:t>
      </w:r>
      <w:r w:rsidR="000B0A8B" w:rsidRPr="005461C5">
        <w:t xml:space="preserve"> </w:t>
      </w:r>
      <w:r w:rsidR="000B0A8B">
        <w:t>T</w:t>
      </w:r>
      <w:r w:rsidR="000B0A8B" w:rsidRPr="005461C5">
        <w:t xml:space="preserve">o </w:t>
      </w:r>
      <w:r w:rsidR="005461C5" w:rsidRPr="005461C5">
        <w:t xml:space="preserve">remove anything from the car is not a </w:t>
      </w:r>
      <w:proofErr w:type="gramStart"/>
      <w:r w:rsidR="005461C5" w:rsidRPr="005461C5">
        <w:t>problem</w:t>
      </w:r>
      <w:r w:rsidR="000B0A8B">
        <w:t xml:space="preserve"> in itself</w:t>
      </w:r>
      <w:r w:rsidR="005461C5" w:rsidRPr="005461C5">
        <w:t>, because</w:t>
      </w:r>
      <w:proofErr w:type="gramEnd"/>
      <w:r w:rsidR="005461C5" w:rsidRPr="005461C5">
        <w:t xml:space="preserve"> everything can be removed from a car with special </w:t>
      </w:r>
      <w:r w:rsidR="000B0A8B">
        <w:t>“</w:t>
      </w:r>
      <w:r w:rsidR="005461C5" w:rsidRPr="005461C5">
        <w:t>cutting</w:t>
      </w:r>
      <w:r w:rsidR="00E2680E">
        <w:t>”</w:t>
      </w:r>
      <w:r w:rsidR="000B0A8B" w:rsidRPr="005461C5">
        <w:t xml:space="preserve"> </w:t>
      </w:r>
      <w:r w:rsidR="005461C5" w:rsidRPr="005461C5">
        <w:t xml:space="preserve">tools and </w:t>
      </w:r>
      <w:r w:rsidR="000B0A8B">
        <w:t>much</w:t>
      </w:r>
      <w:r w:rsidR="005461C5" w:rsidRPr="005461C5">
        <w:t xml:space="preserve"> time. Sometimes heavy machinery and specially trained experts </w:t>
      </w:r>
      <w:r w:rsidR="000B0A8B">
        <w:t>are</w:t>
      </w:r>
      <w:r w:rsidR="005461C5" w:rsidRPr="005461C5">
        <w:t xml:space="preserve"> needed. However, the question is what </w:t>
      </w:r>
      <w:r w:rsidR="000B0A8B">
        <w:t xml:space="preserve">is meant by </w:t>
      </w:r>
      <w:r w:rsidR="005461C5" w:rsidRPr="005461C5">
        <w:t xml:space="preserve">“safely” in </w:t>
      </w:r>
      <w:r w:rsidR="000B0A8B">
        <w:t xml:space="preserve">the phrase </w:t>
      </w:r>
      <w:r w:rsidR="005461C5" w:rsidRPr="005461C5">
        <w:t>“safely remove the cell or battery”</w:t>
      </w:r>
      <w:r w:rsidR="000B0A8B">
        <w:t xml:space="preserve"> in ADR?</w:t>
      </w:r>
    </w:p>
    <w:p w:rsidR="005461C5" w:rsidRPr="005461C5" w:rsidRDefault="003457AA" w:rsidP="003C2EFD">
      <w:pPr>
        <w:pStyle w:val="SingleTxtG"/>
      </w:pPr>
      <w:r>
        <w:t>5.</w:t>
      </w:r>
      <w:r>
        <w:tab/>
      </w:r>
      <w:r w:rsidR="005461C5" w:rsidRPr="005461C5">
        <w:t>For example</w:t>
      </w:r>
      <w:r w:rsidR="003C2EFD">
        <w:t>, in the case</w:t>
      </w:r>
      <w:r w:rsidR="005461C5" w:rsidRPr="005461C5">
        <w:t xml:space="preserve"> of a damaged Battery-Electric-Vehicle, that </w:t>
      </w:r>
      <w:r w:rsidR="000B0A8B">
        <w:t xml:space="preserve">has been </w:t>
      </w:r>
      <w:r w:rsidR="00E2680E">
        <w:t>stationary</w:t>
      </w:r>
      <w:r w:rsidR="000B0A8B" w:rsidRPr="005461C5">
        <w:t xml:space="preserve"> </w:t>
      </w:r>
      <w:r w:rsidR="005461C5" w:rsidRPr="005461C5">
        <w:t xml:space="preserve">for days, even after </w:t>
      </w:r>
      <w:r w:rsidR="003C2EFD">
        <w:t>fire</w:t>
      </w:r>
      <w:r w:rsidR="003C2EFD" w:rsidRPr="005461C5">
        <w:t xml:space="preserve"> </w:t>
      </w:r>
      <w:r w:rsidR="005461C5" w:rsidRPr="005461C5">
        <w:t>of the vehicle:</w:t>
      </w:r>
      <w:r w:rsidR="003C2EFD">
        <w:t xml:space="preserve"> </w:t>
      </w:r>
      <w:r w:rsidR="005461C5" w:rsidRPr="005461C5">
        <w:t xml:space="preserve">When cutting through permanently installed parts </w:t>
      </w:r>
      <w:r w:rsidR="000B0A8B">
        <w:t>to remove</w:t>
      </w:r>
      <w:r w:rsidR="005461C5" w:rsidRPr="005461C5">
        <w:t xml:space="preserve"> the battery, a high risk occurs. Therefore</w:t>
      </w:r>
      <w:r w:rsidR="003C2EFD">
        <w:t>,</w:t>
      </w:r>
      <w:r w:rsidR="005461C5" w:rsidRPr="005461C5">
        <w:t xml:space="preserve"> labour law</w:t>
      </w:r>
      <w:r w:rsidR="003C2EFD">
        <w:t>s</w:t>
      </w:r>
      <w:r w:rsidR="005461C5" w:rsidRPr="005461C5">
        <w:t xml:space="preserve"> often foresee special conditions that </w:t>
      </w:r>
      <w:proofErr w:type="gramStart"/>
      <w:r w:rsidR="005461C5" w:rsidRPr="005461C5">
        <w:t>have to</w:t>
      </w:r>
      <w:proofErr w:type="gramEnd"/>
      <w:r w:rsidR="005461C5" w:rsidRPr="005461C5">
        <w:t xml:space="preserve"> be met, like special </w:t>
      </w:r>
      <w:r w:rsidR="000B0A8B">
        <w:t>“</w:t>
      </w:r>
      <w:r w:rsidR="005461C5" w:rsidRPr="005461C5">
        <w:t>cutting</w:t>
      </w:r>
      <w:r w:rsidR="000B0A8B">
        <w:t>”</w:t>
      </w:r>
      <w:r w:rsidR="000B0A8B" w:rsidRPr="005461C5">
        <w:t xml:space="preserve"> </w:t>
      </w:r>
      <w:r w:rsidR="005461C5" w:rsidRPr="005461C5">
        <w:t>tools and training or protection because of the high voltage system.</w:t>
      </w:r>
    </w:p>
    <w:p w:rsidR="005461C5" w:rsidRPr="005461C5" w:rsidRDefault="003C2EFD" w:rsidP="003457AA">
      <w:pPr>
        <w:pStyle w:val="SingleTxtG"/>
      </w:pPr>
      <w:r>
        <w:t>6.</w:t>
      </w:r>
      <w:r>
        <w:tab/>
      </w:r>
      <w:r w:rsidRPr="005461C5">
        <w:t>So,</w:t>
      </w:r>
      <w:r w:rsidR="005461C5" w:rsidRPr="005461C5">
        <w:t xml:space="preserve"> in conclusion, removal </w:t>
      </w:r>
      <w:r w:rsidR="00CB1B3F">
        <w:t xml:space="preserve">of the battery </w:t>
      </w:r>
      <w:r w:rsidR="005461C5" w:rsidRPr="005461C5">
        <w:t xml:space="preserve">may not be safer than the </w:t>
      </w:r>
      <w:r>
        <w:t>carriage</w:t>
      </w:r>
      <w:r w:rsidRPr="005461C5">
        <w:t xml:space="preserve"> </w:t>
      </w:r>
      <w:r w:rsidR="005461C5" w:rsidRPr="005461C5">
        <w:t xml:space="preserve">of the vehicle </w:t>
      </w:r>
      <w:r>
        <w:t>without removing the battery</w:t>
      </w:r>
      <w:r w:rsidR="000B0A8B">
        <w:t xml:space="preserve">, </w:t>
      </w:r>
      <w:r w:rsidR="005461C5" w:rsidRPr="005461C5">
        <w:t xml:space="preserve">as specified in </w:t>
      </w:r>
      <w:r w:rsidR="000B0A8B">
        <w:t>sub-paragraph</w:t>
      </w:r>
      <w:r w:rsidR="000B0A8B" w:rsidRPr="005461C5">
        <w:t xml:space="preserve"> </w:t>
      </w:r>
      <w:r w:rsidR="005461C5" w:rsidRPr="005461C5">
        <w:t>(</w:t>
      </w:r>
      <w:proofErr w:type="spellStart"/>
      <w:r w:rsidR="005461C5" w:rsidRPr="005461C5">
        <w:t>i</w:t>
      </w:r>
      <w:proofErr w:type="spellEnd"/>
      <w:r w:rsidR="005461C5" w:rsidRPr="005461C5">
        <w:t xml:space="preserve">) of </w:t>
      </w:r>
      <w:r w:rsidR="00CC387D">
        <w:t>special provision</w:t>
      </w:r>
      <w:r w:rsidR="005461C5" w:rsidRPr="005461C5">
        <w:t xml:space="preserve"> 667 (</w:t>
      </w:r>
      <w:r w:rsidR="000B0A8B">
        <w:t>b</w:t>
      </w:r>
      <w:r w:rsidR="005461C5" w:rsidRPr="005461C5">
        <w:t>).</w:t>
      </w:r>
    </w:p>
    <w:p w:rsidR="005461C5" w:rsidRPr="005461C5" w:rsidRDefault="000B0A8B" w:rsidP="003457AA">
      <w:pPr>
        <w:pStyle w:val="SingleTxtG"/>
      </w:pPr>
      <w:r>
        <w:t>7.</w:t>
      </w:r>
      <w:r>
        <w:tab/>
      </w:r>
      <w:r w:rsidR="00CB1B3F">
        <w:t>P</w:t>
      </w:r>
      <w:r w:rsidR="005461C5" w:rsidRPr="005461C5">
        <w:t>roposal 1</w:t>
      </w:r>
      <w:r w:rsidR="00CB1B3F">
        <w:t xml:space="preserve"> aims to clarify these scenarios</w:t>
      </w:r>
      <w:r w:rsidR="005461C5" w:rsidRPr="005461C5">
        <w:t>.</w:t>
      </w:r>
    </w:p>
    <w:p w:rsidR="005461C5" w:rsidRPr="005461C5" w:rsidRDefault="00CB1B3F" w:rsidP="005461C5">
      <w:pPr>
        <w:pStyle w:val="SingleTxtG"/>
      </w:pPr>
      <w:r>
        <w:t>8</w:t>
      </w:r>
      <w:r w:rsidR="003457AA">
        <w:t>.</w:t>
      </w:r>
      <w:r w:rsidR="003457AA">
        <w:tab/>
      </w:r>
      <w:r w:rsidR="005461C5" w:rsidRPr="005461C5">
        <w:t xml:space="preserve">When reading the mentioned ADR </w:t>
      </w:r>
      <w:r>
        <w:t>requirements,</w:t>
      </w:r>
      <w:r w:rsidRPr="005461C5">
        <w:t xml:space="preserve"> </w:t>
      </w:r>
      <w:r w:rsidR="005461C5" w:rsidRPr="005461C5">
        <w:t>another question arises</w:t>
      </w:r>
      <w:r>
        <w:t xml:space="preserve"> with the phrase</w:t>
      </w:r>
      <w:r w:rsidR="005461C5" w:rsidRPr="005461C5">
        <w:t xml:space="preserve"> “it is not possible to verify the status of the cell or battery”. If the battery </w:t>
      </w:r>
      <w:r>
        <w:t>was</w:t>
      </w:r>
      <w:r w:rsidR="005461C5" w:rsidRPr="005461C5">
        <w:t xml:space="preserve"> opened (with heavy tools...), then the status could be checked, even if the alumin</w:t>
      </w:r>
      <w:r>
        <w:t>i</w:t>
      </w:r>
      <w:r w:rsidR="005461C5" w:rsidRPr="005461C5">
        <w:t>um framework of the vehicle melted over the battery pack.</w:t>
      </w:r>
    </w:p>
    <w:p w:rsidR="005461C5" w:rsidRPr="005461C5" w:rsidRDefault="00CB1B3F" w:rsidP="005461C5">
      <w:pPr>
        <w:pStyle w:val="SingleTxtG"/>
      </w:pPr>
      <w:r>
        <w:t>9.</w:t>
      </w:r>
      <w:r>
        <w:tab/>
      </w:r>
      <w:r w:rsidR="005461C5" w:rsidRPr="005461C5">
        <w:t xml:space="preserve">Since the </w:t>
      </w:r>
      <w:r>
        <w:t>requirements</w:t>
      </w:r>
      <w:r w:rsidRPr="005461C5">
        <w:t xml:space="preserve"> </w:t>
      </w:r>
      <w:r w:rsidR="005461C5" w:rsidRPr="005461C5">
        <w:t xml:space="preserve">are </w:t>
      </w:r>
      <w:r w:rsidR="007346B4">
        <w:t>meant to safely transport</w:t>
      </w:r>
      <w:r w:rsidR="005461C5" w:rsidRPr="005461C5">
        <w:t xml:space="preserve"> vehicles as load, there should be a reasonable clarification. </w:t>
      </w:r>
    </w:p>
    <w:p w:rsidR="005461C5" w:rsidRPr="005461C5" w:rsidRDefault="007346B4" w:rsidP="005461C5">
      <w:pPr>
        <w:pStyle w:val="SingleTxtG"/>
      </w:pPr>
      <w:r>
        <w:t>10.</w:t>
      </w:r>
      <w:r>
        <w:tab/>
      </w:r>
      <w:r w:rsidR="005461C5" w:rsidRPr="005461C5">
        <w:t>For a defect of the system where the vehicle is undamaged, it should be adequate to read and evaluate the data of the cells or the battery through the integrated sensors. Some vehicles offer data through their On-Board-Diagnose</w:t>
      </w:r>
      <w:r>
        <w:t xml:space="preserve"> </w:t>
      </w:r>
      <w:r w:rsidR="005461C5" w:rsidRPr="005461C5">
        <w:t>system (OBD I or II) or similar systems.</w:t>
      </w:r>
    </w:p>
    <w:p w:rsidR="005461C5" w:rsidRPr="005461C5" w:rsidRDefault="007346B4" w:rsidP="005461C5">
      <w:pPr>
        <w:pStyle w:val="SingleTxtG"/>
      </w:pPr>
      <w:r>
        <w:t>11.</w:t>
      </w:r>
      <w:r>
        <w:tab/>
      </w:r>
      <w:r w:rsidR="005461C5" w:rsidRPr="005461C5">
        <w:t>For damaged vehicles</w:t>
      </w:r>
      <w:r>
        <w:t>,</w:t>
      </w:r>
      <w:r w:rsidR="005461C5" w:rsidRPr="005461C5">
        <w:t xml:space="preserve"> an external measurement should </w:t>
      </w:r>
      <w:r w:rsidRPr="005461C5">
        <w:t xml:space="preserve">also </w:t>
      </w:r>
      <w:r w:rsidR="005461C5" w:rsidRPr="005461C5">
        <w:t>be reasonable.</w:t>
      </w:r>
    </w:p>
    <w:p w:rsidR="005461C5" w:rsidRPr="005461C5" w:rsidRDefault="007346B4" w:rsidP="005461C5">
      <w:pPr>
        <w:pStyle w:val="SingleTxtG"/>
      </w:pPr>
      <w:r>
        <w:t>12.</w:t>
      </w:r>
      <w:r>
        <w:tab/>
        <w:t>Thus,</w:t>
      </w:r>
      <w:r w:rsidR="005461C5" w:rsidRPr="005461C5">
        <w:t xml:space="preserve"> clarification</w:t>
      </w:r>
      <w:r>
        <w:t xml:space="preserve"> is needed:</w:t>
      </w:r>
      <w:r w:rsidR="005461C5" w:rsidRPr="005461C5">
        <w:t xml:space="preserve"> when these methods do not give any data or reliable data, then “it is not possible to verify the status of the cell or battery”. </w:t>
      </w:r>
      <w:r w:rsidRPr="005461C5">
        <w:t>Consequently,</w:t>
      </w:r>
      <w:r w:rsidR="005461C5" w:rsidRPr="005461C5">
        <w:t xml:space="preserve"> the vehicle as load should be carried under the conditions of </w:t>
      </w:r>
      <w:r>
        <w:t>sub-paragraph</w:t>
      </w:r>
      <w:r w:rsidRPr="005461C5">
        <w:t xml:space="preserve"> </w:t>
      </w:r>
      <w:r w:rsidR="005461C5" w:rsidRPr="005461C5">
        <w:t>(</w:t>
      </w:r>
      <w:proofErr w:type="spellStart"/>
      <w:r w:rsidR="005461C5" w:rsidRPr="005461C5">
        <w:t>i</w:t>
      </w:r>
      <w:proofErr w:type="spellEnd"/>
      <w:r w:rsidR="005461C5" w:rsidRPr="005461C5">
        <w:t xml:space="preserve">) of </w:t>
      </w:r>
      <w:r w:rsidR="00CC387D">
        <w:t>special provision</w:t>
      </w:r>
      <w:r w:rsidR="005461C5" w:rsidRPr="005461C5">
        <w:t xml:space="preserve"> 667 (</w:t>
      </w:r>
      <w:r>
        <w:t>b</w:t>
      </w:r>
      <w:r w:rsidR="005461C5" w:rsidRPr="005461C5">
        <w:t>).</w:t>
      </w:r>
    </w:p>
    <w:p w:rsidR="005461C5" w:rsidRPr="003E1604" w:rsidRDefault="005461C5" w:rsidP="003457AA">
      <w:pPr>
        <w:pStyle w:val="HChG"/>
      </w:pPr>
      <w:r w:rsidRPr="003E1604">
        <w:tab/>
      </w:r>
      <w:r w:rsidRPr="003E1604">
        <w:tab/>
        <w:t>Justification</w:t>
      </w:r>
    </w:p>
    <w:p w:rsidR="005461C5" w:rsidRPr="00882344" w:rsidRDefault="007346B4" w:rsidP="003457AA">
      <w:pPr>
        <w:pStyle w:val="SingleTxtG"/>
        <w:rPr>
          <w:lang w:val="en-US"/>
        </w:rPr>
      </w:pPr>
      <w:r>
        <w:rPr>
          <w:lang w:val="en-US"/>
        </w:rPr>
        <w:t>13</w:t>
      </w:r>
      <w:r w:rsidR="003457AA">
        <w:rPr>
          <w:lang w:val="en-US"/>
        </w:rPr>
        <w:t>.</w:t>
      </w:r>
      <w:r w:rsidR="003457AA">
        <w:rPr>
          <w:lang w:val="en-US"/>
        </w:rPr>
        <w:tab/>
      </w:r>
      <w:r w:rsidR="005461C5">
        <w:rPr>
          <w:lang w:val="en-US"/>
        </w:rPr>
        <w:t>As an accident covered by the media shows</w:t>
      </w:r>
      <w:r>
        <w:rPr>
          <w:lang w:val="en-US"/>
        </w:rPr>
        <w:t xml:space="preserve"> that</w:t>
      </w:r>
      <w:r w:rsidR="005461C5">
        <w:rPr>
          <w:lang w:val="en-US"/>
        </w:rPr>
        <w:t xml:space="preserve"> these terms caused (indirectly) a lot of delay in a transport of a damaged Battery-Electric-Vehicle. These terms should be clarified</w:t>
      </w:r>
      <w:r w:rsidR="005461C5" w:rsidRPr="00882344">
        <w:rPr>
          <w:lang w:val="en-US"/>
        </w:rPr>
        <w:t xml:space="preserve"> </w:t>
      </w:r>
    </w:p>
    <w:p w:rsidR="005461C5" w:rsidRPr="003E1604" w:rsidRDefault="003457AA" w:rsidP="003457AA">
      <w:pPr>
        <w:pStyle w:val="H1G"/>
      </w:pPr>
      <w:r>
        <w:tab/>
      </w:r>
      <w:r>
        <w:tab/>
      </w:r>
      <w:r w:rsidR="005461C5" w:rsidRPr="003E1604">
        <w:t>Proposal</w:t>
      </w:r>
      <w:r w:rsidR="005461C5">
        <w:t xml:space="preserve"> 1</w:t>
      </w:r>
    </w:p>
    <w:p w:rsidR="005461C5" w:rsidRPr="002578B2" w:rsidRDefault="007346B4" w:rsidP="003457AA">
      <w:pPr>
        <w:pStyle w:val="SingleTxtG"/>
        <w:rPr>
          <w:rFonts w:eastAsia="SimSun"/>
          <w:lang w:eastAsia="zh-CN"/>
        </w:rPr>
      </w:pPr>
      <w:r>
        <w:rPr>
          <w:rFonts w:eastAsia="SimSun"/>
          <w:lang w:eastAsia="zh-CN"/>
        </w:rPr>
        <w:t>14</w:t>
      </w:r>
      <w:r w:rsidR="003457AA">
        <w:rPr>
          <w:rFonts w:eastAsia="SimSun"/>
          <w:lang w:eastAsia="zh-CN"/>
        </w:rPr>
        <w:t>.</w:t>
      </w:r>
      <w:r w:rsidR="003457AA">
        <w:rPr>
          <w:rFonts w:eastAsia="SimSun"/>
          <w:lang w:eastAsia="zh-CN"/>
        </w:rPr>
        <w:tab/>
      </w:r>
      <w:r w:rsidR="005461C5" w:rsidRPr="003E1604">
        <w:rPr>
          <w:rFonts w:eastAsia="SimSun"/>
          <w:lang w:eastAsia="zh-CN"/>
        </w:rPr>
        <w:t xml:space="preserve">Amend </w:t>
      </w:r>
      <w:r w:rsidR="00CC387D">
        <w:t>special provision</w:t>
      </w:r>
      <w:r w:rsidR="005461C5">
        <w:t xml:space="preserve"> 667 </w:t>
      </w:r>
      <w:r w:rsidR="005461C5" w:rsidRPr="003E1604">
        <w:rPr>
          <w:rFonts w:eastAsia="SimSun"/>
          <w:lang w:eastAsia="zh-CN"/>
        </w:rPr>
        <w:t xml:space="preserve">for clarification with the </w:t>
      </w:r>
      <w:r w:rsidR="005461C5" w:rsidRPr="002578B2">
        <w:rPr>
          <w:rFonts w:eastAsia="SimSun"/>
          <w:lang w:eastAsia="zh-CN"/>
        </w:rPr>
        <w:t xml:space="preserve">following </w:t>
      </w:r>
      <w:r w:rsidR="005461C5" w:rsidRPr="002578B2">
        <w:rPr>
          <w:b/>
          <w:u w:val="single"/>
          <w:lang w:val="en-US"/>
        </w:rPr>
        <w:t xml:space="preserve">note added </w:t>
      </w:r>
      <w:r>
        <w:rPr>
          <w:b/>
          <w:u w:val="single"/>
          <w:lang w:val="en-US"/>
        </w:rPr>
        <w:t>under</w:t>
      </w:r>
      <w:r w:rsidRPr="002578B2">
        <w:rPr>
          <w:b/>
          <w:u w:val="single"/>
          <w:lang w:val="en-US"/>
        </w:rPr>
        <w:t xml:space="preserve"> </w:t>
      </w:r>
      <w:r w:rsidR="005461C5" w:rsidRPr="002578B2">
        <w:rPr>
          <w:b/>
          <w:u w:val="single"/>
          <w:lang w:val="en-US"/>
        </w:rPr>
        <w:t>(b) (ii)</w:t>
      </w:r>
      <w:r w:rsidR="005461C5" w:rsidRPr="002578B2">
        <w:rPr>
          <w:rFonts w:eastAsia="SimSun"/>
          <w:lang w:eastAsia="zh-CN"/>
        </w:rPr>
        <w:t>:</w:t>
      </w:r>
    </w:p>
    <w:p w:rsidR="005461C5" w:rsidRPr="003457AA" w:rsidRDefault="00455E13" w:rsidP="003457AA">
      <w:pPr>
        <w:pStyle w:val="SingleTxtG"/>
        <w:spacing w:before="120"/>
        <w:ind w:left="1701"/>
      </w:pPr>
      <w:r>
        <w:lastRenderedPageBreak/>
        <w:t>“</w:t>
      </w:r>
      <w:r w:rsidR="003457AA" w:rsidRPr="003457AA">
        <w:t>(a)</w:t>
      </w:r>
      <w:r w:rsidR="003457AA" w:rsidRPr="003457AA">
        <w:tab/>
      </w:r>
      <w:r w:rsidR="005461C5" w:rsidRPr="003457AA">
        <w:t>The provisions of 2.2.9.1.7 (a) do not apply when pre-production prototype lithium cells or batteries or lithium cells or batteries of a small production run, consisting of not more than 100 cells or batteries, are installed in the vehicle, engine, machinery or article;</w:t>
      </w:r>
    </w:p>
    <w:p w:rsidR="005461C5" w:rsidRPr="003457AA" w:rsidRDefault="003457AA" w:rsidP="003457AA">
      <w:pPr>
        <w:pStyle w:val="SingleTxtG"/>
        <w:spacing w:before="120"/>
        <w:ind w:left="1701"/>
      </w:pPr>
      <w:r>
        <w:t>(b)</w:t>
      </w:r>
      <w:r>
        <w:tab/>
      </w:r>
      <w:r w:rsidR="005461C5" w:rsidRPr="003457AA">
        <w:t>The provisions of 2.2.9.1.7 do not apply to lithium cells or batteries in damaged or defective vehicles, engine, machinery or article. In such cases the following conditions shall be met:</w:t>
      </w:r>
    </w:p>
    <w:p w:rsidR="005461C5" w:rsidRPr="003457AA" w:rsidRDefault="003457AA" w:rsidP="003457AA">
      <w:pPr>
        <w:pStyle w:val="SingleTxtG"/>
        <w:spacing w:before="120"/>
        <w:ind w:left="2268"/>
      </w:pPr>
      <w:r>
        <w:rPr>
          <w:lang w:val="en-US"/>
        </w:rPr>
        <w:t>(</w:t>
      </w:r>
      <w:proofErr w:type="spellStart"/>
      <w:r>
        <w:rPr>
          <w:lang w:val="en-US"/>
        </w:rPr>
        <w:t>i</w:t>
      </w:r>
      <w:proofErr w:type="spellEnd"/>
      <w:r>
        <w:rPr>
          <w:lang w:val="en-US"/>
        </w:rPr>
        <w:t>)</w:t>
      </w:r>
      <w:r>
        <w:rPr>
          <w:lang w:val="en-US"/>
        </w:rPr>
        <w:tab/>
      </w:r>
      <w:r w:rsidR="005461C5" w:rsidRPr="003457AA">
        <w:rPr>
          <w:lang w:val="en-US"/>
        </w:rPr>
        <w:t>If the damage or defect has no significant impact on the safety of the cell or battery, damaged and defective vehicles, engines, machinery or article, may be carried under the conditions defined in special provisions 363 or 666, as appropriate;</w:t>
      </w:r>
    </w:p>
    <w:p w:rsidR="005461C5" w:rsidRPr="003457AA" w:rsidRDefault="003457AA" w:rsidP="003457AA">
      <w:pPr>
        <w:pStyle w:val="SingleTxtG"/>
        <w:spacing w:before="120"/>
        <w:ind w:left="2268"/>
      </w:pPr>
      <w:r>
        <w:rPr>
          <w:lang w:val="en-US"/>
        </w:rPr>
        <w:t>(ii)</w:t>
      </w:r>
      <w:r>
        <w:rPr>
          <w:lang w:val="en-US"/>
        </w:rPr>
        <w:tab/>
      </w:r>
      <w:r w:rsidR="005461C5" w:rsidRPr="003457AA">
        <w:rPr>
          <w:lang w:val="en-US"/>
        </w:rPr>
        <w:t>If the damage or defect has a significant impact on the safety of the cell or battery, the lithium cell or battery shall be removed and carried according to special provision 376; However if it is not possible to safely remove the cell or battery or it is not possible to verify the status of the cell or battery, the vehicle, engine, machinery or article may be towed or carried as specified in (</w:t>
      </w:r>
      <w:proofErr w:type="spellStart"/>
      <w:r w:rsidR="005461C5" w:rsidRPr="003457AA">
        <w:rPr>
          <w:lang w:val="en-US"/>
        </w:rPr>
        <w:t>i</w:t>
      </w:r>
      <w:proofErr w:type="spellEnd"/>
      <w:r w:rsidR="005461C5" w:rsidRPr="003457AA">
        <w:rPr>
          <w:lang w:val="en-US"/>
        </w:rPr>
        <w:t>).</w:t>
      </w:r>
    </w:p>
    <w:p w:rsidR="005461C5" w:rsidRPr="00E2680E" w:rsidRDefault="005461C5" w:rsidP="003457AA">
      <w:pPr>
        <w:pStyle w:val="SingleTxtG"/>
        <w:spacing w:before="120"/>
        <w:ind w:left="2268"/>
        <w:rPr>
          <w:b/>
          <w:i/>
          <w:iCs/>
          <w:u w:val="single"/>
          <w:lang w:val="en-US"/>
        </w:rPr>
      </w:pPr>
      <w:r w:rsidRPr="00E2680E">
        <w:rPr>
          <w:b/>
          <w:i/>
          <w:iCs/>
          <w:u w:val="single"/>
          <w:lang w:val="en-US"/>
        </w:rPr>
        <w:t>NOTE: For example, it is not possible to safely remove the cell or battery, if an accident deforms the vehicle, the cell or the battery and the transport of the battery within the vehicle, as specified in (</w:t>
      </w:r>
      <w:proofErr w:type="spellStart"/>
      <w:r w:rsidRPr="00E2680E">
        <w:rPr>
          <w:b/>
          <w:i/>
          <w:iCs/>
          <w:u w:val="single"/>
          <w:lang w:val="en-US"/>
        </w:rPr>
        <w:t>i</w:t>
      </w:r>
      <w:proofErr w:type="spellEnd"/>
      <w:r w:rsidRPr="00E2680E">
        <w:rPr>
          <w:b/>
          <w:i/>
          <w:iCs/>
          <w:u w:val="single"/>
          <w:lang w:val="en-US"/>
        </w:rPr>
        <w:t>), is safer than the removal of the cell or battery, especially if the removal would additionally require</w:t>
      </w:r>
      <w:r w:rsidR="007346B4">
        <w:rPr>
          <w:b/>
          <w:i/>
          <w:iCs/>
          <w:u w:val="single"/>
          <w:lang w:val="en-US"/>
        </w:rPr>
        <w:t>:</w:t>
      </w:r>
    </w:p>
    <w:p w:rsidR="005461C5" w:rsidRPr="00E2680E" w:rsidRDefault="007346B4" w:rsidP="007346B4">
      <w:pPr>
        <w:pStyle w:val="SingleTxtG"/>
        <w:spacing w:before="120"/>
        <w:ind w:left="2535"/>
        <w:rPr>
          <w:b/>
          <w:i/>
          <w:iCs/>
          <w:u w:val="single"/>
          <w:lang w:val="en-US"/>
        </w:rPr>
      </w:pPr>
      <w:r>
        <w:rPr>
          <w:b/>
          <w:i/>
          <w:iCs/>
          <w:u w:val="single"/>
          <w:lang w:val="en-US"/>
        </w:rPr>
        <w:t xml:space="preserve">- </w:t>
      </w:r>
      <w:r w:rsidR="005461C5" w:rsidRPr="00E2680E">
        <w:rPr>
          <w:b/>
          <w:i/>
          <w:iCs/>
          <w:u w:val="single"/>
          <w:lang w:val="en-US"/>
        </w:rPr>
        <w:t>a different extraction method than the method used for undamaged vehicles, like cutting through permanently installed parts; or</w:t>
      </w:r>
    </w:p>
    <w:p w:rsidR="005461C5" w:rsidRPr="00E2680E" w:rsidRDefault="007346B4" w:rsidP="007346B4">
      <w:pPr>
        <w:pStyle w:val="SingleTxtG"/>
        <w:spacing w:before="120"/>
        <w:ind w:left="2535"/>
        <w:rPr>
          <w:b/>
          <w:i/>
          <w:iCs/>
          <w:u w:val="single"/>
          <w:lang w:val="en-US"/>
        </w:rPr>
      </w:pPr>
      <w:r>
        <w:rPr>
          <w:b/>
          <w:i/>
          <w:iCs/>
          <w:u w:val="single"/>
          <w:lang w:val="en-US"/>
        </w:rPr>
        <w:t xml:space="preserve">- </w:t>
      </w:r>
      <w:r w:rsidR="005461C5" w:rsidRPr="00E2680E">
        <w:rPr>
          <w:b/>
          <w:i/>
          <w:iCs/>
          <w:u w:val="single"/>
          <w:lang w:val="en-US"/>
        </w:rPr>
        <w:t>a special training or protection because of the high voltage system</w:t>
      </w:r>
    </w:p>
    <w:p w:rsidR="005461C5" w:rsidRPr="003457AA" w:rsidRDefault="003457AA" w:rsidP="003457AA">
      <w:pPr>
        <w:pStyle w:val="SingleTxtG"/>
        <w:spacing w:before="120"/>
        <w:ind w:left="1701"/>
        <w:rPr>
          <w:lang w:val="en-US"/>
        </w:rPr>
      </w:pPr>
      <w:r>
        <w:rPr>
          <w:lang w:val="en-US"/>
        </w:rPr>
        <w:t>(c)</w:t>
      </w:r>
      <w:r>
        <w:rPr>
          <w:lang w:val="en-US"/>
        </w:rPr>
        <w:tab/>
      </w:r>
      <w:r w:rsidR="005461C5" w:rsidRPr="003457AA">
        <w:rPr>
          <w:lang w:val="en-US"/>
        </w:rPr>
        <w:t>The procedures described in (b) also apply to damaged lithium cells or batteries in vehicles, engines, machinery or articles.</w:t>
      </w:r>
      <w:r w:rsidR="007346B4">
        <w:rPr>
          <w:lang w:val="en-US"/>
        </w:rPr>
        <w:t>”</w:t>
      </w:r>
      <w:r w:rsidR="00455E13">
        <w:rPr>
          <w:lang w:val="en-US"/>
        </w:rPr>
        <w:t>.</w:t>
      </w:r>
    </w:p>
    <w:p w:rsidR="005461C5" w:rsidRPr="003457AA" w:rsidRDefault="005461C5" w:rsidP="003457AA">
      <w:pPr>
        <w:pStyle w:val="H1G"/>
      </w:pPr>
      <w:r w:rsidRPr="003457AA">
        <w:tab/>
      </w:r>
      <w:r w:rsidR="003457AA">
        <w:tab/>
      </w:r>
      <w:r w:rsidRPr="003457AA">
        <w:t>Proposal 2</w:t>
      </w:r>
    </w:p>
    <w:p w:rsidR="005461C5" w:rsidRPr="002578B2" w:rsidRDefault="00E2680E" w:rsidP="003457AA">
      <w:pPr>
        <w:pStyle w:val="SingleTxtG"/>
      </w:pPr>
      <w:r>
        <w:rPr>
          <w:rFonts w:eastAsia="SimSun"/>
          <w:lang w:eastAsia="zh-CN"/>
        </w:rPr>
        <w:t>15</w:t>
      </w:r>
      <w:r w:rsidR="003457AA">
        <w:rPr>
          <w:rFonts w:eastAsia="SimSun"/>
          <w:lang w:eastAsia="zh-CN"/>
        </w:rPr>
        <w:t>.</w:t>
      </w:r>
      <w:r w:rsidR="003457AA">
        <w:rPr>
          <w:rFonts w:eastAsia="SimSun"/>
          <w:lang w:eastAsia="zh-CN"/>
        </w:rPr>
        <w:tab/>
      </w:r>
      <w:r w:rsidR="005461C5" w:rsidRPr="002578B2">
        <w:rPr>
          <w:rFonts w:eastAsia="SimSun"/>
          <w:lang w:eastAsia="zh-CN"/>
        </w:rPr>
        <w:t xml:space="preserve">As </w:t>
      </w:r>
      <w:r w:rsidR="007346B4">
        <w:rPr>
          <w:rFonts w:eastAsia="SimSun"/>
          <w:lang w:eastAsia="zh-CN"/>
        </w:rPr>
        <w:t>in</w:t>
      </w:r>
      <w:r w:rsidR="007346B4" w:rsidRPr="002578B2">
        <w:rPr>
          <w:rFonts w:eastAsia="SimSun"/>
          <w:lang w:eastAsia="zh-CN"/>
        </w:rPr>
        <w:t xml:space="preserve"> </w:t>
      </w:r>
      <w:r w:rsidR="005461C5" w:rsidRPr="002578B2">
        <w:rPr>
          <w:rFonts w:eastAsia="SimSun"/>
          <w:lang w:eastAsia="zh-CN"/>
        </w:rPr>
        <w:t xml:space="preserve">proposal 1, amend </w:t>
      </w:r>
      <w:r w:rsidR="00CC387D">
        <w:t>special provision</w:t>
      </w:r>
      <w:r w:rsidR="005461C5" w:rsidRPr="002578B2">
        <w:rPr>
          <w:rFonts w:eastAsia="SimSun"/>
          <w:lang w:eastAsia="zh-CN"/>
        </w:rPr>
        <w:t xml:space="preserve"> 667 with the following </w:t>
      </w:r>
      <w:r w:rsidR="005461C5" w:rsidRPr="002578B2">
        <w:rPr>
          <w:b/>
          <w:u w:val="single"/>
          <w:lang w:val="en-US"/>
        </w:rPr>
        <w:t xml:space="preserve">note </w:t>
      </w:r>
      <w:r w:rsidR="007346B4">
        <w:rPr>
          <w:b/>
          <w:u w:val="single"/>
          <w:lang w:val="en-US"/>
        </w:rPr>
        <w:t xml:space="preserve">under </w:t>
      </w:r>
      <w:r w:rsidR="005461C5" w:rsidRPr="002578B2">
        <w:rPr>
          <w:b/>
          <w:u w:val="single"/>
          <w:lang w:val="en-US"/>
        </w:rPr>
        <w:t>(b) (ii)</w:t>
      </w:r>
      <w:r w:rsidR="005461C5" w:rsidRPr="002578B2">
        <w:rPr>
          <w:rFonts w:eastAsia="SimSun"/>
          <w:lang w:eastAsia="zh-CN"/>
        </w:rPr>
        <w:t>:</w:t>
      </w:r>
    </w:p>
    <w:p w:rsidR="005461C5" w:rsidRPr="00E2680E" w:rsidRDefault="007346B4" w:rsidP="00E2680E">
      <w:pPr>
        <w:pStyle w:val="SingleTxtG"/>
        <w:ind w:left="1701"/>
        <w:rPr>
          <w:b/>
          <w:bCs/>
          <w:i/>
          <w:iCs/>
        </w:rPr>
      </w:pPr>
      <w:r w:rsidRPr="00E2680E">
        <w:rPr>
          <w:b/>
          <w:bCs/>
          <w:i/>
          <w:iCs/>
        </w:rPr>
        <w:t>“</w:t>
      </w:r>
      <w:r w:rsidR="005461C5" w:rsidRPr="00E2680E">
        <w:rPr>
          <w:b/>
          <w:bCs/>
          <w:i/>
          <w:iCs/>
        </w:rPr>
        <w:t>NOTE: For example, it is not possible to verify the status of the cell or battery, if</w:t>
      </w:r>
      <w:r>
        <w:rPr>
          <w:b/>
          <w:bCs/>
          <w:i/>
          <w:iCs/>
        </w:rPr>
        <w:t>:</w:t>
      </w:r>
      <w:r w:rsidR="005461C5" w:rsidRPr="00E2680E">
        <w:rPr>
          <w:b/>
          <w:bCs/>
          <w:i/>
          <w:iCs/>
        </w:rPr>
        <w:t xml:space="preserve"> </w:t>
      </w:r>
    </w:p>
    <w:p w:rsidR="005461C5" w:rsidRPr="007346B4" w:rsidRDefault="007346B4" w:rsidP="007346B4">
      <w:pPr>
        <w:pStyle w:val="SingleTxtG"/>
        <w:ind w:left="1701"/>
        <w:rPr>
          <w:b/>
          <w:bCs/>
          <w:i/>
          <w:iCs/>
        </w:rPr>
      </w:pPr>
      <w:r>
        <w:rPr>
          <w:b/>
          <w:bCs/>
          <w:i/>
          <w:iCs/>
        </w:rPr>
        <w:t>-</w:t>
      </w:r>
      <w:r>
        <w:rPr>
          <w:b/>
          <w:bCs/>
          <w:i/>
          <w:iCs/>
        </w:rPr>
        <w:tab/>
      </w:r>
      <w:r w:rsidR="005461C5" w:rsidRPr="007346B4">
        <w:rPr>
          <w:b/>
          <w:bCs/>
          <w:i/>
          <w:iCs/>
        </w:rPr>
        <w:t>a defect of the integrated measurement system of a non-damaged vehicle prevents reading or evaluating the data of the cells or the battery, like through the On-Board-Diagnosis-System; or</w:t>
      </w:r>
    </w:p>
    <w:p w:rsidR="005461C5" w:rsidRPr="007346B4" w:rsidRDefault="007346B4" w:rsidP="007346B4">
      <w:pPr>
        <w:pStyle w:val="SingleTxtG"/>
        <w:ind w:left="1701"/>
        <w:rPr>
          <w:b/>
          <w:bCs/>
          <w:i/>
          <w:iCs/>
        </w:rPr>
      </w:pPr>
      <w:r>
        <w:rPr>
          <w:b/>
          <w:bCs/>
          <w:i/>
          <w:iCs/>
        </w:rPr>
        <w:t>-</w:t>
      </w:r>
      <w:r>
        <w:rPr>
          <w:b/>
          <w:bCs/>
          <w:i/>
          <w:iCs/>
        </w:rPr>
        <w:tab/>
      </w:r>
      <w:r w:rsidR="005461C5" w:rsidRPr="007346B4">
        <w:rPr>
          <w:b/>
          <w:bCs/>
          <w:i/>
          <w:iCs/>
        </w:rPr>
        <w:t>a damage to the vehicle, the battery or the cells prevents the access to internal or for external measurement systems.</w:t>
      </w:r>
      <w:r w:rsidRPr="007346B4">
        <w:rPr>
          <w:b/>
          <w:bCs/>
          <w:i/>
          <w:iCs/>
        </w:rPr>
        <w:t>”.</w:t>
      </w:r>
    </w:p>
    <w:p w:rsidR="005461C5" w:rsidRPr="002578B2" w:rsidRDefault="005461C5" w:rsidP="003457AA">
      <w:pPr>
        <w:pStyle w:val="SingleTxtG"/>
        <w:spacing w:before="240" w:after="0"/>
        <w:jc w:val="center"/>
        <w:rPr>
          <w:lang w:val="en-US"/>
        </w:rPr>
      </w:pPr>
      <w:r w:rsidRPr="002578B2">
        <w:rPr>
          <w:u w:val="single"/>
          <w:lang w:val="en-US"/>
        </w:rPr>
        <w:tab/>
      </w:r>
      <w:r w:rsidRPr="002578B2">
        <w:rPr>
          <w:u w:val="single"/>
          <w:lang w:val="en-US"/>
        </w:rPr>
        <w:tab/>
      </w:r>
      <w:r w:rsidRPr="002578B2">
        <w:rPr>
          <w:u w:val="single"/>
          <w:lang w:val="en-US"/>
        </w:rPr>
        <w:tab/>
      </w:r>
    </w:p>
    <w:p w:rsidR="001C6663" w:rsidRPr="00A8223D" w:rsidRDefault="001C6663" w:rsidP="003457AA">
      <w:pPr>
        <w:ind w:right="1134"/>
      </w:pPr>
    </w:p>
    <w:sectPr w:rsidR="001C6663" w:rsidRPr="00A8223D" w:rsidSect="00A8223D">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23D" w:rsidRDefault="00A8223D"/>
  </w:endnote>
  <w:endnote w:type="continuationSeparator" w:id="0">
    <w:p w:rsidR="00A8223D" w:rsidRDefault="00A8223D"/>
  </w:endnote>
  <w:endnote w:type="continuationNotice" w:id="1">
    <w:p w:rsidR="00A8223D" w:rsidRDefault="00A82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23D" w:rsidRPr="00A8223D" w:rsidRDefault="00A8223D" w:rsidP="00A8223D">
    <w:pPr>
      <w:pStyle w:val="Footer"/>
      <w:tabs>
        <w:tab w:val="right" w:pos="9638"/>
      </w:tabs>
      <w:rPr>
        <w:sz w:val="18"/>
      </w:rPr>
    </w:pPr>
    <w:r w:rsidRPr="00A8223D">
      <w:rPr>
        <w:b/>
        <w:sz w:val="18"/>
      </w:rPr>
      <w:fldChar w:fldCharType="begin"/>
    </w:r>
    <w:r w:rsidRPr="00A8223D">
      <w:rPr>
        <w:b/>
        <w:sz w:val="18"/>
      </w:rPr>
      <w:instrText xml:space="preserve"> PAGE  \* MERGEFORMAT </w:instrText>
    </w:r>
    <w:r w:rsidRPr="00A8223D">
      <w:rPr>
        <w:b/>
        <w:sz w:val="18"/>
      </w:rPr>
      <w:fldChar w:fldCharType="separate"/>
    </w:r>
    <w:r w:rsidRPr="00A8223D">
      <w:rPr>
        <w:b/>
        <w:noProof/>
        <w:sz w:val="18"/>
      </w:rPr>
      <w:t>2</w:t>
    </w:r>
    <w:r w:rsidRPr="00A8223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23D" w:rsidRPr="00A8223D" w:rsidRDefault="00A8223D" w:rsidP="00A8223D">
    <w:pPr>
      <w:pStyle w:val="Footer"/>
      <w:tabs>
        <w:tab w:val="right" w:pos="9638"/>
      </w:tabs>
      <w:rPr>
        <w:b/>
        <w:sz w:val="18"/>
      </w:rPr>
    </w:pPr>
    <w:r>
      <w:tab/>
    </w:r>
    <w:r w:rsidRPr="00A8223D">
      <w:rPr>
        <w:b/>
        <w:sz w:val="18"/>
      </w:rPr>
      <w:fldChar w:fldCharType="begin"/>
    </w:r>
    <w:r w:rsidRPr="00A8223D">
      <w:rPr>
        <w:b/>
        <w:sz w:val="18"/>
      </w:rPr>
      <w:instrText xml:space="preserve"> PAGE  \* MERGEFORMAT </w:instrText>
    </w:r>
    <w:r w:rsidRPr="00A8223D">
      <w:rPr>
        <w:b/>
        <w:sz w:val="18"/>
      </w:rPr>
      <w:fldChar w:fldCharType="separate"/>
    </w:r>
    <w:r w:rsidRPr="00A8223D">
      <w:rPr>
        <w:b/>
        <w:noProof/>
        <w:sz w:val="18"/>
      </w:rPr>
      <w:t>3</w:t>
    </w:r>
    <w:r w:rsidRPr="00A8223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23D" w:rsidRPr="000B175B" w:rsidRDefault="00A8223D" w:rsidP="000B175B">
      <w:pPr>
        <w:tabs>
          <w:tab w:val="right" w:pos="2155"/>
        </w:tabs>
        <w:spacing w:after="80"/>
        <w:ind w:left="680"/>
        <w:rPr>
          <w:u w:val="single"/>
        </w:rPr>
      </w:pPr>
      <w:r>
        <w:rPr>
          <w:u w:val="single"/>
        </w:rPr>
        <w:tab/>
      </w:r>
    </w:p>
  </w:footnote>
  <w:footnote w:type="continuationSeparator" w:id="0">
    <w:p w:rsidR="00A8223D" w:rsidRPr="00FC68B7" w:rsidRDefault="00A8223D" w:rsidP="00FC68B7">
      <w:pPr>
        <w:tabs>
          <w:tab w:val="left" w:pos="2155"/>
        </w:tabs>
        <w:spacing w:after="80"/>
        <w:ind w:left="680"/>
        <w:rPr>
          <w:u w:val="single"/>
        </w:rPr>
      </w:pPr>
      <w:r>
        <w:rPr>
          <w:u w:val="single"/>
        </w:rPr>
        <w:tab/>
      </w:r>
    </w:p>
  </w:footnote>
  <w:footnote w:type="continuationNotice" w:id="1">
    <w:p w:rsidR="00A8223D" w:rsidRDefault="00A8223D"/>
  </w:footnote>
  <w:footnote w:id="2">
    <w:p w:rsidR="005461C5" w:rsidRDefault="005461C5" w:rsidP="005461C5">
      <w:pPr>
        <w:pStyle w:val="FootnoteText"/>
        <w:tabs>
          <w:tab w:val="left" w:pos="720"/>
        </w:tabs>
        <w:ind w:left="1418" w:right="1260" w:hanging="284"/>
        <w:jc w:val="both"/>
      </w:pPr>
      <w:r>
        <w:rPr>
          <w:rStyle w:val="FootnoteReference"/>
          <w:sz w:val="20"/>
        </w:rPr>
        <w:sym w:font="Symbol" w:char="F02A"/>
      </w:r>
      <w:r>
        <w:tab/>
      </w:r>
      <w:r w:rsidRPr="007450AF">
        <w:rPr>
          <w:color w:val="000000"/>
          <w:lang w:val="en-US" w:eastAsia="en-GB"/>
        </w:rPr>
        <w:t xml:space="preserve">2020 (A/74/6 (Sect.20) and Supplementary, </w:t>
      </w:r>
      <w:proofErr w:type="spellStart"/>
      <w:r w:rsidRPr="007450AF">
        <w:rPr>
          <w:color w:val="000000"/>
          <w:lang w:val="en-US" w:eastAsia="en-GB"/>
        </w:rPr>
        <w:t>Subprogramme</w:t>
      </w:r>
      <w:proofErr w:type="spellEnd"/>
      <w:r w:rsidRPr="007450AF">
        <w:rPr>
          <w:color w:val="000000"/>
          <w:lang w:val="en-US" w:eastAsia="en-GB"/>
        </w:rPr>
        <w:t xml:space="preserve"> 2)</w:t>
      </w:r>
      <w:r>
        <w:rPr>
          <w:color w:val="000000"/>
          <w:lang w:val="en-US"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23D" w:rsidRPr="00A8223D" w:rsidRDefault="00E2680E">
    <w:pPr>
      <w:pStyle w:val="Header"/>
    </w:pPr>
    <w:fldSimple w:instr=" TITLE  \* MERGEFORMAT ">
      <w:r w:rsidR="00EE7A29">
        <w:t>ECE/TRANS/WP.15/2020/7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23D" w:rsidRPr="00A8223D" w:rsidRDefault="00E2680E" w:rsidP="00A8223D">
    <w:pPr>
      <w:pStyle w:val="Header"/>
      <w:jc w:val="right"/>
    </w:pPr>
    <w:fldSimple w:instr=" TITLE  \* MERGEFORMAT ">
      <w:r w:rsidR="00EE7A29">
        <w:t>ECE/TRANS/WP.15/2020/7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AD4918"/>
    <w:multiLevelType w:val="hybridMultilevel"/>
    <w:tmpl w:val="7D98C624"/>
    <w:lvl w:ilvl="0" w:tplc="35ECF902">
      <w:start w:val="1"/>
      <w:numFmt w:val="lowerLetter"/>
      <w:lvlText w:val="(%1)"/>
      <w:lvlJc w:val="left"/>
      <w:pPr>
        <w:ind w:left="2061" w:hanging="360"/>
      </w:pPr>
      <w:rPr>
        <w:rFonts w:hint="default"/>
      </w:rPr>
    </w:lvl>
    <w:lvl w:ilvl="1" w:tplc="0407001B">
      <w:start w:val="1"/>
      <w:numFmt w:val="lowerRoman"/>
      <w:lvlText w:val="%2."/>
      <w:lvlJc w:val="right"/>
      <w:pPr>
        <w:ind w:left="2781" w:hanging="360"/>
      </w:pPr>
      <w:rPr>
        <w:rFonts w:hint="default"/>
      </w:r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B65606"/>
    <w:multiLevelType w:val="hybridMultilevel"/>
    <w:tmpl w:val="BEE6049C"/>
    <w:lvl w:ilvl="0" w:tplc="04070001">
      <w:start w:val="1"/>
      <w:numFmt w:val="bullet"/>
      <w:lvlText w:val=""/>
      <w:lvlJc w:val="left"/>
      <w:pPr>
        <w:ind w:left="2895" w:hanging="360"/>
      </w:pPr>
      <w:rPr>
        <w:rFonts w:ascii="Symbol" w:hAnsi="Symbol" w:hint="default"/>
      </w:rPr>
    </w:lvl>
    <w:lvl w:ilvl="1" w:tplc="04070003" w:tentative="1">
      <w:start w:val="1"/>
      <w:numFmt w:val="bullet"/>
      <w:lvlText w:val="o"/>
      <w:lvlJc w:val="left"/>
      <w:pPr>
        <w:ind w:left="3615" w:hanging="360"/>
      </w:pPr>
      <w:rPr>
        <w:rFonts w:ascii="Courier New" w:hAnsi="Courier New" w:cs="Courier New" w:hint="default"/>
      </w:rPr>
    </w:lvl>
    <w:lvl w:ilvl="2" w:tplc="04070005" w:tentative="1">
      <w:start w:val="1"/>
      <w:numFmt w:val="bullet"/>
      <w:lvlText w:val=""/>
      <w:lvlJc w:val="left"/>
      <w:pPr>
        <w:ind w:left="4335" w:hanging="360"/>
      </w:pPr>
      <w:rPr>
        <w:rFonts w:ascii="Wingdings" w:hAnsi="Wingdings" w:hint="default"/>
      </w:rPr>
    </w:lvl>
    <w:lvl w:ilvl="3" w:tplc="04070001" w:tentative="1">
      <w:start w:val="1"/>
      <w:numFmt w:val="bullet"/>
      <w:lvlText w:val=""/>
      <w:lvlJc w:val="left"/>
      <w:pPr>
        <w:ind w:left="5055" w:hanging="360"/>
      </w:pPr>
      <w:rPr>
        <w:rFonts w:ascii="Symbol" w:hAnsi="Symbol" w:hint="default"/>
      </w:rPr>
    </w:lvl>
    <w:lvl w:ilvl="4" w:tplc="04070003" w:tentative="1">
      <w:start w:val="1"/>
      <w:numFmt w:val="bullet"/>
      <w:lvlText w:val="o"/>
      <w:lvlJc w:val="left"/>
      <w:pPr>
        <w:ind w:left="5775" w:hanging="360"/>
      </w:pPr>
      <w:rPr>
        <w:rFonts w:ascii="Courier New" w:hAnsi="Courier New" w:cs="Courier New" w:hint="default"/>
      </w:rPr>
    </w:lvl>
    <w:lvl w:ilvl="5" w:tplc="04070005" w:tentative="1">
      <w:start w:val="1"/>
      <w:numFmt w:val="bullet"/>
      <w:lvlText w:val=""/>
      <w:lvlJc w:val="left"/>
      <w:pPr>
        <w:ind w:left="6495" w:hanging="360"/>
      </w:pPr>
      <w:rPr>
        <w:rFonts w:ascii="Wingdings" w:hAnsi="Wingdings" w:hint="default"/>
      </w:rPr>
    </w:lvl>
    <w:lvl w:ilvl="6" w:tplc="04070001" w:tentative="1">
      <w:start w:val="1"/>
      <w:numFmt w:val="bullet"/>
      <w:lvlText w:val=""/>
      <w:lvlJc w:val="left"/>
      <w:pPr>
        <w:ind w:left="7215" w:hanging="360"/>
      </w:pPr>
      <w:rPr>
        <w:rFonts w:ascii="Symbol" w:hAnsi="Symbol" w:hint="default"/>
      </w:rPr>
    </w:lvl>
    <w:lvl w:ilvl="7" w:tplc="04070003" w:tentative="1">
      <w:start w:val="1"/>
      <w:numFmt w:val="bullet"/>
      <w:lvlText w:val="o"/>
      <w:lvlJc w:val="left"/>
      <w:pPr>
        <w:ind w:left="7935" w:hanging="360"/>
      </w:pPr>
      <w:rPr>
        <w:rFonts w:ascii="Courier New" w:hAnsi="Courier New" w:cs="Courier New" w:hint="default"/>
      </w:rPr>
    </w:lvl>
    <w:lvl w:ilvl="8" w:tplc="04070005" w:tentative="1">
      <w:start w:val="1"/>
      <w:numFmt w:val="bullet"/>
      <w:lvlText w:val=""/>
      <w:lvlJc w:val="left"/>
      <w:pPr>
        <w:ind w:left="8655"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9A67E2"/>
    <w:multiLevelType w:val="hybridMultilevel"/>
    <w:tmpl w:val="FBB62976"/>
    <w:lvl w:ilvl="0" w:tplc="77A6BB94">
      <w:start w:val="1"/>
      <w:numFmt w:val="decimal"/>
      <w:lvlText w:val="%1."/>
      <w:lvlJc w:val="left"/>
      <w:pPr>
        <w:ind w:left="1689" w:hanging="555"/>
      </w:pPr>
      <w:rPr>
        <w:rFonts w:hint="default"/>
        <w:lang w:val="en-GB"/>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8"/>
  </w:num>
  <w:num w:numId="16">
    <w:abstractNumId w:val="14"/>
  </w:num>
  <w:num w:numId="17">
    <w:abstractNumId w:val="20"/>
  </w:num>
  <w:num w:numId="18">
    <w:abstractNumId w:val="21"/>
  </w:num>
  <w:num w:numId="19">
    <w:abstractNumId w:val="12"/>
  </w:num>
  <w:num w:numId="20">
    <w:abstractNumId w:val="12"/>
  </w:num>
  <w:num w:numId="21">
    <w:abstractNumId w:val="19"/>
  </w:num>
  <w:num w:numId="22">
    <w:abstractNumId w:val="11"/>
  </w:num>
  <w:num w:numId="23">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23D"/>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0A8B"/>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1C0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457AA"/>
    <w:rsid w:val="0035223F"/>
    <w:rsid w:val="00352D4B"/>
    <w:rsid w:val="0035638C"/>
    <w:rsid w:val="003A46BB"/>
    <w:rsid w:val="003A4EC7"/>
    <w:rsid w:val="003A7295"/>
    <w:rsid w:val="003B1F60"/>
    <w:rsid w:val="003C2CC4"/>
    <w:rsid w:val="003C2EFD"/>
    <w:rsid w:val="003D4B23"/>
    <w:rsid w:val="003E278A"/>
    <w:rsid w:val="00413520"/>
    <w:rsid w:val="004325CB"/>
    <w:rsid w:val="00440A07"/>
    <w:rsid w:val="00455E13"/>
    <w:rsid w:val="00462880"/>
    <w:rsid w:val="00476F24"/>
    <w:rsid w:val="004C55B0"/>
    <w:rsid w:val="004E2AE2"/>
    <w:rsid w:val="004F6BA0"/>
    <w:rsid w:val="00503BEA"/>
    <w:rsid w:val="00533616"/>
    <w:rsid w:val="00535ABA"/>
    <w:rsid w:val="0053768B"/>
    <w:rsid w:val="005420F2"/>
    <w:rsid w:val="0054285C"/>
    <w:rsid w:val="005461C5"/>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46B4"/>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1A72"/>
    <w:rsid w:val="009E6CB7"/>
    <w:rsid w:val="009E7970"/>
    <w:rsid w:val="009F2EAC"/>
    <w:rsid w:val="009F57E3"/>
    <w:rsid w:val="00A10F4F"/>
    <w:rsid w:val="00A11067"/>
    <w:rsid w:val="00A1704A"/>
    <w:rsid w:val="00A425EB"/>
    <w:rsid w:val="00A72F22"/>
    <w:rsid w:val="00A733BC"/>
    <w:rsid w:val="00A748A6"/>
    <w:rsid w:val="00A76A69"/>
    <w:rsid w:val="00A8223D"/>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1B3F"/>
    <w:rsid w:val="00CB348D"/>
    <w:rsid w:val="00CC387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2680E"/>
    <w:rsid w:val="00E423C0"/>
    <w:rsid w:val="00E6414C"/>
    <w:rsid w:val="00E7260F"/>
    <w:rsid w:val="00E8702D"/>
    <w:rsid w:val="00E905F4"/>
    <w:rsid w:val="00E916A9"/>
    <w:rsid w:val="00E916DE"/>
    <w:rsid w:val="00E925AD"/>
    <w:rsid w:val="00E96630"/>
    <w:rsid w:val="00ED18DC"/>
    <w:rsid w:val="00ED6201"/>
    <w:rsid w:val="00ED7A2A"/>
    <w:rsid w:val="00EE7A29"/>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4337"/>
    <o:shapelayout v:ext="edit">
      <o:idmap v:ext="edit" data="1"/>
    </o:shapelayout>
  </w:shapeDefaults>
  <w:decimalSymbol w:val="."/>
  <w:listSeparator w:val=","/>
  <w14:docId w14:val="17C79A07"/>
  <w15:docId w15:val="{02B79B4F-08F2-45D7-9729-99FE80884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ps">
    <w:name w:val="hps"/>
    <w:basedOn w:val="DefaultParagraphFont"/>
    <w:rsid w:val="005461C5"/>
  </w:style>
  <w:style w:type="character" w:customStyle="1" w:styleId="HChGChar">
    <w:name w:val="_ H _Ch_G Char"/>
    <w:link w:val="HChG"/>
    <w:rsid w:val="005461C5"/>
    <w:rPr>
      <w:b/>
      <w:sz w:val="28"/>
      <w:lang w:val="en-GB"/>
    </w:rPr>
  </w:style>
  <w:style w:type="character" w:customStyle="1" w:styleId="H1GChar">
    <w:name w:val="_ H_1_G Char"/>
    <w:link w:val="H1G"/>
    <w:rsid w:val="005461C5"/>
    <w:rPr>
      <w:b/>
      <w:sz w:val="24"/>
      <w:lang w:val="en-GB"/>
    </w:rPr>
  </w:style>
  <w:style w:type="character" w:customStyle="1" w:styleId="FootnoteTextChar">
    <w:name w:val="Footnote Text Char"/>
    <w:aliases w:val="5_G Char,5_GR Char"/>
    <w:basedOn w:val="DefaultParagraphFont"/>
    <w:link w:val="FootnoteText"/>
    <w:rsid w:val="005461C5"/>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AFE08-69C6-4509-9995-7E0414A79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61</TotalTime>
  <Pages>3</Pages>
  <Words>989</Words>
  <Characters>5639</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ECE/TRANS/WP.15/2020/7</vt:lpstr>
      <vt:lpstr>ECE/TRANS/WP.15/2020/7</vt:lpstr>
    </vt:vector>
  </TitlesOfParts>
  <Company>CSD</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ECE/TRANS/WP.15/2020/7</dc:title>
  <dc:creator>Christine Barrio-Champeau</dc:creator>
  <cp:lastModifiedBy>Christine Barrio-Champeau</cp:lastModifiedBy>
  <cp:revision>11</cp:revision>
  <cp:lastPrinted>2020-02-21T08:20:00Z</cp:lastPrinted>
  <dcterms:created xsi:type="dcterms:W3CDTF">2020-02-17T10:15:00Z</dcterms:created>
  <dcterms:modified xsi:type="dcterms:W3CDTF">2020-02-21T08:30:00Z</dcterms:modified>
</cp:coreProperties>
</file>