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EA8E4F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ED303E" w14:textId="77777777" w:rsidR="002D5AAC" w:rsidRDefault="002D5AAC" w:rsidP="006D06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36099D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FA5C04" w14:textId="77777777" w:rsidR="002D5AAC" w:rsidRDefault="006D067F" w:rsidP="006D067F">
            <w:pPr>
              <w:jc w:val="right"/>
            </w:pPr>
            <w:r w:rsidRPr="006D067F">
              <w:rPr>
                <w:sz w:val="40"/>
              </w:rPr>
              <w:t>ECE</w:t>
            </w:r>
            <w:r>
              <w:t>/TRANS/WP.15/2020/6</w:t>
            </w:r>
          </w:p>
        </w:tc>
      </w:tr>
      <w:tr w:rsidR="002D5AAC" w:rsidRPr="00305494" w14:paraId="3BD9F9B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65881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5378138" wp14:editId="3D64E60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22AD7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764FF7A" w14:textId="77777777" w:rsidR="002D5AAC" w:rsidRDefault="006D067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8A9B7F9" w14:textId="77777777" w:rsidR="006D067F" w:rsidRDefault="006D067F" w:rsidP="006D067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February 2020</w:t>
            </w:r>
          </w:p>
          <w:p w14:paraId="62039E53" w14:textId="77777777" w:rsidR="006D067F" w:rsidRDefault="006D067F" w:rsidP="006D067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FDDD24F" w14:textId="77777777" w:rsidR="006D067F" w:rsidRPr="008D53B6" w:rsidRDefault="006D067F" w:rsidP="006D067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44DB33A" w14:textId="77777777" w:rsidR="006D067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3E1986E" w14:textId="77777777" w:rsidR="006D067F" w:rsidRPr="006D067F" w:rsidRDefault="006D067F" w:rsidP="006D067F">
      <w:pPr>
        <w:spacing w:before="120"/>
        <w:rPr>
          <w:sz w:val="28"/>
          <w:szCs w:val="28"/>
        </w:rPr>
      </w:pPr>
      <w:r w:rsidRPr="006D067F">
        <w:rPr>
          <w:sz w:val="28"/>
          <w:szCs w:val="28"/>
        </w:rPr>
        <w:t>Комитет по внутреннему транспорту</w:t>
      </w:r>
    </w:p>
    <w:p w14:paraId="20A17E11" w14:textId="77777777" w:rsidR="006D067F" w:rsidRPr="006D067F" w:rsidRDefault="006D067F" w:rsidP="006D067F">
      <w:pPr>
        <w:spacing w:before="120"/>
        <w:rPr>
          <w:b/>
          <w:sz w:val="24"/>
          <w:szCs w:val="24"/>
        </w:rPr>
      </w:pPr>
      <w:r w:rsidRPr="006D067F">
        <w:rPr>
          <w:b/>
          <w:bCs/>
          <w:sz w:val="24"/>
          <w:szCs w:val="24"/>
        </w:rPr>
        <w:t>Рабочая группа по перевозкам опасных грузов</w:t>
      </w:r>
    </w:p>
    <w:p w14:paraId="6E6E1E4D" w14:textId="77777777" w:rsidR="006D067F" w:rsidRPr="006D067F" w:rsidRDefault="006D067F" w:rsidP="006D067F">
      <w:pPr>
        <w:spacing w:before="120"/>
        <w:rPr>
          <w:rFonts w:eastAsia="SimSun"/>
          <w:b/>
        </w:rPr>
      </w:pPr>
      <w:r w:rsidRPr="006D067F">
        <w:rPr>
          <w:b/>
        </w:rPr>
        <w:t xml:space="preserve">108-я сессия </w:t>
      </w:r>
    </w:p>
    <w:p w14:paraId="118D5ECB" w14:textId="77777777" w:rsidR="006D067F" w:rsidRPr="002B253E" w:rsidRDefault="006D067F" w:rsidP="006D067F">
      <w:pPr>
        <w:rPr>
          <w:rFonts w:eastAsia="SimSun"/>
        </w:rPr>
      </w:pPr>
      <w:r w:rsidRPr="002B253E">
        <w:t>Женева, 11−15 мая 2020 года</w:t>
      </w:r>
    </w:p>
    <w:p w14:paraId="777A5E18" w14:textId="77777777" w:rsidR="006D067F" w:rsidRPr="002B253E" w:rsidRDefault="006D067F" w:rsidP="006D067F">
      <w:r w:rsidRPr="002B253E">
        <w:t>Пункт 6 предварительной повестки дня</w:t>
      </w:r>
    </w:p>
    <w:p w14:paraId="2C78C272" w14:textId="77777777" w:rsidR="006D067F" w:rsidRPr="002B253E" w:rsidRDefault="006D067F" w:rsidP="006D067F">
      <w:pPr>
        <w:rPr>
          <w:b/>
          <w:bCs/>
        </w:rPr>
      </w:pPr>
      <w:r w:rsidRPr="002B253E">
        <w:rPr>
          <w:b/>
          <w:bCs/>
        </w:rPr>
        <w:t>Толкование ДОПОГ</w:t>
      </w:r>
    </w:p>
    <w:p w14:paraId="2FC84F7B" w14:textId="77777777" w:rsidR="006D067F" w:rsidRPr="002B253E" w:rsidRDefault="006D067F" w:rsidP="006D067F">
      <w:pPr>
        <w:pStyle w:val="HChG"/>
      </w:pPr>
      <w:r w:rsidRPr="002B253E">
        <w:tab/>
      </w:r>
      <w:r w:rsidRPr="002B253E">
        <w:tab/>
      </w:r>
      <w:r w:rsidRPr="002B253E">
        <w:rPr>
          <w:bCs/>
        </w:rPr>
        <w:t>Проблема толкования пункта 7.5.2.3</w:t>
      </w:r>
    </w:p>
    <w:p w14:paraId="329DE0C6" w14:textId="77777777" w:rsidR="006D067F" w:rsidRPr="002B253E" w:rsidRDefault="006D067F" w:rsidP="006D067F">
      <w:pPr>
        <w:pStyle w:val="H1G"/>
        <w:rPr>
          <w:sz w:val="20"/>
        </w:rPr>
      </w:pPr>
      <w:r w:rsidRPr="002B253E">
        <w:tab/>
      </w:r>
      <w:r w:rsidRPr="002B253E">
        <w:tab/>
      </w:r>
      <w:r w:rsidRPr="002B253E">
        <w:rPr>
          <w:bCs/>
        </w:rPr>
        <w:t>Передано Советом по безопасной транспортировке опасных изделий (COSTHA)</w:t>
      </w:r>
      <w:r w:rsidRPr="001E31D6">
        <w:rPr>
          <w:rStyle w:val="FootnoteReference"/>
          <w:b w:val="0"/>
          <w:sz w:val="20"/>
          <w:vertAlign w:val="baseline"/>
        </w:rPr>
        <w:footnoteReference w:customMarkFollows="1" w:id="1"/>
        <w:sym w:font="Symbol" w:char="F02A"/>
      </w:r>
    </w:p>
    <w:p w14:paraId="6DC4E385" w14:textId="77777777" w:rsidR="006D067F" w:rsidRPr="002B253E" w:rsidRDefault="006D067F" w:rsidP="006D067F">
      <w:pPr>
        <w:pStyle w:val="HChG"/>
      </w:pPr>
      <w:r w:rsidRPr="002B253E">
        <w:tab/>
      </w:r>
      <w:r w:rsidRPr="002B253E">
        <w:tab/>
      </w:r>
      <w:r w:rsidRPr="002B253E">
        <w:rPr>
          <w:bCs/>
        </w:rPr>
        <w:t>Введение</w:t>
      </w:r>
    </w:p>
    <w:p w14:paraId="35594C1E" w14:textId="77777777" w:rsidR="006D067F" w:rsidRPr="002B253E" w:rsidRDefault="006D067F" w:rsidP="006D067F">
      <w:pPr>
        <w:pStyle w:val="SingleTxtG"/>
      </w:pPr>
      <w:r w:rsidRPr="002B253E">
        <w:t>1.</w:t>
      </w:r>
      <w:r w:rsidRPr="002B253E">
        <w:tab/>
        <w:t>В пункте 7.5.2.3 ДОПОГ содержится следующий текст, который вызывает путаницу при практическом применении.</w:t>
      </w:r>
    </w:p>
    <w:p w14:paraId="3DC9FCD5" w14:textId="77777777" w:rsidR="006D067F" w:rsidRPr="00951B49" w:rsidRDefault="006D067F" w:rsidP="006D067F">
      <w:pPr>
        <w:pStyle w:val="SingleTxtG"/>
        <w:ind w:left="1701"/>
      </w:pPr>
      <w:r>
        <w:t>«</w:t>
      </w:r>
      <w:r w:rsidRPr="002B253E">
        <w:t>Для целей применения запрещений совместной погрузки в одно и то же транспортное средство не учитываются вещества, содержащиеся в закрытых контейнерах со сплошными стенками. Однако предусмотренные в пункте</w:t>
      </w:r>
      <w:r w:rsidR="006755F1">
        <w:t> </w:t>
      </w:r>
      <w:r w:rsidRPr="002B253E">
        <w:t>7.5.2.1 запрещения погрузки упаковок, имеющих знаки опасности образца № 1, 1.4, 1.5 или 1.6, совместно с другими упаковками и предусмотренные в пункте 7.5.2.2 запрещения совместной погрузки взрывчатых веществ и изделий, относящихся к различным группам совместимости, применяются также в отношении опасных грузов, содержащихся в контейнере, и остальных опасных грузов, погруженных в это же транспортное средство, независимо от того, помещены ли эти остальные грузы в один или несколько других контейнеров</w:t>
      </w:r>
      <w:r w:rsidR="00C33A2A">
        <w:t>.</w:t>
      </w:r>
      <w:r>
        <w:t>»</w:t>
      </w:r>
    </w:p>
    <w:p w14:paraId="08F53A5E" w14:textId="77777777" w:rsidR="006D067F" w:rsidRPr="002B253E" w:rsidRDefault="006D067F" w:rsidP="006D067F">
      <w:pPr>
        <w:pStyle w:val="SingleTxtG"/>
      </w:pPr>
      <w:r w:rsidRPr="002B253E">
        <w:t>2.</w:t>
      </w:r>
      <w:r w:rsidRPr="002B253E">
        <w:tab/>
        <w:t>Этот пункт состоит из двух предложений. Первое предложение допускает совместную погрузку на одно транспортное средство в закрытых контейнерах (см.</w:t>
      </w:r>
      <w:r>
        <w:t> </w:t>
      </w:r>
      <w:r w:rsidRPr="002B253E">
        <w:t>рис.</w:t>
      </w:r>
      <w:r>
        <w:t> </w:t>
      </w:r>
      <w:r w:rsidRPr="002B253E">
        <w:t>1). Во втором предложении перечислены исключения из этого разрешения. Эти исключения представляют собой знаки опасности образца № 1, 1.4, 1.5 и 1.6 в пункте 7.5.2.1 (рис. 2) и пункте 7.5.2.2, относящиеся к группам совместимости взрывчатых веществ и изделий класса 1 (рис. 3).</w:t>
      </w:r>
    </w:p>
    <w:p w14:paraId="42CCEA76" w14:textId="77777777" w:rsidR="006D067F" w:rsidRPr="002B253E" w:rsidRDefault="006D067F" w:rsidP="006D067F">
      <w:pPr>
        <w:pStyle w:val="HChG"/>
      </w:pPr>
      <w:r w:rsidRPr="002B253E">
        <w:lastRenderedPageBreak/>
        <w:tab/>
      </w:r>
      <w:r w:rsidRPr="002B253E">
        <w:tab/>
      </w:r>
      <w:r w:rsidRPr="002B253E">
        <w:rPr>
          <w:bCs/>
        </w:rPr>
        <w:t>Справочная информация</w:t>
      </w:r>
    </w:p>
    <w:p w14:paraId="4A4B8131" w14:textId="77777777" w:rsidR="006D067F" w:rsidRPr="002B253E" w:rsidRDefault="006D067F" w:rsidP="006D067F">
      <w:pPr>
        <w:pStyle w:val="SingleTxtG"/>
      </w:pPr>
      <w:r w:rsidRPr="002B253E">
        <w:t>3.</w:t>
      </w:r>
      <w:r w:rsidRPr="002B253E">
        <w:tab/>
      </w:r>
      <w:r>
        <w:t>Данный</w:t>
      </w:r>
      <w:r w:rsidRPr="002B253E">
        <w:t xml:space="preserve"> пункт входил также в предыдущие издания ДОПОГ. Самое раннее издание, имеющееся на веб-сайте ЕЭК ООН, было опубликовано в 2001 году. </w:t>
      </w:r>
      <w:r>
        <w:t>Он</w:t>
      </w:r>
      <w:r w:rsidR="00D8270F">
        <w:t> </w:t>
      </w:r>
      <w:r w:rsidRPr="002B253E">
        <w:t>содержится и в нем. До 2001 года ДОПОГ имел</w:t>
      </w:r>
      <w:r>
        <w:t>о</w:t>
      </w:r>
      <w:r w:rsidRPr="002B253E">
        <w:t xml:space="preserve"> другую структуру. В этих изданиях первое предложение находится в маргинальном номере 10</w:t>
      </w:r>
      <w:r w:rsidR="00EF6667">
        <w:t> </w:t>
      </w:r>
      <w:r w:rsidRPr="002B253E">
        <w:t>405; второе предложение можно найти в маргинальном номере 11</w:t>
      </w:r>
      <w:r w:rsidR="00EF6667">
        <w:t> </w:t>
      </w:r>
      <w:r w:rsidRPr="002B253E">
        <w:t>405, который относится только к взрывчатым веществам и изделиям класса 1. Во время создания новой структуры эти два предложения были объединены. Такое объединение оказалось неудачным, поскольку эти предложения происходили из разных частей. Первое касается опасных грузов классов 2</w:t>
      </w:r>
      <w:r>
        <w:t>–</w:t>
      </w:r>
      <w:r w:rsidRPr="002B253E">
        <w:t xml:space="preserve">9, второе </w:t>
      </w:r>
      <w:r>
        <w:t>–</w:t>
      </w:r>
      <w:r w:rsidRPr="002B253E">
        <w:t xml:space="preserve"> класса 1. В результате этого пункт 7.5.2.3 теперь касается также веществ, которым назначены знаки опасности образца 4.1+1 и 5.2+1. (Прежний и нынешний тексты см. в таблице 1).</w:t>
      </w:r>
    </w:p>
    <w:p w14:paraId="4DA803DA" w14:textId="77777777" w:rsidR="006D067F" w:rsidRPr="002B253E" w:rsidRDefault="006D067F" w:rsidP="006D067F">
      <w:pPr>
        <w:pStyle w:val="SingleTxtG"/>
      </w:pPr>
      <w:r w:rsidRPr="002B253E">
        <w:t>4.</w:t>
      </w:r>
      <w:r w:rsidRPr="002B253E">
        <w:tab/>
        <w:t xml:space="preserve">В МПОГ этот пункт обозначен </w:t>
      </w:r>
      <w:r w:rsidR="00D8270F">
        <w:t>«</w:t>
      </w:r>
      <w:r w:rsidRPr="002B253E">
        <w:t>(</w:t>
      </w:r>
      <w:r w:rsidRPr="000C2DF6">
        <w:rPr>
          <w:i/>
        </w:rPr>
        <w:t>Зарезервировано</w:t>
      </w:r>
      <w:r w:rsidRPr="002B253E">
        <w:t>)</w:t>
      </w:r>
      <w:r w:rsidR="00D8270F">
        <w:t>»</w:t>
      </w:r>
      <w:r w:rsidRPr="002B253E">
        <w:t>, поскольку предусматривается наличие обеспечивающего защиту расстояния.</w:t>
      </w:r>
    </w:p>
    <w:p w14:paraId="41A88DE0" w14:textId="77777777" w:rsidR="006D067F" w:rsidRPr="002B253E" w:rsidRDefault="00D8270F" w:rsidP="00D8270F">
      <w:pPr>
        <w:pStyle w:val="H23G"/>
      </w:pPr>
      <w:r>
        <w:tab/>
      </w:r>
      <w:r>
        <w:tab/>
      </w:r>
      <w:r w:rsidR="006D067F" w:rsidRPr="002B253E">
        <w:t>Таблица 1</w:t>
      </w:r>
    </w:p>
    <w:tbl>
      <w:tblPr>
        <w:tblStyle w:val="TableGrid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9"/>
        <w:gridCol w:w="4275"/>
      </w:tblGrid>
      <w:tr w:rsidR="006D067F" w:rsidRPr="00D8270F" w14:paraId="70731973" w14:textId="77777777" w:rsidTr="00496F4D">
        <w:trPr>
          <w:tblHeader/>
        </w:trPr>
        <w:tc>
          <w:tcPr>
            <w:tcW w:w="36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578F61" w14:textId="77777777" w:rsidR="006D067F" w:rsidRPr="00D8270F" w:rsidRDefault="006D067F" w:rsidP="000760FA">
            <w:pPr>
              <w:spacing w:before="80" w:after="80" w:line="200" w:lineRule="exact"/>
              <w:ind w:left="17" w:right="113"/>
              <w:rPr>
                <w:rFonts w:cs="Times New Roman"/>
                <w:i/>
                <w:sz w:val="16"/>
              </w:rPr>
            </w:pPr>
            <w:r w:rsidRPr="00D8270F">
              <w:rPr>
                <w:rFonts w:cs="Times New Roman"/>
                <w:i/>
                <w:sz w:val="16"/>
              </w:rPr>
              <w:t>ДОПОГ до 1999 года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24879C" w14:textId="77777777" w:rsidR="006D067F" w:rsidRPr="00D8270F" w:rsidRDefault="006D067F" w:rsidP="000760FA">
            <w:pPr>
              <w:spacing w:before="80" w:after="80" w:line="200" w:lineRule="exact"/>
              <w:ind w:left="17" w:right="113"/>
              <w:rPr>
                <w:rFonts w:cs="Times New Roman"/>
                <w:i/>
                <w:sz w:val="16"/>
              </w:rPr>
            </w:pPr>
            <w:r w:rsidRPr="00D8270F">
              <w:rPr>
                <w:rFonts w:cs="Times New Roman"/>
                <w:i/>
                <w:sz w:val="16"/>
              </w:rPr>
              <w:t>ДОПОГ с 2001 года</w:t>
            </w:r>
          </w:p>
        </w:tc>
      </w:tr>
      <w:tr w:rsidR="00D8270F" w:rsidRPr="00D8270F" w14:paraId="727277AC" w14:textId="77777777" w:rsidTr="00496F4D">
        <w:trPr>
          <w:trHeight w:hRule="exact" w:val="113"/>
          <w:tblHeader/>
        </w:trPr>
        <w:tc>
          <w:tcPr>
            <w:tcW w:w="3665" w:type="dxa"/>
            <w:tcBorders>
              <w:top w:val="single" w:sz="12" w:space="0" w:color="auto"/>
            </w:tcBorders>
            <w:shd w:val="clear" w:color="auto" w:fill="auto"/>
          </w:tcPr>
          <w:p w14:paraId="0AA4504F" w14:textId="77777777" w:rsidR="00D8270F" w:rsidRPr="00D8270F" w:rsidRDefault="00D8270F" w:rsidP="000760FA">
            <w:pPr>
              <w:spacing w:before="40" w:after="120"/>
              <w:ind w:left="17" w:right="113"/>
              <w:rPr>
                <w:rFonts w:cs="Times New Roman"/>
              </w:rPr>
            </w:pPr>
          </w:p>
        </w:tc>
        <w:tc>
          <w:tcPr>
            <w:tcW w:w="3705" w:type="dxa"/>
            <w:tcBorders>
              <w:top w:val="single" w:sz="12" w:space="0" w:color="auto"/>
            </w:tcBorders>
            <w:shd w:val="clear" w:color="auto" w:fill="auto"/>
          </w:tcPr>
          <w:p w14:paraId="5CA9A02B" w14:textId="77777777" w:rsidR="00D8270F" w:rsidRPr="00D8270F" w:rsidRDefault="00D8270F" w:rsidP="000760FA">
            <w:pPr>
              <w:spacing w:before="40" w:after="120"/>
              <w:ind w:left="17" w:right="113"/>
              <w:rPr>
                <w:rFonts w:cs="Times New Roman"/>
              </w:rPr>
            </w:pPr>
          </w:p>
        </w:tc>
      </w:tr>
      <w:tr w:rsidR="006D067F" w:rsidRPr="00D8270F" w14:paraId="0863A737" w14:textId="77777777" w:rsidTr="00496F4D">
        <w:tc>
          <w:tcPr>
            <w:tcW w:w="3665" w:type="dxa"/>
            <w:tcBorders>
              <w:bottom w:val="single" w:sz="12" w:space="0" w:color="auto"/>
            </w:tcBorders>
            <w:shd w:val="clear" w:color="auto" w:fill="auto"/>
          </w:tcPr>
          <w:p w14:paraId="2C65EA76" w14:textId="77777777" w:rsidR="006D067F" w:rsidRPr="00496F4D" w:rsidRDefault="006D067F" w:rsidP="000760FA">
            <w:pPr>
              <w:spacing w:before="40" w:after="120"/>
              <w:ind w:left="17" w:right="113"/>
              <w:rPr>
                <w:rFonts w:cs="Times New Roman"/>
                <w:sz w:val="19"/>
              </w:rPr>
            </w:pPr>
            <w:r w:rsidRPr="00496F4D">
              <w:rPr>
                <w:rFonts w:cs="Times New Roman"/>
                <w:sz w:val="19"/>
              </w:rPr>
              <w:t>Запрещение совместной погрузки с товарами, содержащимися в контейнере</w:t>
            </w:r>
          </w:p>
          <w:p w14:paraId="5CE076C6" w14:textId="77777777" w:rsidR="006D067F" w:rsidRPr="00496F4D" w:rsidRDefault="006D067F" w:rsidP="000760FA">
            <w:pPr>
              <w:spacing w:before="40" w:after="120"/>
              <w:ind w:left="17" w:right="113"/>
              <w:rPr>
                <w:rFonts w:cs="Times New Roman"/>
                <w:sz w:val="19"/>
              </w:rPr>
            </w:pPr>
            <w:r w:rsidRPr="00496F4D">
              <w:rPr>
                <w:rFonts w:cs="Times New Roman"/>
                <w:b/>
                <w:bCs/>
                <w:sz w:val="19"/>
              </w:rPr>
              <w:t>10 405</w:t>
            </w:r>
          </w:p>
          <w:p w14:paraId="2A3975D4" w14:textId="77777777" w:rsidR="006D067F" w:rsidRPr="00496F4D" w:rsidRDefault="006D067F" w:rsidP="000760FA">
            <w:pPr>
              <w:spacing w:before="40" w:after="120"/>
              <w:ind w:left="17" w:right="113"/>
              <w:rPr>
                <w:rFonts w:cs="Times New Roman"/>
                <w:sz w:val="19"/>
              </w:rPr>
            </w:pPr>
            <w:r w:rsidRPr="00496F4D">
              <w:rPr>
                <w:rFonts w:cs="Times New Roman"/>
                <w:sz w:val="19"/>
              </w:rPr>
              <w:t>Для целей применения запрещений совместной погрузки в одно и то же транспортное средство не учитываются вещества, содержащиеся в закрытом контейнере со сплошными стенками.</w:t>
            </w:r>
          </w:p>
          <w:p w14:paraId="796A0F11" w14:textId="77777777" w:rsidR="006D067F" w:rsidRPr="00496F4D" w:rsidRDefault="006D067F" w:rsidP="000760FA">
            <w:pPr>
              <w:spacing w:before="40" w:after="120"/>
              <w:ind w:left="17" w:right="113"/>
              <w:rPr>
                <w:rFonts w:cs="Times New Roman"/>
                <w:sz w:val="19"/>
              </w:rPr>
            </w:pPr>
            <w:r w:rsidRPr="00496F4D">
              <w:rPr>
                <w:rFonts w:cs="Times New Roman"/>
                <w:sz w:val="19"/>
              </w:rPr>
              <w:t>Класс 1</w:t>
            </w:r>
          </w:p>
          <w:p w14:paraId="74D10332" w14:textId="77777777" w:rsidR="006D067F" w:rsidRPr="00496F4D" w:rsidRDefault="006D067F" w:rsidP="000760FA">
            <w:pPr>
              <w:spacing w:before="40" w:after="120"/>
              <w:ind w:left="17" w:right="113"/>
              <w:rPr>
                <w:rFonts w:cs="Times New Roman"/>
                <w:sz w:val="19"/>
              </w:rPr>
            </w:pPr>
            <w:r w:rsidRPr="00496F4D">
              <w:rPr>
                <w:rFonts w:cs="Times New Roman"/>
                <w:sz w:val="19"/>
              </w:rPr>
              <w:t>Запрещение совместной погрузки</w:t>
            </w:r>
          </w:p>
          <w:p w14:paraId="11749778" w14:textId="77777777" w:rsidR="006D067F" w:rsidRPr="00496F4D" w:rsidRDefault="006D067F" w:rsidP="000760FA">
            <w:pPr>
              <w:spacing w:before="40" w:after="120"/>
              <w:ind w:left="17" w:right="113"/>
              <w:rPr>
                <w:rFonts w:cs="Times New Roman"/>
                <w:sz w:val="19"/>
              </w:rPr>
            </w:pPr>
            <w:r w:rsidRPr="00496F4D">
              <w:rPr>
                <w:rFonts w:cs="Times New Roman"/>
                <w:b/>
                <w:bCs/>
                <w:sz w:val="19"/>
              </w:rPr>
              <w:t>11 403</w:t>
            </w:r>
          </w:p>
          <w:p w14:paraId="40E38546" w14:textId="5C830952" w:rsidR="006D067F" w:rsidRPr="00496F4D" w:rsidRDefault="006D067F" w:rsidP="00E32328">
            <w:pPr>
              <w:spacing w:before="40" w:after="220"/>
              <w:ind w:left="17" w:right="113"/>
              <w:rPr>
                <w:rFonts w:cs="Times New Roman"/>
                <w:sz w:val="19"/>
              </w:rPr>
            </w:pPr>
            <w:r w:rsidRPr="00496F4D">
              <w:rPr>
                <w:rFonts w:cs="Times New Roman"/>
                <w:sz w:val="19"/>
              </w:rPr>
              <w:t>Упаковки, имеющие знаки опасности образца №</w:t>
            </w:r>
            <w:r w:rsidR="00305494">
              <w:rPr>
                <w:rFonts w:cs="Times New Roman"/>
                <w:sz w:val="19"/>
                <w:lang w:val="en-US"/>
              </w:rPr>
              <w:t> </w:t>
            </w:r>
            <w:r w:rsidRPr="00496F4D">
              <w:rPr>
                <w:rFonts w:cs="Times New Roman"/>
                <w:sz w:val="19"/>
              </w:rPr>
              <w:t>1, 1.4, 1.5, 1.6, но относящиеся к различным группам совместимости, могут грузиться совместно в одно и то же транспортное средство только в том случае, если совместная погрузка разрешается согласно нижеследующей таблице для соответствующих групп совместимости: (</w:t>
            </w:r>
            <w:r w:rsidRPr="00496F4D">
              <w:rPr>
                <w:rFonts w:cs="Times New Roman"/>
                <w:i/>
                <w:sz w:val="19"/>
              </w:rPr>
              <w:t>таблица совместной погрузки для групп совместимости класса 1, рис. 3</w:t>
            </w:r>
            <w:r w:rsidRPr="00496F4D">
              <w:rPr>
                <w:rFonts w:cs="Times New Roman"/>
                <w:sz w:val="19"/>
              </w:rPr>
              <w:t>).</w:t>
            </w:r>
          </w:p>
          <w:p w14:paraId="737CAE7C" w14:textId="77777777" w:rsidR="006D067F" w:rsidRPr="00496F4D" w:rsidRDefault="006D067F" w:rsidP="000760FA">
            <w:pPr>
              <w:spacing w:before="120" w:after="120"/>
              <w:ind w:left="17" w:right="113"/>
              <w:rPr>
                <w:rFonts w:cs="Times New Roman"/>
                <w:b/>
                <w:sz w:val="19"/>
              </w:rPr>
            </w:pPr>
            <w:r w:rsidRPr="00496F4D">
              <w:rPr>
                <w:rFonts w:cs="Times New Roman"/>
                <w:b/>
                <w:bCs/>
                <w:sz w:val="19"/>
              </w:rPr>
              <w:t>11 405</w:t>
            </w:r>
          </w:p>
          <w:p w14:paraId="113EC602" w14:textId="77777777" w:rsidR="006D067F" w:rsidRPr="00496F4D" w:rsidRDefault="006D067F" w:rsidP="000760FA">
            <w:pPr>
              <w:spacing w:before="40" w:after="120"/>
              <w:ind w:left="17" w:right="113"/>
              <w:rPr>
                <w:rFonts w:cs="Times New Roman"/>
                <w:sz w:val="19"/>
              </w:rPr>
            </w:pPr>
            <w:r w:rsidRPr="00496F4D">
              <w:rPr>
                <w:rFonts w:cs="Times New Roman"/>
                <w:sz w:val="19"/>
              </w:rPr>
              <w:t>(1) В пределах каждого контейнера применяются запреты на совместную погрузку товаров, установленные в маргинальном номере 11 403.</w:t>
            </w:r>
          </w:p>
          <w:p w14:paraId="303EF10D" w14:textId="77777777" w:rsidR="006D067F" w:rsidRPr="00496F4D" w:rsidRDefault="006D067F" w:rsidP="00041204">
            <w:pPr>
              <w:spacing w:before="40" w:after="120"/>
              <w:ind w:left="17" w:right="113"/>
              <w:rPr>
                <w:rFonts w:cs="Times New Roman"/>
                <w:sz w:val="19"/>
              </w:rPr>
            </w:pPr>
            <w:r w:rsidRPr="00496F4D">
              <w:rPr>
                <w:rFonts w:cs="Times New Roman"/>
                <w:sz w:val="19"/>
              </w:rPr>
              <w:t>(2) Положения маргинального номера</w:t>
            </w:r>
            <w:r w:rsidR="00D863EB" w:rsidRPr="00496F4D">
              <w:rPr>
                <w:rFonts w:cs="Times New Roman"/>
                <w:sz w:val="19"/>
              </w:rPr>
              <w:t> </w:t>
            </w:r>
            <w:r w:rsidRPr="00496F4D">
              <w:rPr>
                <w:rFonts w:cs="Times New Roman"/>
                <w:sz w:val="19"/>
              </w:rPr>
              <w:t>11</w:t>
            </w:r>
            <w:r w:rsidR="00041204" w:rsidRPr="00496F4D">
              <w:rPr>
                <w:rFonts w:cs="Times New Roman"/>
                <w:sz w:val="19"/>
              </w:rPr>
              <w:t> </w:t>
            </w:r>
            <w:r w:rsidRPr="00496F4D">
              <w:rPr>
                <w:rFonts w:cs="Times New Roman"/>
                <w:sz w:val="19"/>
              </w:rPr>
              <w:t>403 применяются в отношении опасных грузов, содержащихся в контейнере, и остальных опасных грузов, погруженных в это же транспортное средство, независимо от того, помещены ли эти остальные грузы в один или несколько контейнеров.</w:t>
            </w:r>
          </w:p>
        </w:tc>
        <w:tc>
          <w:tcPr>
            <w:tcW w:w="3705" w:type="dxa"/>
            <w:tcBorders>
              <w:bottom w:val="single" w:sz="12" w:space="0" w:color="auto"/>
            </w:tcBorders>
            <w:shd w:val="clear" w:color="auto" w:fill="auto"/>
          </w:tcPr>
          <w:p w14:paraId="79B24DA5" w14:textId="77777777" w:rsidR="006D067F" w:rsidRPr="00496F4D" w:rsidRDefault="006D067F" w:rsidP="000760FA">
            <w:pPr>
              <w:spacing w:before="40" w:after="360"/>
              <w:ind w:left="17" w:right="113"/>
              <w:rPr>
                <w:rFonts w:cs="Times New Roman"/>
                <w:sz w:val="19"/>
              </w:rPr>
            </w:pPr>
          </w:p>
          <w:p w14:paraId="4859AF8C" w14:textId="77777777" w:rsidR="006D067F" w:rsidRPr="00496F4D" w:rsidRDefault="006D067F" w:rsidP="000760FA">
            <w:pPr>
              <w:spacing w:before="40" w:after="120"/>
              <w:ind w:left="17" w:right="113"/>
              <w:rPr>
                <w:rFonts w:cs="Times New Roman"/>
                <w:sz w:val="19"/>
              </w:rPr>
            </w:pPr>
            <w:r w:rsidRPr="00496F4D">
              <w:rPr>
                <w:rFonts w:cs="Times New Roman"/>
                <w:b/>
                <w:sz w:val="19"/>
              </w:rPr>
              <w:t>7.5.2.3</w:t>
            </w:r>
            <w:r w:rsidRPr="00496F4D">
              <w:rPr>
                <w:rFonts w:cs="Times New Roman"/>
                <w:sz w:val="19"/>
              </w:rPr>
              <w:t xml:space="preserve"> (первое предложение)</w:t>
            </w:r>
          </w:p>
          <w:p w14:paraId="33B06A66" w14:textId="77777777" w:rsidR="006D067F" w:rsidRPr="00496F4D" w:rsidRDefault="006D067F" w:rsidP="000760FA">
            <w:pPr>
              <w:spacing w:before="40" w:after="120"/>
              <w:ind w:left="17" w:right="113"/>
              <w:rPr>
                <w:rFonts w:cs="Times New Roman"/>
                <w:sz w:val="19"/>
              </w:rPr>
            </w:pPr>
            <w:r w:rsidRPr="00496F4D">
              <w:rPr>
                <w:rFonts w:cs="Times New Roman"/>
                <w:sz w:val="19"/>
              </w:rPr>
              <w:t>Для целей применения запрещений совместной погрузки в одно и то же транспортное средство не учитываются вещества, содержащиеся в закрытых контейнерах со сплошными стенками.</w:t>
            </w:r>
          </w:p>
          <w:p w14:paraId="11EE8B0C" w14:textId="77777777" w:rsidR="00FE319B" w:rsidRPr="00496F4D" w:rsidRDefault="00FE319B" w:rsidP="006C0A58">
            <w:pPr>
              <w:spacing w:before="40" w:after="440"/>
              <w:ind w:left="17" w:right="113"/>
              <w:rPr>
                <w:rFonts w:cs="Times New Roman"/>
                <w:sz w:val="19"/>
              </w:rPr>
            </w:pPr>
          </w:p>
          <w:p w14:paraId="0759037C" w14:textId="77777777" w:rsidR="006D067F" w:rsidRPr="00496F4D" w:rsidRDefault="006D067F" w:rsidP="00AA181F">
            <w:pPr>
              <w:spacing w:before="40" w:after="140"/>
              <w:ind w:left="17" w:right="113"/>
              <w:rPr>
                <w:rFonts w:cs="Times New Roman"/>
                <w:b/>
                <w:sz w:val="19"/>
              </w:rPr>
            </w:pPr>
            <w:r w:rsidRPr="00496F4D">
              <w:rPr>
                <w:rFonts w:cs="Times New Roman"/>
                <w:b/>
                <w:sz w:val="19"/>
              </w:rPr>
              <w:t>7.5.2.1</w:t>
            </w:r>
          </w:p>
          <w:p w14:paraId="7CE76164" w14:textId="77777777" w:rsidR="006D067F" w:rsidRPr="00496F4D" w:rsidRDefault="006D067F" w:rsidP="000760FA">
            <w:pPr>
              <w:spacing w:before="40" w:after="120"/>
              <w:ind w:left="17" w:right="113"/>
              <w:rPr>
                <w:rFonts w:cs="Times New Roman"/>
                <w:sz w:val="19"/>
              </w:rPr>
            </w:pPr>
            <w:r w:rsidRPr="00496F4D">
              <w:rPr>
                <w:rFonts w:cs="Times New Roman"/>
                <w:sz w:val="19"/>
              </w:rPr>
              <w:t>Упаковки с различными знаками опасности не должны грузиться совместно в одно и то же транспортное средство или в один и тот же контейнер, за исключением случаев, когда совместная погрузка разрешается согласно нижеследующей таблице в зависимости от знаков опасности, нанесенных на упаковки.</w:t>
            </w:r>
          </w:p>
          <w:p w14:paraId="5390461E" w14:textId="77777777" w:rsidR="006D067F" w:rsidRPr="00496F4D" w:rsidRDefault="006D067F" w:rsidP="006C0A58">
            <w:pPr>
              <w:spacing w:before="40" w:after="120"/>
              <w:ind w:left="17" w:right="113"/>
              <w:rPr>
                <w:rFonts w:cs="Times New Roman"/>
                <w:sz w:val="19"/>
              </w:rPr>
            </w:pPr>
            <w:r w:rsidRPr="00496F4D">
              <w:rPr>
                <w:rFonts w:cs="Times New Roman"/>
                <w:sz w:val="19"/>
              </w:rPr>
              <w:t>(</w:t>
            </w:r>
            <w:r w:rsidRPr="00496F4D">
              <w:rPr>
                <w:rFonts w:cs="Times New Roman"/>
                <w:i/>
                <w:sz w:val="19"/>
              </w:rPr>
              <w:t>таблица совместной погрузки для всех знаков опасности, рис. 2</w:t>
            </w:r>
            <w:r w:rsidRPr="00496F4D">
              <w:rPr>
                <w:rFonts w:cs="Times New Roman"/>
                <w:sz w:val="19"/>
              </w:rPr>
              <w:t>)</w:t>
            </w:r>
          </w:p>
          <w:p w14:paraId="60DED26D" w14:textId="77777777" w:rsidR="006D067F" w:rsidRPr="00496F4D" w:rsidRDefault="006D067F" w:rsidP="000760FA">
            <w:pPr>
              <w:spacing w:before="40" w:after="120"/>
              <w:ind w:left="17" w:right="113"/>
              <w:rPr>
                <w:rFonts w:cs="Times New Roman"/>
                <w:sz w:val="19"/>
              </w:rPr>
            </w:pPr>
            <w:r w:rsidRPr="00496F4D">
              <w:rPr>
                <w:rFonts w:cs="Times New Roman"/>
                <w:b/>
                <w:sz w:val="19"/>
              </w:rPr>
              <w:t>7.5.2.3</w:t>
            </w:r>
            <w:r w:rsidRPr="00496F4D">
              <w:rPr>
                <w:rFonts w:cs="Times New Roman"/>
                <w:sz w:val="19"/>
              </w:rPr>
              <w:t xml:space="preserve"> (второе предложение)</w:t>
            </w:r>
          </w:p>
          <w:p w14:paraId="5F3B7E28" w14:textId="77777777" w:rsidR="006D067F" w:rsidRPr="00496F4D" w:rsidRDefault="006D067F" w:rsidP="003D3D4B">
            <w:pPr>
              <w:spacing w:before="40" w:after="120"/>
              <w:ind w:left="17" w:right="113"/>
              <w:rPr>
                <w:rFonts w:cs="Times New Roman"/>
                <w:sz w:val="19"/>
              </w:rPr>
            </w:pPr>
            <w:r w:rsidRPr="00496F4D">
              <w:rPr>
                <w:rFonts w:cs="Times New Roman"/>
                <w:sz w:val="19"/>
              </w:rPr>
              <w:t>Однако предусмотренные в пункте</w:t>
            </w:r>
            <w:r w:rsidR="003D3D4B" w:rsidRPr="00496F4D">
              <w:rPr>
                <w:rFonts w:cs="Times New Roman"/>
                <w:sz w:val="19"/>
              </w:rPr>
              <w:t> </w:t>
            </w:r>
            <w:r w:rsidRPr="00496F4D">
              <w:rPr>
                <w:rFonts w:cs="Times New Roman"/>
                <w:sz w:val="19"/>
              </w:rPr>
              <w:t>7.5.2.1 запрещения погрузки упаковок, имеющих знаки опасности образца № 1, 1.4, 1.5 или 1.6, совместно с другими упаковками и предусмотренные в пункте</w:t>
            </w:r>
            <w:r w:rsidR="00D863EB" w:rsidRPr="00496F4D">
              <w:rPr>
                <w:rFonts w:cs="Times New Roman"/>
                <w:sz w:val="19"/>
              </w:rPr>
              <w:t> </w:t>
            </w:r>
            <w:r w:rsidRPr="00496F4D">
              <w:rPr>
                <w:rFonts w:cs="Times New Roman"/>
                <w:sz w:val="19"/>
              </w:rPr>
              <w:t>7.5.2.2 запрещения совместной погрузки взрывчатых веществ и изделий, относящихся к различным группам совместимости, применяются также в отношении опасных грузов, содержащихся в контейнере, и остальных опасных грузов, погруженных в это же транспортное средство, независимо от того, помещены ли эти остальные грузы в один или несколько других контейнеров.</w:t>
            </w:r>
          </w:p>
        </w:tc>
      </w:tr>
    </w:tbl>
    <w:p w14:paraId="7212A4EC" w14:textId="77777777" w:rsidR="006D067F" w:rsidRPr="002B253E" w:rsidRDefault="006D067F" w:rsidP="006D067F">
      <w:pPr>
        <w:pStyle w:val="HChG"/>
      </w:pPr>
      <w:bookmarkStart w:id="0" w:name="_GoBack"/>
      <w:bookmarkEnd w:id="0"/>
      <w:r w:rsidRPr="002B253E">
        <w:lastRenderedPageBreak/>
        <w:tab/>
      </w:r>
      <w:r w:rsidRPr="002B253E">
        <w:tab/>
      </w:r>
      <w:r w:rsidRPr="002B253E">
        <w:rPr>
          <w:bCs/>
        </w:rPr>
        <w:t>Проблема</w:t>
      </w:r>
    </w:p>
    <w:p w14:paraId="504DD790" w14:textId="77777777" w:rsidR="006D067F" w:rsidRPr="002B253E" w:rsidRDefault="006D067F" w:rsidP="006D067F">
      <w:pPr>
        <w:pStyle w:val="SingleTxtG"/>
      </w:pPr>
      <w:r w:rsidRPr="002B253E">
        <w:t>5.</w:t>
      </w:r>
      <w:r w:rsidRPr="002B253E">
        <w:tab/>
        <w:t>Исключения, перечисленные во втором предложении, относятся ко всем видам запретов на совместную погрузку в пункте 7.5.2. В этом виде пункт 7.5.2.3 непригоден для любых случаев.</w:t>
      </w:r>
    </w:p>
    <w:p w14:paraId="55538375" w14:textId="77777777" w:rsidR="006D067F" w:rsidRPr="002B253E" w:rsidRDefault="006D067F" w:rsidP="006D067F">
      <w:pPr>
        <w:pStyle w:val="HChG"/>
      </w:pPr>
      <w:r w:rsidRPr="002B253E">
        <w:tab/>
      </w:r>
      <w:r w:rsidRPr="002B253E">
        <w:tab/>
      </w:r>
      <w:r w:rsidRPr="002B253E">
        <w:rPr>
          <w:bCs/>
        </w:rPr>
        <w:t>Предложение 1</w:t>
      </w:r>
    </w:p>
    <w:p w14:paraId="7FE6F8AA" w14:textId="77777777" w:rsidR="006D067F" w:rsidRPr="002B253E" w:rsidRDefault="006D067F" w:rsidP="006D067F">
      <w:pPr>
        <w:pStyle w:val="SingleTxtG"/>
      </w:pPr>
      <w:r w:rsidRPr="002B253E">
        <w:t>6.</w:t>
      </w:r>
      <w:r w:rsidRPr="002B253E">
        <w:tab/>
        <w:t>В случае всех материалов и веществ, в отношении которых в соответствии с пунктом 7.5.2 запрещена совместная погрузка в одно транспортное средство, независимо от того, помещены ли эти грузы в отдельные контейнеры или перевозятся без контейнеров, пункт 7.5.2.3 следует исключить полностью.</w:t>
      </w:r>
    </w:p>
    <w:p w14:paraId="5ADE97CE" w14:textId="77777777" w:rsidR="006D067F" w:rsidRPr="002B253E" w:rsidRDefault="006D067F" w:rsidP="006D067F">
      <w:pPr>
        <w:pStyle w:val="HChG"/>
      </w:pPr>
      <w:r w:rsidRPr="002B253E">
        <w:tab/>
      </w:r>
      <w:r w:rsidRPr="002B253E">
        <w:tab/>
      </w:r>
      <w:r w:rsidRPr="002B253E">
        <w:rPr>
          <w:bCs/>
        </w:rPr>
        <w:t>Предложение 2</w:t>
      </w:r>
    </w:p>
    <w:p w14:paraId="28729207" w14:textId="77777777" w:rsidR="006D067F" w:rsidRPr="002B253E" w:rsidRDefault="006D067F" w:rsidP="006D067F">
      <w:pPr>
        <w:pStyle w:val="SingleTxtG"/>
      </w:pPr>
      <w:r w:rsidRPr="002B253E">
        <w:t>7.</w:t>
      </w:r>
      <w:r w:rsidRPr="002B253E">
        <w:tab/>
        <w:t>В случае материалов и веществ, которым назначены знаки опасности образца</w:t>
      </w:r>
      <w:r w:rsidR="005A65C0">
        <w:t> </w:t>
      </w:r>
      <w:r w:rsidRPr="002B253E">
        <w:t>№</w:t>
      </w:r>
      <w:r w:rsidR="005A65C0">
        <w:t> </w:t>
      </w:r>
      <w:r w:rsidRPr="002B253E">
        <w:t xml:space="preserve">4.1+1 или 5.2+1, и других упаковок, содержащих опасные грузы, и которые разрешается погружать на одно транспортное средство в закрытых контейнерах, второе предложение пункта 7.5.2.3 следует изменить следующим образом (новый текст </w:t>
      </w:r>
      <w:r w:rsidRPr="002B253E">
        <w:rPr>
          <w:u w:val="single"/>
        </w:rPr>
        <w:t>подчеркнут</w:t>
      </w:r>
      <w:r w:rsidRPr="002B253E">
        <w:t xml:space="preserve">, исключенный текст </w:t>
      </w:r>
      <w:r w:rsidRPr="002B253E">
        <w:rPr>
          <w:strike/>
        </w:rPr>
        <w:t>вычеркнут</w:t>
      </w:r>
      <w:r w:rsidRPr="002B253E">
        <w:t>).</w:t>
      </w:r>
    </w:p>
    <w:p w14:paraId="4E58E85D" w14:textId="77777777" w:rsidR="006D067F" w:rsidRPr="002B253E" w:rsidRDefault="006D067F" w:rsidP="006D067F">
      <w:pPr>
        <w:pStyle w:val="H1G"/>
      </w:pPr>
      <w:r w:rsidRPr="002B253E">
        <w:tab/>
      </w:r>
      <w:r w:rsidRPr="002B253E">
        <w:tab/>
      </w:r>
      <w:r w:rsidRPr="002B253E">
        <w:rPr>
          <w:bCs/>
        </w:rPr>
        <w:t>Вариант 1</w:t>
      </w:r>
    </w:p>
    <w:p w14:paraId="43D71F1D" w14:textId="77777777" w:rsidR="006D067F" w:rsidRPr="002B253E" w:rsidRDefault="00A064A6" w:rsidP="006D067F">
      <w:pPr>
        <w:pStyle w:val="SingleTxtG"/>
      </w:pPr>
      <w:r>
        <w:tab/>
      </w:r>
      <w:r w:rsidR="006D067F">
        <w:t>«</w:t>
      </w:r>
      <w:r w:rsidR="006D067F" w:rsidRPr="002B253E">
        <w:t xml:space="preserve">Однако предусмотренные в пункте 7.5.2.1 </w:t>
      </w:r>
      <w:r w:rsidR="006D067F" w:rsidRPr="002B253E">
        <w:rPr>
          <w:u w:val="single"/>
        </w:rPr>
        <w:t xml:space="preserve">и 7.5.2.2 </w:t>
      </w:r>
      <w:r w:rsidR="006D067F" w:rsidRPr="002B253E">
        <w:t xml:space="preserve">запрещения погрузки упаковок </w:t>
      </w:r>
      <w:r w:rsidR="006D067F" w:rsidRPr="00C33A2A">
        <w:rPr>
          <w:color w:val="000000" w:themeColor="text1"/>
          <w:u w:val="single"/>
        </w:rPr>
        <w:t>с</w:t>
      </w:r>
      <w:r w:rsidR="00C33A2A">
        <w:rPr>
          <w:color w:val="000000" w:themeColor="text1"/>
          <w:u w:val="single"/>
        </w:rPr>
        <w:t> </w:t>
      </w:r>
      <w:r w:rsidR="006D067F" w:rsidRPr="00C33A2A">
        <w:rPr>
          <w:color w:val="000000" w:themeColor="text1"/>
          <w:u w:val="single"/>
        </w:rPr>
        <w:t>взрывчатыми веществами и изделиями класса 1</w:t>
      </w:r>
      <w:r w:rsidR="006D067F" w:rsidRPr="00C33A2A">
        <w:rPr>
          <w:color w:val="000000" w:themeColor="text1"/>
        </w:rPr>
        <w:t xml:space="preserve"> </w:t>
      </w:r>
      <w:r w:rsidR="006D067F" w:rsidRPr="002B253E">
        <w:rPr>
          <w:strike/>
        </w:rPr>
        <w:t>, имеющих знаки опасности образца</w:t>
      </w:r>
      <w:r w:rsidR="00C33A2A">
        <w:rPr>
          <w:strike/>
        </w:rPr>
        <w:t> </w:t>
      </w:r>
      <w:r w:rsidR="006D067F" w:rsidRPr="002B253E">
        <w:rPr>
          <w:strike/>
        </w:rPr>
        <w:t>№</w:t>
      </w:r>
      <w:r w:rsidR="00C33A2A">
        <w:rPr>
          <w:strike/>
        </w:rPr>
        <w:t> </w:t>
      </w:r>
      <w:r w:rsidR="006D067F" w:rsidRPr="002B253E">
        <w:rPr>
          <w:strike/>
        </w:rPr>
        <w:t xml:space="preserve">1, 1.4, 1.5 или 1.6, совместно с другими упаковками и предусмотренные в пункте 7.5.2.2 запрещения совместной погрузки взрывчатых веществ и изделий, относящихся к различным группам совместимости, </w:t>
      </w:r>
      <w:r w:rsidR="006D067F" w:rsidRPr="002B253E">
        <w:t>применяются также в отношении опасных грузов, содержащихся в контейнере, и остальных опасных грузов, погруженных в это же транспортное средство, независимо от того, помещены ли эти остальные грузы в один или несколько других контейнеров.</w:t>
      </w:r>
      <w:r w:rsidR="006D067F">
        <w:t>»</w:t>
      </w:r>
    </w:p>
    <w:p w14:paraId="2ED16185" w14:textId="77777777" w:rsidR="006D067F" w:rsidRPr="002B253E" w:rsidRDefault="006D067F" w:rsidP="006D067F">
      <w:pPr>
        <w:pStyle w:val="H1G"/>
      </w:pPr>
      <w:r w:rsidRPr="002B253E">
        <w:tab/>
      </w:r>
      <w:r w:rsidRPr="002B253E">
        <w:tab/>
      </w:r>
      <w:r w:rsidRPr="002B253E">
        <w:rPr>
          <w:bCs/>
        </w:rPr>
        <w:t>Вариант 2</w:t>
      </w:r>
    </w:p>
    <w:p w14:paraId="3196F7D2" w14:textId="77777777" w:rsidR="005A65C0" w:rsidRDefault="00B03C2C" w:rsidP="006D067F">
      <w:pPr>
        <w:pStyle w:val="SingleTxtG"/>
      </w:pPr>
      <w:r>
        <w:rPr>
          <w:u w:val="single"/>
        </w:rPr>
        <w:tab/>
      </w:r>
      <w:r w:rsidR="006D067F">
        <w:rPr>
          <w:u w:val="single"/>
        </w:rPr>
        <w:t>«</w:t>
      </w:r>
      <w:r w:rsidR="006D067F" w:rsidRPr="002B253E">
        <w:rPr>
          <w:u w:val="single"/>
        </w:rPr>
        <w:t>Только в отношении взрывчатых веществ и изделий класса 1</w:t>
      </w:r>
      <w:r w:rsidR="006D067F" w:rsidRPr="002B253E">
        <w:t xml:space="preserve"> </w:t>
      </w:r>
      <w:r w:rsidR="006D067F" w:rsidRPr="002B253E">
        <w:rPr>
          <w:strike/>
        </w:rPr>
        <w:t>Однако предусмотренные в пункте 7.5.2.1</w:t>
      </w:r>
      <w:r w:rsidR="006D067F" w:rsidRPr="002B253E">
        <w:t xml:space="preserve"> запрещения погрузки упаковок</w:t>
      </w:r>
      <w:r w:rsidR="006D067F" w:rsidRPr="002B253E">
        <w:rPr>
          <w:strike/>
        </w:rPr>
        <w:t>, имеющих знаки опасности образца № 1, 1.4, 1.5 или 1.6, совместно с другими упаковками и предусмотренные в пункте 7.5.2.2 запрещения совместной погрузки взрывчатых веществ и изделий, относящихся к различным группам совместимости,</w:t>
      </w:r>
      <w:r w:rsidR="006D067F" w:rsidRPr="002B253E">
        <w:t xml:space="preserve"> применяются также в отношении опасных грузов, содержащихся в контейнере, и остальных опасных грузов, погруженных в это же транспортное средство, независимо от того, помещены ли эти остальные грузы в один или несколько других контейнеров</w:t>
      </w:r>
      <w:r w:rsidR="006D067F">
        <w:t>.»</w:t>
      </w:r>
    </w:p>
    <w:p w14:paraId="07ADF83A" w14:textId="77777777" w:rsidR="005A65C0" w:rsidRDefault="005A65C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81880BE" w14:textId="77777777" w:rsidR="006D067F" w:rsidRPr="002B253E" w:rsidRDefault="006D067F" w:rsidP="005A65C0">
      <w:pPr>
        <w:pStyle w:val="H23G"/>
      </w:pPr>
      <w:r w:rsidRPr="002B253E">
        <w:lastRenderedPageBreak/>
        <w:tab/>
      </w:r>
      <w:r w:rsidRPr="002B253E">
        <w:tab/>
        <w:t>Рис. 1</w:t>
      </w:r>
    </w:p>
    <w:p w14:paraId="1F0FD14B" w14:textId="77777777" w:rsidR="006D067F" w:rsidRPr="002B253E" w:rsidRDefault="006D067F" w:rsidP="006D067F">
      <w:pPr>
        <w:jc w:val="both"/>
        <w:rPr>
          <w:sz w:val="24"/>
          <w:szCs w:val="24"/>
        </w:rPr>
      </w:pPr>
    </w:p>
    <w:p w14:paraId="3CDCDCAC" w14:textId="77777777" w:rsidR="006D067F" w:rsidRPr="002B253E" w:rsidRDefault="006D067F" w:rsidP="006D067F">
      <w:pPr>
        <w:jc w:val="both"/>
        <w:rPr>
          <w:sz w:val="24"/>
          <w:szCs w:val="24"/>
        </w:rPr>
      </w:pPr>
    </w:p>
    <w:p w14:paraId="000A95B2" w14:textId="77777777" w:rsidR="006D067F" w:rsidRPr="002B253E" w:rsidRDefault="006D067F" w:rsidP="006D067F">
      <w:pPr>
        <w:jc w:val="center"/>
        <w:rPr>
          <w:sz w:val="24"/>
          <w:szCs w:val="24"/>
        </w:rPr>
      </w:pPr>
      <w:r w:rsidRPr="002B253E">
        <w:rPr>
          <w:noProof/>
          <w:sz w:val="24"/>
          <w:szCs w:val="24"/>
          <w:lang w:eastAsia="ru-RU"/>
        </w:rPr>
        <w:drawing>
          <wp:inline distT="0" distB="0" distL="0" distR="0" wp14:anchorId="62DAA770" wp14:editId="7956534B">
            <wp:extent cx="5760720" cy="2051050"/>
            <wp:effectExtent l="0" t="0" r="0" b="6350"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ler_2 contain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D6DA9" w14:textId="77777777" w:rsidR="006D067F" w:rsidRPr="002B253E" w:rsidRDefault="006D067F" w:rsidP="006D067F">
      <w:pPr>
        <w:jc w:val="both"/>
        <w:rPr>
          <w:b/>
          <w:bCs/>
          <w:sz w:val="24"/>
          <w:szCs w:val="24"/>
        </w:rPr>
      </w:pPr>
    </w:p>
    <w:p w14:paraId="5104B560" w14:textId="77777777" w:rsidR="006D067F" w:rsidRPr="002B253E" w:rsidRDefault="006D067F" w:rsidP="005A65C0">
      <w:pPr>
        <w:pStyle w:val="H23G"/>
      </w:pPr>
      <w:r w:rsidRPr="002B253E">
        <w:tab/>
        <w:t>Рис. 2: Таблица в пункте 7.5.2.1</w:t>
      </w:r>
    </w:p>
    <w:tbl>
      <w:tblPr>
        <w:tblW w:w="0" w:type="auto"/>
        <w:tblInd w:w="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1276"/>
        <w:gridCol w:w="464"/>
        <w:gridCol w:w="465"/>
        <w:gridCol w:w="464"/>
        <w:gridCol w:w="465"/>
        <w:gridCol w:w="465"/>
        <w:gridCol w:w="464"/>
        <w:gridCol w:w="465"/>
        <w:gridCol w:w="464"/>
        <w:gridCol w:w="465"/>
        <w:gridCol w:w="465"/>
        <w:gridCol w:w="464"/>
        <w:gridCol w:w="465"/>
        <w:gridCol w:w="464"/>
        <w:gridCol w:w="465"/>
        <w:gridCol w:w="465"/>
        <w:gridCol w:w="464"/>
        <w:gridCol w:w="465"/>
        <w:gridCol w:w="465"/>
      </w:tblGrid>
      <w:tr w:rsidR="006D067F" w:rsidRPr="002B253E" w14:paraId="6E15D246" w14:textId="77777777" w:rsidTr="00D6383C">
        <w:trPr>
          <w:cantSplit/>
        </w:trPr>
        <w:tc>
          <w:tcPr>
            <w:tcW w:w="1276" w:type="dxa"/>
          </w:tcPr>
          <w:p w14:paraId="3CAF0834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</w:rPr>
              <w:t>Знаки опасности образца №</w:t>
            </w:r>
          </w:p>
        </w:tc>
        <w:tc>
          <w:tcPr>
            <w:tcW w:w="464" w:type="dxa"/>
          </w:tcPr>
          <w:p w14:paraId="21DA950D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</w:rPr>
              <w:t>1</w:t>
            </w:r>
          </w:p>
        </w:tc>
        <w:tc>
          <w:tcPr>
            <w:tcW w:w="465" w:type="dxa"/>
          </w:tcPr>
          <w:p w14:paraId="5994C540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</w:rPr>
              <w:t>1.4</w:t>
            </w:r>
          </w:p>
        </w:tc>
        <w:tc>
          <w:tcPr>
            <w:tcW w:w="464" w:type="dxa"/>
          </w:tcPr>
          <w:p w14:paraId="3B600490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</w:rPr>
              <w:t>1.5</w:t>
            </w:r>
          </w:p>
        </w:tc>
        <w:tc>
          <w:tcPr>
            <w:tcW w:w="465" w:type="dxa"/>
          </w:tcPr>
          <w:p w14:paraId="6D9BD9C2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</w:rPr>
              <w:t>1.6</w:t>
            </w:r>
          </w:p>
        </w:tc>
        <w:tc>
          <w:tcPr>
            <w:tcW w:w="465" w:type="dxa"/>
          </w:tcPr>
          <w:p w14:paraId="0EFDD254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</w:rPr>
              <w:t>2.1,</w:t>
            </w:r>
          </w:p>
          <w:p w14:paraId="3A7A94E4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</w:rPr>
              <w:t>2.2,</w:t>
            </w:r>
          </w:p>
          <w:p w14:paraId="0BAEC766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</w:rPr>
              <w:t>2.3</w:t>
            </w:r>
          </w:p>
        </w:tc>
        <w:tc>
          <w:tcPr>
            <w:tcW w:w="464" w:type="dxa"/>
          </w:tcPr>
          <w:p w14:paraId="4B243BFE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</w:rPr>
              <w:t>3</w:t>
            </w:r>
          </w:p>
        </w:tc>
        <w:tc>
          <w:tcPr>
            <w:tcW w:w="465" w:type="dxa"/>
          </w:tcPr>
          <w:p w14:paraId="481E51FE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</w:rPr>
              <w:t>4.1</w:t>
            </w:r>
          </w:p>
        </w:tc>
        <w:tc>
          <w:tcPr>
            <w:tcW w:w="464" w:type="dxa"/>
          </w:tcPr>
          <w:p w14:paraId="4E3C6B7E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</w:rPr>
              <w:t>4.1</w:t>
            </w:r>
          </w:p>
          <w:p w14:paraId="7EF4A207" w14:textId="77777777" w:rsidR="006D067F" w:rsidRPr="002B253E" w:rsidRDefault="006D067F" w:rsidP="006F7F17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</w:rPr>
              <w:t>+</w:t>
            </w:r>
            <w:r w:rsidR="006F7F17">
              <w:rPr>
                <w:b/>
                <w:bCs/>
              </w:rPr>
              <w:t xml:space="preserve"> </w:t>
            </w:r>
            <w:r w:rsidRPr="002B253E">
              <w:rPr>
                <w:b/>
                <w:bCs/>
              </w:rPr>
              <w:t>l</w:t>
            </w:r>
          </w:p>
        </w:tc>
        <w:tc>
          <w:tcPr>
            <w:tcW w:w="465" w:type="dxa"/>
          </w:tcPr>
          <w:p w14:paraId="09F8DDE8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</w:rPr>
              <w:t>4.2</w:t>
            </w:r>
          </w:p>
        </w:tc>
        <w:tc>
          <w:tcPr>
            <w:tcW w:w="465" w:type="dxa"/>
          </w:tcPr>
          <w:p w14:paraId="2B65CE65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</w:rPr>
              <w:t>4.3</w:t>
            </w:r>
          </w:p>
        </w:tc>
        <w:tc>
          <w:tcPr>
            <w:tcW w:w="464" w:type="dxa"/>
          </w:tcPr>
          <w:p w14:paraId="7BABCC9C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</w:rPr>
              <w:t>5.1</w:t>
            </w:r>
          </w:p>
        </w:tc>
        <w:tc>
          <w:tcPr>
            <w:tcW w:w="465" w:type="dxa"/>
          </w:tcPr>
          <w:p w14:paraId="08D5674C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</w:rPr>
              <w:t>5.2</w:t>
            </w:r>
          </w:p>
        </w:tc>
        <w:tc>
          <w:tcPr>
            <w:tcW w:w="464" w:type="dxa"/>
          </w:tcPr>
          <w:p w14:paraId="7DE8945D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</w:rPr>
              <w:t>5.2</w:t>
            </w:r>
          </w:p>
          <w:p w14:paraId="5E90B81B" w14:textId="77777777" w:rsidR="006D067F" w:rsidRPr="002B253E" w:rsidRDefault="006D067F" w:rsidP="006F7F17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</w:rPr>
              <w:t>+</w:t>
            </w:r>
            <w:r w:rsidR="006F7F17">
              <w:rPr>
                <w:b/>
                <w:bCs/>
              </w:rPr>
              <w:t xml:space="preserve"> </w:t>
            </w:r>
            <w:r w:rsidRPr="002B253E">
              <w:rPr>
                <w:b/>
                <w:bCs/>
              </w:rPr>
              <w:t>1</w:t>
            </w:r>
          </w:p>
        </w:tc>
        <w:tc>
          <w:tcPr>
            <w:tcW w:w="465" w:type="dxa"/>
          </w:tcPr>
          <w:p w14:paraId="70F3DB9E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</w:rPr>
              <w:t>6.1</w:t>
            </w:r>
          </w:p>
        </w:tc>
        <w:tc>
          <w:tcPr>
            <w:tcW w:w="465" w:type="dxa"/>
          </w:tcPr>
          <w:p w14:paraId="563D273F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</w:rPr>
              <w:t>6.2</w:t>
            </w:r>
          </w:p>
        </w:tc>
        <w:tc>
          <w:tcPr>
            <w:tcW w:w="464" w:type="dxa"/>
          </w:tcPr>
          <w:p w14:paraId="031776A1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</w:rPr>
              <w:t>7 A, B, C</w:t>
            </w:r>
          </w:p>
        </w:tc>
        <w:tc>
          <w:tcPr>
            <w:tcW w:w="465" w:type="dxa"/>
          </w:tcPr>
          <w:p w14:paraId="362EB0B1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</w:rPr>
              <w:t>8</w:t>
            </w:r>
          </w:p>
        </w:tc>
        <w:tc>
          <w:tcPr>
            <w:tcW w:w="465" w:type="dxa"/>
          </w:tcPr>
          <w:p w14:paraId="383D449B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</w:rPr>
              <w:t>9,</w:t>
            </w:r>
          </w:p>
          <w:p w14:paraId="217DB1AC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</w:rPr>
              <w:t>9A</w:t>
            </w:r>
          </w:p>
        </w:tc>
      </w:tr>
      <w:tr w:rsidR="006D067F" w:rsidRPr="002B253E" w14:paraId="1B731CCE" w14:textId="77777777" w:rsidTr="00D6383C">
        <w:trPr>
          <w:cantSplit/>
          <w:trHeight w:val="300"/>
        </w:trPr>
        <w:tc>
          <w:tcPr>
            <w:tcW w:w="1276" w:type="dxa"/>
          </w:tcPr>
          <w:p w14:paraId="5630A983" w14:textId="77777777" w:rsidR="006D067F" w:rsidRPr="00ED1DAF" w:rsidRDefault="006D067F" w:rsidP="00D6383C">
            <w:pPr>
              <w:keepNext/>
              <w:rPr>
                <w:b/>
              </w:rPr>
            </w:pPr>
            <w:r w:rsidRPr="00ED1DAF">
              <w:rPr>
                <w:b/>
                <w:bCs/>
              </w:rPr>
              <w:t>1</w:t>
            </w:r>
          </w:p>
        </w:tc>
        <w:tc>
          <w:tcPr>
            <w:tcW w:w="1858" w:type="dxa"/>
            <w:gridSpan w:val="4"/>
            <w:vMerge w:val="restart"/>
            <w:vAlign w:val="center"/>
          </w:tcPr>
          <w:p w14:paraId="23E3D797" w14:textId="77777777" w:rsidR="006D067F" w:rsidRPr="002B253E" w:rsidRDefault="006D067F" w:rsidP="00D6383C">
            <w:pPr>
              <w:keepNext/>
              <w:jc w:val="center"/>
            </w:pPr>
            <w:r w:rsidRPr="002B253E">
              <w:t>См. пункт 7.5.2.2</w:t>
            </w:r>
          </w:p>
        </w:tc>
        <w:tc>
          <w:tcPr>
            <w:tcW w:w="465" w:type="dxa"/>
          </w:tcPr>
          <w:p w14:paraId="76D27CE4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4" w:type="dxa"/>
          </w:tcPr>
          <w:p w14:paraId="040E2A26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2E7395E6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4" w:type="dxa"/>
          </w:tcPr>
          <w:p w14:paraId="234A64D5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780B15C5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5C4F10F7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4" w:type="dxa"/>
          </w:tcPr>
          <w:p w14:paraId="604AAADF" w14:textId="77777777" w:rsidR="006D067F" w:rsidRPr="002B253E" w:rsidRDefault="006D067F" w:rsidP="00D6383C">
            <w:pPr>
              <w:keepNext/>
              <w:jc w:val="center"/>
            </w:pPr>
            <w:r w:rsidRPr="002B253E">
              <w:rPr>
                <w:b/>
                <w:bCs/>
                <w:vertAlign w:val="superscript"/>
              </w:rPr>
              <w:t>d</w:t>
            </w:r>
          </w:p>
        </w:tc>
        <w:tc>
          <w:tcPr>
            <w:tcW w:w="465" w:type="dxa"/>
          </w:tcPr>
          <w:p w14:paraId="2B8A105E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4" w:type="dxa"/>
          </w:tcPr>
          <w:p w14:paraId="6AA2BA71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7FD76826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05C3779D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4" w:type="dxa"/>
          </w:tcPr>
          <w:p w14:paraId="36D0749D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761675D0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56B2910A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b</w:t>
            </w:r>
            <w:r w:rsidRPr="002B253E">
              <w:t xml:space="preserve"> </w:t>
            </w:r>
          </w:p>
        </w:tc>
      </w:tr>
      <w:tr w:rsidR="006D067F" w:rsidRPr="002B253E" w14:paraId="5A6AC53B" w14:textId="77777777" w:rsidTr="00D6383C">
        <w:trPr>
          <w:cantSplit/>
          <w:trHeight w:val="369"/>
        </w:trPr>
        <w:tc>
          <w:tcPr>
            <w:tcW w:w="1276" w:type="dxa"/>
          </w:tcPr>
          <w:p w14:paraId="2A24BB17" w14:textId="77777777" w:rsidR="006D067F" w:rsidRPr="00ED1DAF" w:rsidRDefault="006D067F" w:rsidP="00D6383C">
            <w:pPr>
              <w:keepNext/>
              <w:rPr>
                <w:b/>
              </w:rPr>
            </w:pPr>
            <w:r w:rsidRPr="00ED1DAF">
              <w:rPr>
                <w:b/>
              </w:rPr>
              <w:t>1.4</w:t>
            </w:r>
          </w:p>
        </w:tc>
        <w:tc>
          <w:tcPr>
            <w:tcW w:w="1858" w:type="dxa"/>
            <w:gridSpan w:val="4"/>
            <w:vMerge/>
          </w:tcPr>
          <w:p w14:paraId="5E2A3A4B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150B4064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а</w:t>
            </w:r>
            <w:r w:rsidRPr="002B253E">
              <w:t xml:space="preserve"> </w:t>
            </w:r>
          </w:p>
        </w:tc>
        <w:tc>
          <w:tcPr>
            <w:tcW w:w="464" w:type="dxa"/>
          </w:tcPr>
          <w:p w14:paraId="6BB1FA71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a</w:t>
            </w:r>
            <w:r w:rsidRPr="002B253E">
              <w:t xml:space="preserve"> </w:t>
            </w:r>
          </w:p>
        </w:tc>
        <w:tc>
          <w:tcPr>
            <w:tcW w:w="465" w:type="dxa"/>
          </w:tcPr>
          <w:p w14:paraId="25E1B125" w14:textId="77777777" w:rsidR="006D067F" w:rsidRPr="002B253E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  <w:r w:rsidRPr="002B253E">
              <w:rPr>
                <w:b/>
                <w:bCs/>
                <w:vertAlign w:val="superscript"/>
              </w:rPr>
              <w:t>a</w:t>
            </w:r>
            <w:r w:rsidRPr="002B253E">
              <w:t xml:space="preserve"> </w:t>
            </w:r>
          </w:p>
        </w:tc>
        <w:tc>
          <w:tcPr>
            <w:tcW w:w="464" w:type="dxa"/>
          </w:tcPr>
          <w:p w14:paraId="5E55A817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</w:p>
        </w:tc>
        <w:tc>
          <w:tcPr>
            <w:tcW w:w="465" w:type="dxa"/>
          </w:tcPr>
          <w:p w14:paraId="171E576B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a</w:t>
            </w:r>
            <w:r w:rsidRPr="002B253E">
              <w:t xml:space="preserve"> </w:t>
            </w:r>
          </w:p>
        </w:tc>
        <w:tc>
          <w:tcPr>
            <w:tcW w:w="465" w:type="dxa"/>
          </w:tcPr>
          <w:p w14:paraId="020C6E47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a</w:t>
            </w:r>
            <w:r w:rsidRPr="002B253E">
              <w:t xml:space="preserve"> </w:t>
            </w:r>
          </w:p>
        </w:tc>
        <w:tc>
          <w:tcPr>
            <w:tcW w:w="464" w:type="dxa"/>
          </w:tcPr>
          <w:p w14:paraId="31EF5B6E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a</w:t>
            </w:r>
            <w:r w:rsidRPr="002B253E">
              <w:t xml:space="preserve"> </w:t>
            </w:r>
          </w:p>
        </w:tc>
        <w:tc>
          <w:tcPr>
            <w:tcW w:w="465" w:type="dxa"/>
          </w:tcPr>
          <w:p w14:paraId="4693694C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a</w:t>
            </w:r>
            <w:r w:rsidRPr="002B253E">
              <w:t xml:space="preserve"> </w:t>
            </w:r>
          </w:p>
        </w:tc>
        <w:tc>
          <w:tcPr>
            <w:tcW w:w="464" w:type="dxa"/>
          </w:tcPr>
          <w:p w14:paraId="203B6D64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</w:p>
        </w:tc>
        <w:tc>
          <w:tcPr>
            <w:tcW w:w="465" w:type="dxa"/>
          </w:tcPr>
          <w:p w14:paraId="22E05492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a</w:t>
            </w:r>
            <w:r w:rsidRPr="002B253E">
              <w:t xml:space="preserve"> </w:t>
            </w:r>
          </w:p>
        </w:tc>
        <w:tc>
          <w:tcPr>
            <w:tcW w:w="465" w:type="dxa"/>
          </w:tcPr>
          <w:p w14:paraId="13192435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a</w:t>
            </w:r>
            <w:r w:rsidRPr="002B253E">
              <w:t xml:space="preserve"> </w:t>
            </w:r>
          </w:p>
        </w:tc>
        <w:tc>
          <w:tcPr>
            <w:tcW w:w="464" w:type="dxa"/>
          </w:tcPr>
          <w:p w14:paraId="468EBD73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a</w:t>
            </w:r>
            <w:r w:rsidRPr="002B253E">
              <w:t xml:space="preserve"> </w:t>
            </w:r>
          </w:p>
        </w:tc>
        <w:tc>
          <w:tcPr>
            <w:tcW w:w="465" w:type="dxa"/>
          </w:tcPr>
          <w:p w14:paraId="6D06C775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a</w:t>
            </w:r>
            <w:r w:rsidRPr="002B253E">
              <w:t xml:space="preserve"> </w:t>
            </w:r>
          </w:p>
        </w:tc>
        <w:tc>
          <w:tcPr>
            <w:tcW w:w="465" w:type="dxa"/>
          </w:tcPr>
          <w:p w14:paraId="381EB5D0" w14:textId="77777777" w:rsidR="006D067F" w:rsidRPr="002B253E" w:rsidRDefault="006D067F" w:rsidP="00D6383C">
            <w:pPr>
              <w:keepNext/>
              <w:jc w:val="center"/>
              <w:rPr>
                <w:b/>
                <w:u w:val="single"/>
              </w:rPr>
            </w:pPr>
            <w:r w:rsidRPr="002B253E">
              <w:rPr>
                <w:b/>
                <w:bCs/>
                <w:vertAlign w:val="superscript"/>
              </w:rPr>
              <w:t>a</w:t>
            </w:r>
            <w:r w:rsidRPr="002B253E">
              <w:t xml:space="preserve"> </w:t>
            </w:r>
          </w:p>
          <w:p w14:paraId="0D31AC08" w14:textId="77777777" w:rsidR="006D067F" w:rsidRPr="002B253E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  <w:r w:rsidRPr="002B253E">
              <w:rPr>
                <w:b/>
                <w:bCs/>
                <w:vertAlign w:val="superscript"/>
              </w:rPr>
              <w:t>b</w:t>
            </w:r>
            <w:r w:rsidRPr="002B253E">
              <w:t xml:space="preserve"> </w:t>
            </w:r>
          </w:p>
          <w:p w14:paraId="45A15C9D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c</w:t>
            </w:r>
          </w:p>
        </w:tc>
      </w:tr>
      <w:tr w:rsidR="006D067F" w:rsidRPr="002B253E" w14:paraId="675D928F" w14:textId="77777777" w:rsidTr="00D6383C">
        <w:trPr>
          <w:cantSplit/>
          <w:trHeight w:val="300"/>
        </w:trPr>
        <w:tc>
          <w:tcPr>
            <w:tcW w:w="1276" w:type="dxa"/>
          </w:tcPr>
          <w:p w14:paraId="4D1D4C3D" w14:textId="77777777" w:rsidR="006D067F" w:rsidRPr="00ED1DAF" w:rsidRDefault="006D067F" w:rsidP="00D6383C">
            <w:pPr>
              <w:keepNext/>
              <w:rPr>
                <w:b/>
              </w:rPr>
            </w:pPr>
            <w:r w:rsidRPr="00ED1DAF">
              <w:rPr>
                <w:b/>
              </w:rPr>
              <w:t>1.5</w:t>
            </w:r>
          </w:p>
        </w:tc>
        <w:tc>
          <w:tcPr>
            <w:tcW w:w="1858" w:type="dxa"/>
            <w:gridSpan w:val="4"/>
            <w:vMerge/>
          </w:tcPr>
          <w:p w14:paraId="780297E6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168A474C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4" w:type="dxa"/>
          </w:tcPr>
          <w:p w14:paraId="51DDE216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483737AA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4" w:type="dxa"/>
          </w:tcPr>
          <w:p w14:paraId="095F4E27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2845D608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1A30BCA9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4" w:type="dxa"/>
          </w:tcPr>
          <w:p w14:paraId="5AC26B5F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6F9DFC64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4" w:type="dxa"/>
          </w:tcPr>
          <w:p w14:paraId="1AE88337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64FE8442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1324C96C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4" w:type="dxa"/>
          </w:tcPr>
          <w:p w14:paraId="054FE7DD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657EC287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4AF9AC8E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b</w:t>
            </w:r>
            <w:r w:rsidRPr="002B253E">
              <w:t xml:space="preserve"> </w:t>
            </w:r>
          </w:p>
        </w:tc>
      </w:tr>
      <w:tr w:rsidR="006D067F" w:rsidRPr="002B253E" w14:paraId="19292356" w14:textId="77777777" w:rsidTr="00D6383C">
        <w:trPr>
          <w:cantSplit/>
          <w:trHeight w:val="300"/>
        </w:trPr>
        <w:tc>
          <w:tcPr>
            <w:tcW w:w="1276" w:type="dxa"/>
          </w:tcPr>
          <w:p w14:paraId="0BCC6306" w14:textId="77777777" w:rsidR="006D067F" w:rsidRPr="00ED1DAF" w:rsidRDefault="006D067F" w:rsidP="00D6383C">
            <w:pPr>
              <w:keepNext/>
              <w:rPr>
                <w:b/>
              </w:rPr>
            </w:pPr>
            <w:r w:rsidRPr="00ED1DAF">
              <w:rPr>
                <w:b/>
              </w:rPr>
              <w:t>1.6</w:t>
            </w:r>
          </w:p>
        </w:tc>
        <w:tc>
          <w:tcPr>
            <w:tcW w:w="1858" w:type="dxa"/>
            <w:gridSpan w:val="4"/>
            <w:vMerge/>
          </w:tcPr>
          <w:p w14:paraId="3AFFA64F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7C9C0953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4" w:type="dxa"/>
          </w:tcPr>
          <w:p w14:paraId="091EB32F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79CCD9A1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4" w:type="dxa"/>
          </w:tcPr>
          <w:p w14:paraId="42C5E13C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3C5E9C6E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14A3F571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4" w:type="dxa"/>
          </w:tcPr>
          <w:p w14:paraId="710B9C7B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657F0FDF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4" w:type="dxa"/>
          </w:tcPr>
          <w:p w14:paraId="5690BB26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0968722E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06F10C3B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4" w:type="dxa"/>
          </w:tcPr>
          <w:p w14:paraId="686EEBC7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025821EA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0A19C1B6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b</w:t>
            </w:r>
            <w:r w:rsidRPr="002B253E">
              <w:t xml:space="preserve"> </w:t>
            </w:r>
          </w:p>
        </w:tc>
      </w:tr>
      <w:tr w:rsidR="006D067F" w:rsidRPr="002B253E" w14:paraId="44E6C556" w14:textId="77777777" w:rsidTr="00D6383C">
        <w:trPr>
          <w:cantSplit/>
          <w:trHeight w:val="300"/>
        </w:trPr>
        <w:tc>
          <w:tcPr>
            <w:tcW w:w="1276" w:type="dxa"/>
          </w:tcPr>
          <w:p w14:paraId="5A3D57E6" w14:textId="77777777" w:rsidR="006D067F" w:rsidRPr="00ED1DAF" w:rsidRDefault="006D067F" w:rsidP="00D6383C">
            <w:pPr>
              <w:keepNext/>
              <w:rPr>
                <w:b/>
              </w:rPr>
            </w:pPr>
            <w:r w:rsidRPr="00ED1DAF">
              <w:rPr>
                <w:b/>
                <w:bCs/>
              </w:rPr>
              <w:t>2.1, 2.2, 2.3</w:t>
            </w:r>
          </w:p>
        </w:tc>
        <w:tc>
          <w:tcPr>
            <w:tcW w:w="464" w:type="dxa"/>
          </w:tcPr>
          <w:p w14:paraId="7E61EFF3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0E3F3A43" w14:textId="77777777" w:rsidR="006D067F" w:rsidRPr="002B253E" w:rsidRDefault="006D067F" w:rsidP="00D6383C">
            <w:pPr>
              <w:keepNext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a</w:t>
            </w:r>
            <w:r w:rsidRPr="002B253E">
              <w:t xml:space="preserve"> </w:t>
            </w:r>
          </w:p>
        </w:tc>
        <w:tc>
          <w:tcPr>
            <w:tcW w:w="464" w:type="dxa"/>
          </w:tcPr>
          <w:p w14:paraId="2AAACEEB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75D0D826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68010E48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0B8DD054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5A7DD6C5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28A51C82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61437201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737974D7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15844C33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0F6C102E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3FB56B69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2DE6658D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7AD293DB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7B7F3D41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5B5DDAD3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3AA0C65E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</w:tr>
      <w:tr w:rsidR="006D067F" w:rsidRPr="002B253E" w14:paraId="574E44D5" w14:textId="77777777" w:rsidTr="00D6383C">
        <w:trPr>
          <w:cantSplit/>
          <w:trHeight w:val="300"/>
        </w:trPr>
        <w:tc>
          <w:tcPr>
            <w:tcW w:w="1276" w:type="dxa"/>
          </w:tcPr>
          <w:p w14:paraId="642D4F21" w14:textId="77777777" w:rsidR="006D067F" w:rsidRPr="00ED1DAF" w:rsidRDefault="006D067F" w:rsidP="00D6383C">
            <w:pPr>
              <w:keepNext/>
              <w:rPr>
                <w:b/>
              </w:rPr>
            </w:pPr>
            <w:r w:rsidRPr="00ED1DAF">
              <w:rPr>
                <w:b/>
                <w:bCs/>
              </w:rPr>
              <w:t>3</w:t>
            </w:r>
          </w:p>
        </w:tc>
        <w:tc>
          <w:tcPr>
            <w:tcW w:w="464" w:type="dxa"/>
          </w:tcPr>
          <w:p w14:paraId="39418B7E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</w:p>
        </w:tc>
        <w:tc>
          <w:tcPr>
            <w:tcW w:w="465" w:type="dxa"/>
          </w:tcPr>
          <w:p w14:paraId="229126D5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  <w:r w:rsidRPr="00ED1DAF">
              <w:rPr>
                <w:b/>
                <w:vertAlign w:val="superscript"/>
              </w:rPr>
              <w:t xml:space="preserve">a </w:t>
            </w:r>
          </w:p>
        </w:tc>
        <w:tc>
          <w:tcPr>
            <w:tcW w:w="464" w:type="dxa"/>
          </w:tcPr>
          <w:p w14:paraId="358B8CDA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45A74802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3D825323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4BBC3A75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0F1B850E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2DCC28CD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0C461B97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789D1E88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3EA94DD4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001B92C4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3CDA0706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134C5643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72960B79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01431793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05EC0433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4A69C8EF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</w:tr>
      <w:tr w:rsidR="006D067F" w:rsidRPr="002B253E" w14:paraId="317F4FC7" w14:textId="77777777" w:rsidTr="00D6383C">
        <w:trPr>
          <w:cantSplit/>
          <w:trHeight w:val="300"/>
        </w:trPr>
        <w:tc>
          <w:tcPr>
            <w:tcW w:w="1276" w:type="dxa"/>
          </w:tcPr>
          <w:p w14:paraId="70B38F52" w14:textId="77777777" w:rsidR="006D067F" w:rsidRPr="00ED1DAF" w:rsidRDefault="006D067F" w:rsidP="00D6383C">
            <w:pPr>
              <w:keepNext/>
              <w:rPr>
                <w:b/>
              </w:rPr>
            </w:pPr>
            <w:r w:rsidRPr="00ED1DAF">
              <w:rPr>
                <w:b/>
              </w:rPr>
              <w:t>4.1</w:t>
            </w:r>
          </w:p>
        </w:tc>
        <w:tc>
          <w:tcPr>
            <w:tcW w:w="464" w:type="dxa"/>
          </w:tcPr>
          <w:p w14:paraId="338E24DE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</w:p>
        </w:tc>
        <w:tc>
          <w:tcPr>
            <w:tcW w:w="465" w:type="dxa"/>
          </w:tcPr>
          <w:p w14:paraId="6F2917A9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  <w:r w:rsidRPr="00ED1DAF">
              <w:rPr>
                <w:b/>
                <w:vertAlign w:val="superscript"/>
              </w:rPr>
              <w:t xml:space="preserve">a </w:t>
            </w:r>
          </w:p>
        </w:tc>
        <w:tc>
          <w:tcPr>
            <w:tcW w:w="464" w:type="dxa"/>
          </w:tcPr>
          <w:p w14:paraId="167DA562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6D3E6529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0DBBB774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7579A3CC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568DADF6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1457A317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01187257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21E723F0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3B5A67BC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164A6975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3FBC7AAE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3CBB427F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76F2E171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5EBFAE0D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7A850841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5C9A9627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</w:tr>
      <w:tr w:rsidR="006D067F" w:rsidRPr="002B253E" w14:paraId="41BFE985" w14:textId="77777777" w:rsidTr="00D6383C">
        <w:trPr>
          <w:cantSplit/>
          <w:trHeight w:val="300"/>
        </w:trPr>
        <w:tc>
          <w:tcPr>
            <w:tcW w:w="1276" w:type="dxa"/>
          </w:tcPr>
          <w:p w14:paraId="7C245790" w14:textId="77777777" w:rsidR="006D067F" w:rsidRPr="00ED1DAF" w:rsidRDefault="006D067F" w:rsidP="00D6383C">
            <w:pPr>
              <w:keepNext/>
              <w:rPr>
                <w:b/>
              </w:rPr>
            </w:pPr>
            <w:r w:rsidRPr="00ED1DAF">
              <w:rPr>
                <w:b/>
              </w:rPr>
              <w:t xml:space="preserve">4.1 </w:t>
            </w:r>
            <w:r w:rsidRPr="00ED1DAF">
              <w:rPr>
                <w:b/>
                <w:bCs/>
              </w:rPr>
              <w:t>+ 1</w:t>
            </w:r>
          </w:p>
        </w:tc>
        <w:tc>
          <w:tcPr>
            <w:tcW w:w="464" w:type="dxa"/>
          </w:tcPr>
          <w:p w14:paraId="19401A17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</w:p>
        </w:tc>
        <w:tc>
          <w:tcPr>
            <w:tcW w:w="465" w:type="dxa"/>
          </w:tcPr>
          <w:p w14:paraId="4B3591B0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</w:p>
        </w:tc>
        <w:tc>
          <w:tcPr>
            <w:tcW w:w="464" w:type="dxa"/>
          </w:tcPr>
          <w:p w14:paraId="6122E2A7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125E1915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3EF4EA22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4" w:type="dxa"/>
          </w:tcPr>
          <w:p w14:paraId="54C6FA55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707E82DE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4" w:type="dxa"/>
          </w:tcPr>
          <w:p w14:paraId="406F5F62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0BAAF943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39293DD5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4" w:type="dxa"/>
          </w:tcPr>
          <w:p w14:paraId="7E35DA95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730F8DE5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4" w:type="dxa"/>
          </w:tcPr>
          <w:p w14:paraId="36C38F7D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07648DA6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379AC79C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4" w:type="dxa"/>
          </w:tcPr>
          <w:p w14:paraId="47E88F40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3FCC7373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2175DD85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</w:tr>
      <w:tr w:rsidR="006D067F" w:rsidRPr="002B253E" w14:paraId="06B408E9" w14:textId="77777777" w:rsidTr="00D6383C">
        <w:trPr>
          <w:cantSplit/>
          <w:trHeight w:val="300"/>
        </w:trPr>
        <w:tc>
          <w:tcPr>
            <w:tcW w:w="1276" w:type="dxa"/>
          </w:tcPr>
          <w:p w14:paraId="7A6E619D" w14:textId="77777777" w:rsidR="006D067F" w:rsidRPr="00ED1DAF" w:rsidRDefault="006D067F" w:rsidP="00D6383C">
            <w:pPr>
              <w:keepNext/>
              <w:rPr>
                <w:b/>
              </w:rPr>
            </w:pPr>
            <w:r w:rsidRPr="00ED1DAF">
              <w:rPr>
                <w:b/>
              </w:rPr>
              <w:t>4.2</w:t>
            </w:r>
          </w:p>
        </w:tc>
        <w:tc>
          <w:tcPr>
            <w:tcW w:w="464" w:type="dxa"/>
          </w:tcPr>
          <w:p w14:paraId="77A3BD1E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</w:p>
        </w:tc>
        <w:tc>
          <w:tcPr>
            <w:tcW w:w="465" w:type="dxa"/>
          </w:tcPr>
          <w:p w14:paraId="5F9B161E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  <w:r w:rsidRPr="00ED1DAF">
              <w:rPr>
                <w:b/>
                <w:vertAlign w:val="superscript"/>
              </w:rPr>
              <w:t xml:space="preserve">a </w:t>
            </w:r>
          </w:p>
        </w:tc>
        <w:tc>
          <w:tcPr>
            <w:tcW w:w="464" w:type="dxa"/>
          </w:tcPr>
          <w:p w14:paraId="5BAC5E3B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7EA7D565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07B28D57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67E4E9A4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53E42AC5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73499A82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69B97059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0A1801BE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56078FB8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7B215A6F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4997574C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4DFCEBEE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7AF3E3D2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7977F1BC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0981C2A5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5214E578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</w:tr>
      <w:tr w:rsidR="006D067F" w:rsidRPr="002B253E" w14:paraId="79BF14B0" w14:textId="77777777" w:rsidTr="00D6383C">
        <w:trPr>
          <w:cantSplit/>
          <w:trHeight w:val="300"/>
        </w:trPr>
        <w:tc>
          <w:tcPr>
            <w:tcW w:w="1276" w:type="dxa"/>
          </w:tcPr>
          <w:p w14:paraId="43C67DBA" w14:textId="77777777" w:rsidR="006D067F" w:rsidRPr="00ED1DAF" w:rsidRDefault="006D067F" w:rsidP="00D6383C">
            <w:pPr>
              <w:keepNext/>
              <w:rPr>
                <w:b/>
              </w:rPr>
            </w:pPr>
            <w:r w:rsidRPr="00ED1DAF">
              <w:rPr>
                <w:b/>
              </w:rPr>
              <w:t>4.3</w:t>
            </w:r>
          </w:p>
        </w:tc>
        <w:tc>
          <w:tcPr>
            <w:tcW w:w="464" w:type="dxa"/>
          </w:tcPr>
          <w:p w14:paraId="30D2336B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</w:p>
        </w:tc>
        <w:tc>
          <w:tcPr>
            <w:tcW w:w="465" w:type="dxa"/>
          </w:tcPr>
          <w:p w14:paraId="0B0B6A77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  <w:r w:rsidRPr="00ED1DAF">
              <w:rPr>
                <w:b/>
                <w:vertAlign w:val="superscript"/>
              </w:rPr>
              <w:t xml:space="preserve">a </w:t>
            </w:r>
          </w:p>
        </w:tc>
        <w:tc>
          <w:tcPr>
            <w:tcW w:w="464" w:type="dxa"/>
          </w:tcPr>
          <w:p w14:paraId="4FFFFB7F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2A600DAE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41F99E2F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20363FFA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5C41178F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4831BC90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371BC491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3F50C9DD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195CFF4D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1FBAE28C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5F91E9D4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7BC4431A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334F3B86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01AB5FEC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268B84DA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517467CD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</w:tr>
      <w:tr w:rsidR="006D067F" w:rsidRPr="002B253E" w14:paraId="0CA86D78" w14:textId="77777777" w:rsidTr="00D6383C">
        <w:trPr>
          <w:cantSplit/>
          <w:trHeight w:val="300"/>
        </w:trPr>
        <w:tc>
          <w:tcPr>
            <w:tcW w:w="1276" w:type="dxa"/>
          </w:tcPr>
          <w:p w14:paraId="32898F63" w14:textId="77777777" w:rsidR="006D067F" w:rsidRPr="00ED1DAF" w:rsidRDefault="006D067F" w:rsidP="00D6383C">
            <w:pPr>
              <w:keepNext/>
              <w:rPr>
                <w:b/>
              </w:rPr>
            </w:pPr>
            <w:r w:rsidRPr="00ED1DAF">
              <w:rPr>
                <w:b/>
              </w:rPr>
              <w:t>5.1</w:t>
            </w:r>
          </w:p>
        </w:tc>
        <w:tc>
          <w:tcPr>
            <w:tcW w:w="464" w:type="dxa"/>
          </w:tcPr>
          <w:p w14:paraId="624E8EB9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  <w:r w:rsidRPr="00ED1DAF">
              <w:rPr>
                <w:b/>
                <w:vertAlign w:val="superscript"/>
              </w:rPr>
              <w:t>d</w:t>
            </w:r>
          </w:p>
        </w:tc>
        <w:tc>
          <w:tcPr>
            <w:tcW w:w="465" w:type="dxa"/>
          </w:tcPr>
          <w:p w14:paraId="7AC62D2A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  <w:r w:rsidRPr="00ED1DAF">
              <w:rPr>
                <w:b/>
                <w:vertAlign w:val="superscript"/>
              </w:rPr>
              <w:t xml:space="preserve">a </w:t>
            </w:r>
          </w:p>
        </w:tc>
        <w:tc>
          <w:tcPr>
            <w:tcW w:w="464" w:type="dxa"/>
          </w:tcPr>
          <w:p w14:paraId="1FBF9BEC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14CD635C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266983DC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38F454AE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1061752D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05D8EA49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6DA0A911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4782D402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010C1AAF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486869C4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68AE54E6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02FBF8EA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1788D811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77D5BA59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5D5AE5B0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032A666F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</w:tr>
      <w:tr w:rsidR="006D067F" w:rsidRPr="002B253E" w14:paraId="5F7D87BF" w14:textId="77777777" w:rsidTr="00D6383C">
        <w:trPr>
          <w:cantSplit/>
          <w:trHeight w:val="300"/>
        </w:trPr>
        <w:tc>
          <w:tcPr>
            <w:tcW w:w="1276" w:type="dxa"/>
          </w:tcPr>
          <w:p w14:paraId="347C5077" w14:textId="77777777" w:rsidR="006D067F" w:rsidRPr="00ED1DAF" w:rsidRDefault="006D067F" w:rsidP="00D6383C">
            <w:pPr>
              <w:keepNext/>
              <w:rPr>
                <w:b/>
              </w:rPr>
            </w:pPr>
            <w:r w:rsidRPr="00ED1DAF">
              <w:rPr>
                <w:b/>
              </w:rPr>
              <w:t>5.2</w:t>
            </w:r>
          </w:p>
        </w:tc>
        <w:tc>
          <w:tcPr>
            <w:tcW w:w="464" w:type="dxa"/>
          </w:tcPr>
          <w:p w14:paraId="2027B4B9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</w:p>
        </w:tc>
        <w:tc>
          <w:tcPr>
            <w:tcW w:w="465" w:type="dxa"/>
          </w:tcPr>
          <w:p w14:paraId="2E4CDD16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  <w:r w:rsidRPr="00ED1DAF">
              <w:rPr>
                <w:b/>
                <w:vertAlign w:val="superscript"/>
              </w:rPr>
              <w:t xml:space="preserve">a </w:t>
            </w:r>
          </w:p>
        </w:tc>
        <w:tc>
          <w:tcPr>
            <w:tcW w:w="464" w:type="dxa"/>
          </w:tcPr>
          <w:p w14:paraId="55CA55D7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4E4C0E2E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56C8E09D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735DC212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6EEB20FA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4D5CFB26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031BC30A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5B160F21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784F3D2E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12EAF68A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5B00C41A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47700D96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30C5FBCD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3659A5D0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283AFB33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79C396CF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</w:tr>
      <w:tr w:rsidR="006D067F" w:rsidRPr="002B253E" w14:paraId="0D660C3D" w14:textId="77777777" w:rsidTr="00D6383C">
        <w:trPr>
          <w:cantSplit/>
          <w:trHeight w:val="300"/>
        </w:trPr>
        <w:tc>
          <w:tcPr>
            <w:tcW w:w="1276" w:type="dxa"/>
          </w:tcPr>
          <w:p w14:paraId="6DCD90A9" w14:textId="77777777" w:rsidR="006D067F" w:rsidRPr="00ED1DAF" w:rsidRDefault="006D067F" w:rsidP="00D6383C">
            <w:pPr>
              <w:keepNext/>
              <w:rPr>
                <w:b/>
              </w:rPr>
            </w:pPr>
            <w:r w:rsidRPr="00ED1DAF">
              <w:rPr>
                <w:b/>
              </w:rPr>
              <w:t xml:space="preserve">5.2 </w:t>
            </w:r>
            <w:r w:rsidRPr="00ED1DAF">
              <w:rPr>
                <w:b/>
                <w:bCs/>
              </w:rPr>
              <w:t>+ 1</w:t>
            </w:r>
          </w:p>
        </w:tc>
        <w:tc>
          <w:tcPr>
            <w:tcW w:w="464" w:type="dxa"/>
          </w:tcPr>
          <w:p w14:paraId="0233A147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</w:p>
        </w:tc>
        <w:tc>
          <w:tcPr>
            <w:tcW w:w="465" w:type="dxa"/>
          </w:tcPr>
          <w:p w14:paraId="11BEDA44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</w:p>
        </w:tc>
        <w:tc>
          <w:tcPr>
            <w:tcW w:w="464" w:type="dxa"/>
          </w:tcPr>
          <w:p w14:paraId="61C82265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55DC564E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00E7D178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4" w:type="dxa"/>
          </w:tcPr>
          <w:p w14:paraId="585BA7FB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4F483BA6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4" w:type="dxa"/>
          </w:tcPr>
          <w:p w14:paraId="21253117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2AD8F468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60250455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4" w:type="dxa"/>
          </w:tcPr>
          <w:p w14:paraId="072426D2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10F1F606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2D77EC58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6CB2AD3B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1DAC924B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4" w:type="dxa"/>
          </w:tcPr>
          <w:p w14:paraId="0075036B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2410CDE1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33B6F872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</w:tr>
      <w:tr w:rsidR="006D067F" w:rsidRPr="002B253E" w14:paraId="5C7ADB60" w14:textId="77777777" w:rsidTr="00D6383C">
        <w:trPr>
          <w:cantSplit/>
          <w:trHeight w:val="300"/>
        </w:trPr>
        <w:tc>
          <w:tcPr>
            <w:tcW w:w="1276" w:type="dxa"/>
          </w:tcPr>
          <w:p w14:paraId="1EF041B0" w14:textId="77777777" w:rsidR="006D067F" w:rsidRPr="00ED1DAF" w:rsidRDefault="006D067F" w:rsidP="00D6383C">
            <w:pPr>
              <w:keepNext/>
              <w:rPr>
                <w:b/>
              </w:rPr>
            </w:pPr>
            <w:r w:rsidRPr="00ED1DAF">
              <w:rPr>
                <w:b/>
              </w:rPr>
              <w:t>6.1</w:t>
            </w:r>
          </w:p>
        </w:tc>
        <w:tc>
          <w:tcPr>
            <w:tcW w:w="464" w:type="dxa"/>
          </w:tcPr>
          <w:p w14:paraId="0214BDA4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</w:p>
        </w:tc>
        <w:tc>
          <w:tcPr>
            <w:tcW w:w="465" w:type="dxa"/>
          </w:tcPr>
          <w:p w14:paraId="70BBFD5A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  <w:r w:rsidRPr="00ED1DAF">
              <w:rPr>
                <w:b/>
                <w:vertAlign w:val="superscript"/>
              </w:rPr>
              <w:t xml:space="preserve">a </w:t>
            </w:r>
          </w:p>
        </w:tc>
        <w:tc>
          <w:tcPr>
            <w:tcW w:w="464" w:type="dxa"/>
          </w:tcPr>
          <w:p w14:paraId="76F353CD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6FE2E092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6DCE400A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1C7BBB58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51CECE3F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05CB3855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603CC881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16E4DC7A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64EADF1A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217DDDC9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74B22CBA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726ACB10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05FD0972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57600BCA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1AB13920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1BE933F4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</w:tr>
      <w:tr w:rsidR="006D067F" w:rsidRPr="002B253E" w14:paraId="528238C8" w14:textId="77777777" w:rsidTr="00D6383C">
        <w:trPr>
          <w:cantSplit/>
          <w:trHeight w:val="300"/>
        </w:trPr>
        <w:tc>
          <w:tcPr>
            <w:tcW w:w="1276" w:type="dxa"/>
          </w:tcPr>
          <w:p w14:paraId="703ED381" w14:textId="77777777" w:rsidR="006D067F" w:rsidRPr="00ED1DAF" w:rsidRDefault="006D067F" w:rsidP="00D6383C">
            <w:pPr>
              <w:keepNext/>
              <w:rPr>
                <w:b/>
              </w:rPr>
            </w:pPr>
            <w:r w:rsidRPr="00ED1DAF">
              <w:rPr>
                <w:b/>
              </w:rPr>
              <w:t>6.2</w:t>
            </w:r>
          </w:p>
        </w:tc>
        <w:tc>
          <w:tcPr>
            <w:tcW w:w="464" w:type="dxa"/>
          </w:tcPr>
          <w:p w14:paraId="3544EFB4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</w:p>
        </w:tc>
        <w:tc>
          <w:tcPr>
            <w:tcW w:w="465" w:type="dxa"/>
          </w:tcPr>
          <w:p w14:paraId="30AC9F56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  <w:r w:rsidRPr="00ED1DAF">
              <w:rPr>
                <w:b/>
                <w:vertAlign w:val="superscript"/>
              </w:rPr>
              <w:t xml:space="preserve">a </w:t>
            </w:r>
          </w:p>
        </w:tc>
        <w:tc>
          <w:tcPr>
            <w:tcW w:w="464" w:type="dxa"/>
          </w:tcPr>
          <w:p w14:paraId="69698300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0FD39243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429EC019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5F3C5BEB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299F223C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58F125CC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3643E052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65018221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05EA0BC0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7ED17D78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45C751B0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0A95B8C3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2CDDD2EE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54F1AFE1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56F52626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15C570B9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</w:tr>
      <w:tr w:rsidR="006D067F" w:rsidRPr="002B253E" w14:paraId="4CE8C0B2" w14:textId="77777777" w:rsidTr="00D6383C">
        <w:trPr>
          <w:cantSplit/>
          <w:trHeight w:val="300"/>
        </w:trPr>
        <w:tc>
          <w:tcPr>
            <w:tcW w:w="1276" w:type="dxa"/>
          </w:tcPr>
          <w:p w14:paraId="68C926BF" w14:textId="77777777" w:rsidR="006D067F" w:rsidRPr="00ED1DAF" w:rsidRDefault="006D067F" w:rsidP="00D6383C">
            <w:pPr>
              <w:keepNext/>
              <w:rPr>
                <w:b/>
              </w:rPr>
            </w:pPr>
            <w:r w:rsidRPr="00ED1DAF">
              <w:rPr>
                <w:b/>
                <w:bCs/>
              </w:rPr>
              <w:t>7A, B, C</w:t>
            </w:r>
          </w:p>
        </w:tc>
        <w:tc>
          <w:tcPr>
            <w:tcW w:w="464" w:type="dxa"/>
          </w:tcPr>
          <w:p w14:paraId="07E06247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</w:p>
        </w:tc>
        <w:tc>
          <w:tcPr>
            <w:tcW w:w="465" w:type="dxa"/>
          </w:tcPr>
          <w:p w14:paraId="4626FF0E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  <w:r w:rsidRPr="00ED1DAF">
              <w:rPr>
                <w:b/>
                <w:vertAlign w:val="superscript"/>
              </w:rPr>
              <w:t xml:space="preserve">a </w:t>
            </w:r>
          </w:p>
        </w:tc>
        <w:tc>
          <w:tcPr>
            <w:tcW w:w="464" w:type="dxa"/>
          </w:tcPr>
          <w:p w14:paraId="61139DF1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489F08EE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18267F42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17ECD6EE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73FE14AA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756BC467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425A8CFE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26DFC391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715E5C9A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4C13725C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21171B5A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0E80FCB4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056B30EE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7C40BC07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5A7A40C4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1F139285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</w:tr>
      <w:tr w:rsidR="006D067F" w:rsidRPr="002B253E" w14:paraId="43BD877B" w14:textId="77777777" w:rsidTr="00D6383C">
        <w:trPr>
          <w:cantSplit/>
          <w:trHeight w:val="300"/>
        </w:trPr>
        <w:tc>
          <w:tcPr>
            <w:tcW w:w="1276" w:type="dxa"/>
          </w:tcPr>
          <w:p w14:paraId="18355857" w14:textId="77777777" w:rsidR="006D067F" w:rsidRPr="00ED1DAF" w:rsidRDefault="006D067F" w:rsidP="00D6383C">
            <w:pPr>
              <w:keepNext/>
              <w:rPr>
                <w:b/>
              </w:rPr>
            </w:pPr>
            <w:r w:rsidRPr="00ED1DAF">
              <w:rPr>
                <w:b/>
                <w:bCs/>
              </w:rPr>
              <w:t>8</w:t>
            </w:r>
          </w:p>
        </w:tc>
        <w:tc>
          <w:tcPr>
            <w:tcW w:w="464" w:type="dxa"/>
          </w:tcPr>
          <w:p w14:paraId="518AB5C1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</w:p>
        </w:tc>
        <w:tc>
          <w:tcPr>
            <w:tcW w:w="465" w:type="dxa"/>
          </w:tcPr>
          <w:p w14:paraId="516B9723" w14:textId="77777777" w:rsidR="006D067F" w:rsidRPr="00ED1DAF" w:rsidRDefault="006D067F" w:rsidP="00D6383C">
            <w:pPr>
              <w:keepNext/>
              <w:jc w:val="center"/>
              <w:rPr>
                <w:b/>
                <w:vertAlign w:val="superscript"/>
              </w:rPr>
            </w:pPr>
            <w:r w:rsidRPr="00ED1DAF">
              <w:rPr>
                <w:b/>
                <w:vertAlign w:val="superscript"/>
              </w:rPr>
              <w:t xml:space="preserve">a </w:t>
            </w:r>
          </w:p>
        </w:tc>
        <w:tc>
          <w:tcPr>
            <w:tcW w:w="464" w:type="dxa"/>
          </w:tcPr>
          <w:p w14:paraId="2791F461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2558FED6" w14:textId="77777777" w:rsidR="006D067F" w:rsidRPr="002B253E" w:rsidRDefault="006D067F" w:rsidP="00D6383C">
            <w:pPr>
              <w:keepNext/>
              <w:jc w:val="center"/>
            </w:pPr>
          </w:p>
        </w:tc>
        <w:tc>
          <w:tcPr>
            <w:tcW w:w="465" w:type="dxa"/>
          </w:tcPr>
          <w:p w14:paraId="62352A29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2C9F5F9B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792388AF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633F976F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19A172E4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61C14814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4EF70A65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7656AA71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75D5A483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20153259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68394471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78038128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397EE121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538F83BB" w14:textId="77777777" w:rsidR="006D067F" w:rsidRPr="002B253E" w:rsidRDefault="006D067F" w:rsidP="00D6383C">
            <w:pPr>
              <w:keepNext/>
              <w:jc w:val="center"/>
              <w:rPr>
                <w:caps/>
              </w:rPr>
            </w:pPr>
            <w:r w:rsidRPr="002B253E">
              <w:t>X</w:t>
            </w:r>
          </w:p>
        </w:tc>
      </w:tr>
      <w:tr w:rsidR="006D067F" w:rsidRPr="002B253E" w14:paraId="043CC09C" w14:textId="77777777" w:rsidTr="00D6383C">
        <w:trPr>
          <w:cantSplit/>
          <w:trHeight w:val="369"/>
        </w:trPr>
        <w:tc>
          <w:tcPr>
            <w:tcW w:w="1276" w:type="dxa"/>
          </w:tcPr>
          <w:p w14:paraId="59035EC3" w14:textId="77777777" w:rsidR="006D067F" w:rsidRPr="00ED1DAF" w:rsidRDefault="006D067F" w:rsidP="00D6383C">
            <w:pPr>
              <w:rPr>
                <w:b/>
              </w:rPr>
            </w:pPr>
            <w:r w:rsidRPr="00ED1DAF">
              <w:rPr>
                <w:b/>
                <w:bCs/>
              </w:rPr>
              <w:t>9, 9A</w:t>
            </w:r>
          </w:p>
        </w:tc>
        <w:tc>
          <w:tcPr>
            <w:tcW w:w="464" w:type="dxa"/>
          </w:tcPr>
          <w:p w14:paraId="715739F3" w14:textId="77777777" w:rsidR="006D067F" w:rsidRPr="00ED1DAF" w:rsidRDefault="006D067F" w:rsidP="00D6383C">
            <w:pPr>
              <w:jc w:val="center"/>
              <w:rPr>
                <w:b/>
                <w:vertAlign w:val="superscript"/>
              </w:rPr>
            </w:pPr>
            <w:r w:rsidRPr="00ED1DAF">
              <w:rPr>
                <w:b/>
                <w:bCs/>
                <w:vertAlign w:val="superscript"/>
              </w:rPr>
              <w:t>b</w:t>
            </w:r>
            <w:r w:rsidRPr="00ED1DAF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465" w:type="dxa"/>
          </w:tcPr>
          <w:p w14:paraId="3A571AAF" w14:textId="77777777" w:rsidR="006D067F" w:rsidRPr="00ED1DAF" w:rsidRDefault="006D067F" w:rsidP="00D6383C">
            <w:pPr>
              <w:jc w:val="center"/>
              <w:rPr>
                <w:b/>
                <w:u w:val="single"/>
                <w:vertAlign w:val="superscript"/>
              </w:rPr>
            </w:pPr>
            <w:r w:rsidRPr="00ED1DAF">
              <w:rPr>
                <w:b/>
                <w:vertAlign w:val="superscript"/>
              </w:rPr>
              <w:t xml:space="preserve">a </w:t>
            </w:r>
          </w:p>
          <w:p w14:paraId="3AA78BB5" w14:textId="77777777" w:rsidR="006D067F" w:rsidRPr="00164705" w:rsidRDefault="006D067F" w:rsidP="00D6383C">
            <w:pPr>
              <w:jc w:val="center"/>
              <w:rPr>
                <w:b/>
                <w:szCs w:val="20"/>
                <w:vertAlign w:val="superscript"/>
              </w:rPr>
            </w:pPr>
            <w:r w:rsidRPr="00164705">
              <w:rPr>
                <w:b/>
                <w:bCs/>
                <w:szCs w:val="20"/>
                <w:vertAlign w:val="superscript"/>
              </w:rPr>
              <w:t>b</w:t>
            </w:r>
            <w:r w:rsidRPr="00164705">
              <w:rPr>
                <w:b/>
                <w:szCs w:val="20"/>
                <w:vertAlign w:val="superscript"/>
              </w:rPr>
              <w:t xml:space="preserve"> </w:t>
            </w:r>
          </w:p>
          <w:p w14:paraId="48A77A51" w14:textId="77777777" w:rsidR="006D067F" w:rsidRPr="00ED1DAF" w:rsidRDefault="006D067F" w:rsidP="00D6383C">
            <w:pPr>
              <w:jc w:val="center"/>
              <w:rPr>
                <w:b/>
                <w:vertAlign w:val="superscript"/>
              </w:rPr>
            </w:pPr>
            <w:r w:rsidRPr="00ED1DAF">
              <w:rPr>
                <w:b/>
                <w:bCs/>
                <w:vertAlign w:val="superscript"/>
              </w:rPr>
              <w:t>c</w:t>
            </w:r>
          </w:p>
        </w:tc>
        <w:tc>
          <w:tcPr>
            <w:tcW w:w="464" w:type="dxa"/>
          </w:tcPr>
          <w:p w14:paraId="5C0C4DEA" w14:textId="77777777" w:rsidR="006D067F" w:rsidRPr="002B253E" w:rsidRDefault="006D067F" w:rsidP="00D6383C">
            <w:pPr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b</w:t>
            </w:r>
            <w:r w:rsidRPr="002B253E">
              <w:t xml:space="preserve"> </w:t>
            </w:r>
          </w:p>
        </w:tc>
        <w:tc>
          <w:tcPr>
            <w:tcW w:w="465" w:type="dxa"/>
          </w:tcPr>
          <w:p w14:paraId="5F15F7B4" w14:textId="77777777" w:rsidR="006D067F" w:rsidRPr="002B253E" w:rsidRDefault="006D067F" w:rsidP="00D6383C">
            <w:pPr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b</w:t>
            </w:r>
            <w:r w:rsidRPr="002B253E">
              <w:t xml:space="preserve"> </w:t>
            </w:r>
          </w:p>
        </w:tc>
        <w:tc>
          <w:tcPr>
            <w:tcW w:w="465" w:type="dxa"/>
          </w:tcPr>
          <w:p w14:paraId="68CC8B3B" w14:textId="77777777" w:rsidR="006D067F" w:rsidRPr="002B253E" w:rsidRDefault="006D067F" w:rsidP="00D6383C">
            <w:pPr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0A064448" w14:textId="77777777" w:rsidR="006D067F" w:rsidRPr="002B253E" w:rsidRDefault="006D067F" w:rsidP="00D6383C">
            <w:pPr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2D763C93" w14:textId="77777777" w:rsidR="006D067F" w:rsidRPr="002B253E" w:rsidRDefault="006D067F" w:rsidP="00D6383C">
            <w:pPr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2BFE92A5" w14:textId="77777777" w:rsidR="006D067F" w:rsidRPr="002B253E" w:rsidRDefault="006D067F" w:rsidP="00D6383C">
            <w:pPr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604C831B" w14:textId="77777777" w:rsidR="006D067F" w:rsidRPr="002B253E" w:rsidRDefault="006D067F" w:rsidP="00D6383C">
            <w:pPr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724E815E" w14:textId="77777777" w:rsidR="006D067F" w:rsidRPr="002B253E" w:rsidRDefault="006D067F" w:rsidP="00D6383C">
            <w:pPr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48C5D5D4" w14:textId="77777777" w:rsidR="006D067F" w:rsidRPr="002B253E" w:rsidRDefault="006D067F" w:rsidP="00D6383C">
            <w:pPr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68A90865" w14:textId="77777777" w:rsidR="006D067F" w:rsidRPr="002B253E" w:rsidRDefault="006D067F" w:rsidP="00D6383C">
            <w:pPr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37B3F77D" w14:textId="77777777" w:rsidR="006D067F" w:rsidRPr="002B253E" w:rsidRDefault="006D067F" w:rsidP="00D6383C">
            <w:pPr>
              <w:jc w:val="center"/>
              <w:rPr>
                <w:caps/>
              </w:rPr>
            </w:pPr>
          </w:p>
        </w:tc>
        <w:tc>
          <w:tcPr>
            <w:tcW w:w="465" w:type="dxa"/>
          </w:tcPr>
          <w:p w14:paraId="0E2A465D" w14:textId="77777777" w:rsidR="006D067F" w:rsidRPr="002B253E" w:rsidRDefault="006D067F" w:rsidP="00D6383C">
            <w:pPr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06DA09FF" w14:textId="77777777" w:rsidR="006D067F" w:rsidRPr="002B253E" w:rsidRDefault="006D067F" w:rsidP="00D6383C">
            <w:pPr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4" w:type="dxa"/>
          </w:tcPr>
          <w:p w14:paraId="75BE358E" w14:textId="77777777" w:rsidR="006D067F" w:rsidRPr="002B253E" w:rsidRDefault="006D067F" w:rsidP="00D6383C">
            <w:pPr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1D197216" w14:textId="77777777" w:rsidR="006D067F" w:rsidRPr="002B253E" w:rsidRDefault="006D067F" w:rsidP="00D6383C">
            <w:pPr>
              <w:jc w:val="center"/>
              <w:rPr>
                <w:caps/>
              </w:rPr>
            </w:pPr>
            <w:r w:rsidRPr="002B253E">
              <w:t>X</w:t>
            </w:r>
          </w:p>
        </w:tc>
        <w:tc>
          <w:tcPr>
            <w:tcW w:w="465" w:type="dxa"/>
          </w:tcPr>
          <w:p w14:paraId="743A863D" w14:textId="77777777" w:rsidR="006D067F" w:rsidRPr="002B253E" w:rsidRDefault="006D067F" w:rsidP="00D6383C">
            <w:pPr>
              <w:jc w:val="center"/>
              <w:rPr>
                <w:caps/>
              </w:rPr>
            </w:pPr>
            <w:r w:rsidRPr="002B253E">
              <w:t>X</w:t>
            </w:r>
          </w:p>
        </w:tc>
      </w:tr>
    </w:tbl>
    <w:p w14:paraId="29B5CA42" w14:textId="77777777" w:rsidR="006D067F" w:rsidRPr="002B253E" w:rsidRDefault="006D067F" w:rsidP="006D067F">
      <w:pPr>
        <w:jc w:val="center"/>
        <w:rPr>
          <w:sz w:val="24"/>
          <w:szCs w:val="24"/>
        </w:rPr>
      </w:pPr>
    </w:p>
    <w:p w14:paraId="3E1D188C" w14:textId="77777777" w:rsidR="006D067F" w:rsidRPr="002B253E" w:rsidRDefault="006D067F" w:rsidP="006D067F">
      <w:pPr>
        <w:suppressAutoHyphens w:val="0"/>
        <w:spacing w:line="240" w:lineRule="auto"/>
        <w:rPr>
          <w:sz w:val="24"/>
          <w:szCs w:val="24"/>
        </w:rPr>
      </w:pPr>
      <w:r w:rsidRPr="002B253E">
        <w:rPr>
          <w:sz w:val="24"/>
          <w:szCs w:val="24"/>
        </w:rPr>
        <w:br w:type="page"/>
      </w:r>
    </w:p>
    <w:p w14:paraId="7D439324" w14:textId="77777777" w:rsidR="006D067F" w:rsidRPr="002B253E" w:rsidRDefault="006D067F" w:rsidP="00886B3B">
      <w:pPr>
        <w:pStyle w:val="H23G"/>
      </w:pPr>
      <w:r w:rsidRPr="002B253E">
        <w:lastRenderedPageBreak/>
        <w:tab/>
      </w:r>
      <w:r w:rsidRPr="002B253E">
        <w:tab/>
        <w:t>Рис. 3: Таблица в пункте 7.5.2.2</w:t>
      </w:r>
    </w:p>
    <w:tbl>
      <w:tblPr>
        <w:tblW w:w="0" w:type="auto"/>
        <w:tblInd w:w="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587"/>
        <w:gridCol w:w="555"/>
        <w:gridCol w:w="555"/>
        <w:gridCol w:w="555"/>
        <w:gridCol w:w="555"/>
        <w:gridCol w:w="555"/>
        <w:gridCol w:w="556"/>
        <w:gridCol w:w="555"/>
        <w:gridCol w:w="555"/>
        <w:gridCol w:w="555"/>
        <w:gridCol w:w="555"/>
        <w:gridCol w:w="555"/>
        <w:gridCol w:w="556"/>
      </w:tblGrid>
      <w:tr w:rsidR="006D067F" w:rsidRPr="00FB6C36" w14:paraId="7F1D7532" w14:textId="77777777" w:rsidTr="00886B3B">
        <w:trPr>
          <w:cantSplit/>
          <w:trHeight w:val="616"/>
        </w:trPr>
        <w:tc>
          <w:tcPr>
            <w:tcW w:w="1587" w:type="dxa"/>
            <w:vAlign w:val="center"/>
          </w:tcPr>
          <w:p w14:paraId="2470B594" w14:textId="77777777" w:rsidR="006D067F" w:rsidRPr="00FB6C36" w:rsidRDefault="006D067F" w:rsidP="00FB6C36">
            <w:pPr>
              <w:keepNext/>
              <w:keepLines/>
              <w:jc w:val="center"/>
              <w:rPr>
                <w:sz w:val="19"/>
                <w:lang w:val="en-US"/>
              </w:rPr>
            </w:pPr>
            <w:r w:rsidRPr="00886B3B">
              <w:rPr>
                <w:b/>
                <w:bCs/>
                <w:sz w:val="19"/>
              </w:rPr>
              <w:t>Группа</w:t>
            </w:r>
            <w:r w:rsidR="00FB6C36" w:rsidRPr="00FB6C36">
              <w:rPr>
                <w:b/>
                <w:bCs/>
                <w:sz w:val="19"/>
                <w:lang w:val="en-US"/>
              </w:rPr>
              <w:br/>
            </w:r>
            <w:r w:rsidRPr="00886B3B">
              <w:rPr>
                <w:b/>
                <w:bCs/>
                <w:sz w:val="19"/>
              </w:rPr>
              <w:t>совместимости</w:t>
            </w:r>
          </w:p>
        </w:tc>
        <w:tc>
          <w:tcPr>
            <w:tcW w:w="555" w:type="dxa"/>
            <w:vAlign w:val="center"/>
          </w:tcPr>
          <w:p w14:paraId="12F2BF04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b/>
                <w:bCs/>
                <w:lang w:val="en-US"/>
              </w:rPr>
              <w:t>A</w:t>
            </w:r>
          </w:p>
        </w:tc>
        <w:tc>
          <w:tcPr>
            <w:tcW w:w="555" w:type="dxa"/>
            <w:vAlign w:val="center"/>
          </w:tcPr>
          <w:p w14:paraId="0596C48A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b/>
                <w:bCs/>
                <w:lang w:val="en-US"/>
              </w:rPr>
              <w:t>B</w:t>
            </w:r>
          </w:p>
        </w:tc>
        <w:tc>
          <w:tcPr>
            <w:tcW w:w="555" w:type="dxa"/>
            <w:vAlign w:val="center"/>
          </w:tcPr>
          <w:p w14:paraId="03FE8B92" w14:textId="77777777" w:rsidR="006D067F" w:rsidRPr="00FB6C36" w:rsidRDefault="006D067F" w:rsidP="00D6383C">
            <w:pPr>
              <w:keepNext/>
              <w:jc w:val="center"/>
              <w:outlineLvl w:val="6"/>
              <w:rPr>
                <w:b/>
                <w:bCs/>
                <w:lang w:val="en-US"/>
              </w:rPr>
            </w:pPr>
            <w:r w:rsidRPr="00FB6C36">
              <w:rPr>
                <w:b/>
                <w:bCs/>
                <w:lang w:val="en-US"/>
              </w:rPr>
              <w:t>C</w:t>
            </w:r>
          </w:p>
        </w:tc>
        <w:tc>
          <w:tcPr>
            <w:tcW w:w="555" w:type="dxa"/>
            <w:vAlign w:val="center"/>
          </w:tcPr>
          <w:p w14:paraId="573D24AC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b/>
                <w:bCs/>
                <w:lang w:val="en-US"/>
              </w:rPr>
              <w:t>D</w:t>
            </w:r>
          </w:p>
        </w:tc>
        <w:tc>
          <w:tcPr>
            <w:tcW w:w="555" w:type="dxa"/>
            <w:vAlign w:val="center"/>
          </w:tcPr>
          <w:p w14:paraId="5FB4C302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b/>
                <w:bCs/>
                <w:lang w:val="en-US"/>
              </w:rPr>
              <w:t>E</w:t>
            </w:r>
          </w:p>
        </w:tc>
        <w:tc>
          <w:tcPr>
            <w:tcW w:w="556" w:type="dxa"/>
            <w:vAlign w:val="center"/>
          </w:tcPr>
          <w:p w14:paraId="34AA0C7A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b/>
                <w:bCs/>
                <w:lang w:val="en-US"/>
              </w:rPr>
              <w:t>F</w:t>
            </w:r>
          </w:p>
        </w:tc>
        <w:tc>
          <w:tcPr>
            <w:tcW w:w="555" w:type="dxa"/>
            <w:vAlign w:val="center"/>
          </w:tcPr>
          <w:p w14:paraId="7AAD7B9C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b/>
                <w:bCs/>
                <w:lang w:val="en-US"/>
              </w:rPr>
              <w:t>G</w:t>
            </w:r>
          </w:p>
        </w:tc>
        <w:tc>
          <w:tcPr>
            <w:tcW w:w="555" w:type="dxa"/>
            <w:vAlign w:val="center"/>
          </w:tcPr>
          <w:p w14:paraId="6C6C00F6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b/>
                <w:bCs/>
                <w:lang w:val="en-US"/>
              </w:rPr>
              <w:t>H</w:t>
            </w:r>
          </w:p>
        </w:tc>
        <w:tc>
          <w:tcPr>
            <w:tcW w:w="555" w:type="dxa"/>
            <w:vAlign w:val="center"/>
          </w:tcPr>
          <w:p w14:paraId="066DCFC9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b/>
                <w:bCs/>
                <w:lang w:val="en-US"/>
              </w:rPr>
              <w:t>J</w:t>
            </w:r>
          </w:p>
        </w:tc>
        <w:tc>
          <w:tcPr>
            <w:tcW w:w="555" w:type="dxa"/>
            <w:vAlign w:val="center"/>
          </w:tcPr>
          <w:p w14:paraId="3DC91395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b/>
                <w:bCs/>
                <w:lang w:val="en-US"/>
              </w:rPr>
              <w:t>L</w:t>
            </w:r>
          </w:p>
        </w:tc>
        <w:tc>
          <w:tcPr>
            <w:tcW w:w="555" w:type="dxa"/>
            <w:vAlign w:val="center"/>
          </w:tcPr>
          <w:p w14:paraId="6601127E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b/>
                <w:bCs/>
                <w:lang w:val="en-US"/>
              </w:rPr>
              <w:t>N</w:t>
            </w:r>
          </w:p>
        </w:tc>
        <w:tc>
          <w:tcPr>
            <w:tcW w:w="556" w:type="dxa"/>
            <w:vAlign w:val="center"/>
          </w:tcPr>
          <w:p w14:paraId="522F6408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b/>
                <w:bCs/>
                <w:lang w:val="en-US"/>
              </w:rPr>
              <w:t>S</w:t>
            </w:r>
          </w:p>
        </w:tc>
      </w:tr>
      <w:tr w:rsidR="006D067F" w:rsidRPr="00FB6C36" w14:paraId="1981797C" w14:textId="77777777" w:rsidTr="00886B3B">
        <w:trPr>
          <w:cantSplit/>
          <w:trHeight w:val="403"/>
        </w:trPr>
        <w:tc>
          <w:tcPr>
            <w:tcW w:w="1587" w:type="dxa"/>
          </w:tcPr>
          <w:p w14:paraId="28260DC1" w14:textId="77777777" w:rsidR="006D067F" w:rsidRPr="00FB6C36" w:rsidRDefault="006D067F" w:rsidP="00D6383C">
            <w:pPr>
              <w:keepNext/>
              <w:keepLines/>
              <w:rPr>
                <w:lang w:val="en-US"/>
              </w:rPr>
            </w:pPr>
            <w:r w:rsidRPr="00FB6C36">
              <w:rPr>
                <w:b/>
                <w:bCs/>
                <w:lang w:val="en-US"/>
              </w:rPr>
              <w:t>A</w:t>
            </w:r>
          </w:p>
        </w:tc>
        <w:tc>
          <w:tcPr>
            <w:tcW w:w="555" w:type="dxa"/>
          </w:tcPr>
          <w:p w14:paraId="56EA7210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lang w:val="en-US"/>
              </w:rPr>
              <w:t>X</w:t>
            </w:r>
          </w:p>
        </w:tc>
        <w:tc>
          <w:tcPr>
            <w:tcW w:w="555" w:type="dxa"/>
          </w:tcPr>
          <w:p w14:paraId="7B26BE8E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18693943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17C67391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334C4C4E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14:paraId="111822E2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65FEE3B5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7E728C03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0B725990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3CE29033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5AC2D8C8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14:paraId="00034BD9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</w:tr>
      <w:tr w:rsidR="006D067F" w:rsidRPr="00FB6C36" w14:paraId="698AA7FF" w14:textId="77777777" w:rsidTr="00886B3B">
        <w:trPr>
          <w:cantSplit/>
          <w:trHeight w:val="403"/>
        </w:trPr>
        <w:tc>
          <w:tcPr>
            <w:tcW w:w="1587" w:type="dxa"/>
          </w:tcPr>
          <w:p w14:paraId="171E3FA0" w14:textId="77777777" w:rsidR="006D067F" w:rsidRPr="00FB6C36" w:rsidRDefault="006D067F" w:rsidP="00D6383C">
            <w:pPr>
              <w:keepNext/>
              <w:keepLines/>
              <w:rPr>
                <w:lang w:val="en-US"/>
              </w:rPr>
            </w:pPr>
            <w:r w:rsidRPr="00FB6C36">
              <w:rPr>
                <w:b/>
                <w:bCs/>
                <w:lang w:val="en-US"/>
              </w:rPr>
              <w:t>B</w:t>
            </w:r>
          </w:p>
        </w:tc>
        <w:tc>
          <w:tcPr>
            <w:tcW w:w="555" w:type="dxa"/>
          </w:tcPr>
          <w:p w14:paraId="7E7B998D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66BEB629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lang w:val="en-US"/>
              </w:rPr>
              <w:t>X</w:t>
            </w:r>
          </w:p>
        </w:tc>
        <w:tc>
          <w:tcPr>
            <w:tcW w:w="555" w:type="dxa"/>
          </w:tcPr>
          <w:p w14:paraId="3D5F35C3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089E3EC7" w14:textId="77777777" w:rsidR="006D067F" w:rsidRPr="003B39FF" w:rsidRDefault="006D067F" w:rsidP="00D6383C">
            <w:pPr>
              <w:keepNext/>
              <w:keepLines/>
              <w:jc w:val="center"/>
              <w:rPr>
                <w:b/>
                <w:vertAlign w:val="superscript"/>
                <w:lang w:val="en-US"/>
              </w:rPr>
            </w:pPr>
            <w:r w:rsidRPr="003B39FF">
              <w:rPr>
                <w:b/>
                <w:vertAlign w:val="superscript"/>
                <w:lang w:val="en-US"/>
              </w:rPr>
              <w:t xml:space="preserve">a </w:t>
            </w:r>
          </w:p>
        </w:tc>
        <w:tc>
          <w:tcPr>
            <w:tcW w:w="555" w:type="dxa"/>
          </w:tcPr>
          <w:p w14:paraId="39DB0FF7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14:paraId="24004EFF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3AE3656D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40B6E9CE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44344A32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250F2925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51AA4722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14:paraId="0C77C343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lang w:val="en-US"/>
              </w:rPr>
              <w:t>X</w:t>
            </w:r>
          </w:p>
        </w:tc>
      </w:tr>
      <w:tr w:rsidR="006D067F" w:rsidRPr="00FB6C36" w14:paraId="1C96E030" w14:textId="77777777" w:rsidTr="00886B3B">
        <w:trPr>
          <w:cantSplit/>
          <w:trHeight w:val="403"/>
        </w:trPr>
        <w:tc>
          <w:tcPr>
            <w:tcW w:w="1587" w:type="dxa"/>
          </w:tcPr>
          <w:p w14:paraId="075BC67E" w14:textId="77777777" w:rsidR="006D067F" w:rsidRPr="004432B4" w:rsidRDefault="006D067F" w:rsidP="00D6383C">
            <w:pPr>
              <w:keepNext/>
              <w:keepLines/>
              <w:rPr>
                <w:b/>
                <w:lang w:val="en-US"/>
              </w:rPr>
            </w:pPr>
            <w:r w:rsidRPr="004432B4">
              <w:rPr>
                <w:b/>
                <w:lang w:val="en-US"/>
              </w:rPr>
              <w:t>C</w:t>
            </w:r>
          </w:p>
        </w:tc>
        <w:tc>
          <w:tcPr>
            <w:tcW w:w="555" w:type="dxa"/>
          </w:tcPr>
          <w:p w14:paraId="66DA95FB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6AB89F97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47CF42CA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lang w:val="en-US"/>
              </w:rPr>
              <w:t>X</w:t>
            </w:r>
          </w:p>
        </w:tc>
        <w:tc>
          <w:tcPr>
            <w:tcW w:w="555" w:type="dxa"/>
          </w:tcPr>
          <w:p w14:paraId="75421E8A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lang w:val="en-US"/>
              </w:rPr>
              <w:t>X</w:t>
            </w:r>
          </w:p>
        </w:tc>
        <w:tc>
          <w:tcPr>
            <w:tcW w:w="555" w:type="dxa"/>
          </w:tcPr>
          <w:p w14:paraId="049A8833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lang w:val="en-US"/>
              </w:rPr>
              <w:t>X</w:t>
            </w:r>
          </w:p>
        </w:tc>
        <w:tc>
          <w:tcPr>
            <w:tcW w:w="556" w:type="dxa"/>
          </w:tcPr>
          <w:p w14:paraId="3767CDF1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24545FFC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lang w:val="en-US"/>
              </w:rPr>
              <w:t>X</w:t>
            </w:r>
          </w:p>
        </w:tc>
        <w:tc>
          <w:tcPr>
            <w:tcW w:w="555" w:type="dxa"/>
          </w:tcPr>
          <w:p w14:paraId="53F2FA52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2B7A0956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03C4F127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35640E88" w14:textId="77777777" w:rsidR="006D067F" w:rsidRPr="00FB6C36" w:rsidRDefault="006D067F" w:rsidP="00D6383C">
            <w:pPr>
              <w:keepNext/>
              <w:keepLines/>
              <w:jc w:val="center"/>
              <w:rPr>
                <w:b/>
                <w:lang w:val="en-US"/>
              </w:rPr>
            </w:pPr>
            <w:r w:rsidRPr="00FB6C36">
              <w:rPr>
                <w:b/>
                <w:bCs/>
                <w:vertAlign w:val="superscript"/>
                <w:lang w:val="en-US"/>
              </w:rPr>
              <w:t>b c</w:t>
            </w:r>
          </w:p>
        </w:tc>
        <w:tc>
          <w:tcPr>
            <w:tcW w:w="556" w:type="dxa"/>
          </w:tcPr>
          <w:p w14:paraId="5A8E3512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lang w:val="en-US"/>
              </w:rPr>
              <w:t>X</w:t>
            </w:r>
          </w:p>
        </w:tc>
      </w:tr>
      <w:tr w:rsidR="006D067F" w:rsidRPr="00FB6C36" w14:paraId="28072015" w14:textId="77777777" w:rsidTr="00886B3B">
        <w:trPr>
          <w:cantSplit/>
          <w:trHeight w:val="403"/>
        </w:trPr>
        <w:tc>
          <w:tcPr>
            <w:tcW w:w="1587" w:type="dxa"/>
          </w:tcPr>
          <w:p w14:paraId="63235373" w14:textId="77777777" w:rsidR="006D067F" w:rsidRPr="00FB6C36" w:rsidRDefault="006D067F" w:rsidP="00D6383C">
            <w:pPr>
              <w:keepNext/>
              <w:keepLines/>
              <w:rPr>
                <w:lang w:val="en-US"/>
              </w:rPr>
            </w:pPr>
            <w:r w:rsidRPr="00FB6C36">
              <w:rPr>
                <w:b/>
                <w:bCs/>
                <w:lang w:val="en-US"/>
              </w:rPr>
              <w:t>D</w:t>
            </w:r>
          </w:p>
        </w:tc>
        <w:tc>
          <w:tcPr>
            <w:tcW w:w="555" w:type="dxa"/>
          </w:tcPr>
          <w:p w14:paraId="5D453D97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4458A964" w14:textId="77777777" w:rsidR="006D067F" w:rsidRPr="006005C8" w:rsidRDefault="006D067F" w:rsidP="00D6383C">
            <w:pPr>
              <w:keepNext/>
              <w:keepLines/>
              <w:jc w:val="center"/>
              <w:rPr>
                <w:b/>
                <w:vertAlign w:val="superscript"/>
                <w:lang w:val="en-US"/>
              </w:rPr>
            </w:pPr>
            <w:r w:rsidRPr="006005C8">
              <w:rPr>
                <w:b/>
                <w:vertAlign w:val="superscript"/>
                <w:lang w:val="en-US"/>
              </w:rPr>
              <w:t xml:space="preserve">a </w:t>
            </w:r>
          </w:p>
        </w:tc>
        <w:tc>
          <w:tcPr>
            <w:tcW w:w="555" w:type="dxa"/>
          </w:tcPr>
          <w:p w14:paraId="18672B83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lang w:val="en-US"/>
              </w:rPr>
              <w:t>X</w:t>
            </w:r>
          </w:p>
        </w:tc>
        <w:tc>
          <w:tcPr>
            <w:tcW w:w="555" w:type="dxa"/>
          </w:tcPr>
          <w:p w14:paraId="48FCED52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lang w:val="en-US"/>
              </w:rPr>
              <w:t>X</w:t>
            </w:r>
          </w:p>
        </w:tc>
        <w:tc>
          <w:tcPr>
            <w:tcW w:w="555" w:type="dxa"/>
          </w:tcPr>
          <w:p w14:paraId="2A294D7D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lang w:val="en-US"/>
              </w:rPr>
              <w:t>X</w:t>
            </w:r>
          </w:p>
        </w:tc>
        <w:tc>
          <w:tcPr>
            <w:tcW w:w="556" w:type="dxa"/>
          </w:tcPr>
          <w:p w14:paraId="0D8E8111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2EFA15AF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lang w:val="en-US"/>
              </w:rPr>
              <w:t>X</w:t>
            </w:r>
          </w:p>
        </w:tc>
        <w:tc>
          <w:tcPr>
            <w:tcW w:w="555" w:type="dxa"/>
          </w:tcPr>
          <w:p w14:paraId="4B1EB05E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7360DF29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665E2001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43FEA6CC" w14:textId="77777777" w:rsidR="006D067F" w:rsidRPr="00FB6C36" w:rsidRDefault="006D067F" w:rsidP="00D6383C">
            <w:pPr>
              <w:keepNext/>
              <w:keepLines/>
              <w:jc w:val="center"/>
              <w:rPr>
                <w:b/>
                <w:lang w:val="en-US"/>
              </w:rPr>
            </w:pPr>
            <w:r w:rsidRPr="00FB6C36">
              <w:rPr>
                <w:b/>
                <w:bCs/>
                <w:vertAlign w:val="superscript"/>
                <w:lang w:val="en-US"/>
              </w:rPr>
              <w:t>b c</w:t>
            </w:r>
          </w:p>
        </w:tc>
        <w:tc>
          <w:tcPr>
            <w:tcW w:w="556" w:type="dxa"/>
          </w:tcPr>
          <w:p w14:paraId="1B51B12F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lang w:val="en-US"/>
              </w:rPr>
              <w:t>X</w:t>
            </w:r>
          </w:p>
        </w:tc>
      </w:tr>
      <w:tr w:rsidR="006D067F" w:rsidRPr="002B253E" w14:paraId="14CE5868" w14:textId="77777777" w:rsidTr="00886B3B">
        <w:trPr>
          <w:cantSplit/>
          <w:trHeight w:val="403"/>
        </w:trPr>
        <w:tc>
          <w:tcPr>
            <w:tcW w:w="1587" w:type="dxa"/>
          </w:tcPr>
          <w:p w14:paraId="34668E76" w14:textId="77777777" w:rsidR="006D067F" w:rsidRPr="00FB6C36" w:rsidRDefault="006D067F" w:rsidP="00D6383C">
            <w:pPr>
              <w:keepNext/>
              <w:keepLines/>
              <w:rPr>
                <w:lang w:val="en-US"/>
              </w:rPr>
            </w:pPr>
            <w:r w:rsidRPr="00FB6C36">
              <w:rPr>
                <w:b/>
                <w:bCs/>
                <w:lang w:val="en-US"/>
              </w:rPr>
              <w:t>E</w:t>
            </w:r>
          </w:p>
        </w:tc>
        <w:tc>
          <w:tcPr>
            <w:tcW w:w="555" w:type="dxa"/>
          </w:tcPr>
          <w:p w14:paraId="5D740D9F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483B74E9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2C00FAEB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lang w:val="en-US"/>
              </w:rPr>
              <w:t>X</w:t>
            </w:r>
          </w:p>
        </w:tc>
        <w:tc>
          <w:tcPr>
            <w:tcW w:w="555" w:type="dxa"/>
          </w:tcPr>
          <w:p w14:paraId="3CA6CEE8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lang w:val="en-US"/>
              </w:rPr>
              <w:t>X</w:t>
            </w:r>
          </w:p>
        </w:tc>
        <w:tc>
          <w:tcPr>
            <w:tcW w:w="555" w:type="dxa"/>
          </w:tcPr>
          <w:p w14:paraId="665C6356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lang w:val="en-US"/>
              </w:rPr>
              <w:t>X</w:t>
            </w:r>
          </w:p>
        </w:tc>
        <w:tc>
          <w:tcPr>
            <w:tcW w:w="556" w:type="dxa"/>
          </w:tcPr>
          <w:p w14:paraId="015BB7E8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36AAF4B5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  <w:r w:rsidRPr="00FB6C36">
              <w:rPr>
                <w:lang w:val="en-US"/>
              </w:rPr>
              <w:t>X</w:t>
            </w:r>
          </w:p>
        </w:tc>
        <w:tc>
          <w:tcPr>
            <w:tcW w:w="555" w:type="dxa"/>
          </w:tcPr>
          <w:p w14:paraId="577A8AC9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132B2DD2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7A897ADF" w14:textId="77777777" w:rsidR="006D067F" w:rsidRPr="00FB6C36" w:rsidRDefault="006D067F" w:rsidP="00D6383C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555" w:type="dxa"/>
          </w:tcPr>
          <w:p w14:paraId="073BB5F3" w14:textId="77777777" w:rsidR="006D067F" w:rsidRPr="00FB6C36" w:rsidRDefault="006D067F" w:rsidP="00D6383C">
            <w:pPr>
              <w:keepNext/>
              <w:keepLines/>
              <w:jc w:val="center"/>
              <w:rPr>
                <w:b/>
                <w:lang w:val="en-US"/>
              </w:rPr>
            </w:pPr>
            <w:r w:rsidRPr="00FB6C36">
              <w:rPr>
                <w:b/>
                <w:bCs/>
                <w:vertAlign w:val="superscript"/>
                <w:lang w:val="en-US"/>
              </w:rPr>
              <w:t>b c</w:t>
            </w:r>
          </w:p>
        </w:tc>
        <w:tc>
          <w:tcPr>
            <w:tcW w:w="556" w:type="dxa"/>
          </w:tcPr>
          <w:p w14:paraId="18BFE559" w14:textId="77777777" w:rsidR="006D067F" w:rsidRPr="002B253E" w:rsidRDefault="006D067F" w:rsidP="00D6383C">
            <w:pPr>
              <w:keepNext/>
              <w:keepLines/>
              <w:jc w:val="center"/>
            </w:pPr>
            <w:r w:rsidRPr="002B253E">
              <w:t>X</w:t>
            </w:r>
          </w:p>
        </w:tc>
      </w:tr>
      <w:tr w:rsidR="006D067F" w:rsidRPr="002B253E" w14:paraId="1F472038" w14:textId="77777777" w:rsidTr="00886B3B">
        <w:trPr>
          <w:cantSplit/>
          <w:trHeight w:val="403"/>
        </w:trPr>
        <w:tc>
          <w:tcPr>
            <w:tcW w:w="1587" w:type="dxa"/>
          </w:tcPr>
          <w:p w14:paraId="4B2255C9" w14:textId="77777777" w:rsidR="006D067F" w:rsidRPr="002B253E" w:rsidRDefault="006D067F" w:rsidP="00D6383C">
            <w:pPr>
              <w:keepNext/>
              <w:keepLines/>
            </w:pPr>
            <w:r w:rsidRPr="002B253E">
              <w:rPr>
                <w:b/>
                <w:bCs/>
              </w:rPr>
              <w:t>F</w:t>
            </w:r>
          </w:p>
        </w:tc>
        <w:tc>
          <w:tcPr>
            <w:tcW w:w="555" w:type="dxa"/>
          </w:tcPr>
          <w:p w14:paraId="7F41EF36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1F82D9BD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79E7E985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50F6868E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1C94DD84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6" w:type="dxa"/>
          </w:tcPr>
          <w:p w14:paraId="1602C1F6" w14:textId="77777777" w:rsidR="006D067F" w:rsidRPr="002B253E" w:rsidRDefault="006D067F" w:rsidP="00D6383C">
            <w:pPr>
              <w:keepNext/>
              <w:keepLines/>
              <w:jc w:val="center"/>
            </w:pPr>
            <w:r w:rsidRPr="002B253E">
              <w:t>X</w:t>
            </w:r>
          </w:p>
        </w:tc>
        <w:tc>
          <w:tcPr>
            <w:tcW w:w="555" w:type="dxa"/>
          </w:tcPr>
          <w:p w14:paraId="02D7A5E8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260456DA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0F84AB10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6FA34253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65346F39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6" w:type="dxa"/>
          </w:tcPr>
          <w:p w14:paraId="279BCE53" w14:textId="77777777" w:rsidR="006D067F" w:rsidRPr="002B253E" w:rsidRDefault="006D067F" w:rsidP="00D6383C">
            <w:pPr>
              <w:keepNext/>
              <w:keepLines/>
              <w:jc w:val="center"/>
            </w:pPr>
            <w:r w:rsidRPr="002B253E">
              <w:t>X</w:t>
            </w:r>
          </w:p>
        </w:tc>
      </w:tr>
      <w:tr w:rsidR="006D067F" w:rsidRPr="002B253E" w14:paraId="78F08F6B" w14:textId="77777777" w:rsidTr="00886B3B">
        <w:trPr>
          <w:cantSplit/>
          <w:trHeight w:val="403"/>
        </w:trPr>
        <w:tc>
          <w:tcPr>
            <w:tcW w:w="1587" w:type="dxa"/>
          </w:tcPr>
          <w:p w14:paraId="06ABC490" w14:textId="77777777" w:rsidR="006D067F" w:rsidRPr="002B253E" w:rsidRDefault="006D067F" w:rsidP="00D6383C">
            <w:pPr>
              <w:keepNext/>
              <w:keepLines/>
            </w:pPr>
            <w:r w:rsidRPr="002B253E">
              <w:rPr>
                <w:b/>
                <w:bCs/>
              </w:rPr>
              <w:t>G</w:t>
            </w:r>
          </w:p>
        </w:tc>
        <w:tc>
          <w:tcPr>
            <w:tcW w:w="555" w:type="dxa"/>
          </w:tcPr>
          <w:p w14:paraId="06A06EFB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53CE3C2B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29E7252C" w14:textId="77777777" w:rsidR="006D067F" w:rsidRPr="002B253E" w:rsidRDefault="006D067F" w:rsidP="00D6383C">
            <w:pPr>
              <w:keepNext/>
              <w:keepLines/>
              <w:jc w:val="center"/>
            </w:pPr>
            <w:r w:rsidRPr="002B253E">
              <w:t>X</w:t>
            </w:r>
          </w:p>
        </w:tc>
        <w:tc>
          <w:tcPr>
            <w:tcW w:w="555" w:type="dxa"/>
          </w:tcPr>
          <w:p w14:paraId="2389E3E0" w14:textId="77777777" w:rsidR="006D067F" w:rsidRPr="002B253E" w:rsidRDefault="006D067F" w:rsidP="00D6383C">
            <w:pPr>
              <w:keepNext/>
              <w:keepLines/>
              <w:jc w:val="center"/>
            </w:pPr>
            <w:r w:rsidRPr="002B253E">
              <w:t>X</w:t>
            </w:r>
          </w:p>
        </w:tc>
        <w:tc>
          <w:tcPr>
            <w:tcW w:w="555" w:type="dxa"/>
          </w:tcPr>
          <w:p w14:paraId="7BF7C883" w14:textId="77777777" w:rsidR="006D067F" w:rsidRPr="002B253E" w:rsidRDefault="006D067F" w:rsidP="00D6383C">
            <w:pPr>
              <w:keepNext/>
              <w:keepLines/>
              <w:jc w:val="center"/>
            </w:pPr>
            <w:r w:rsidRPr="002B253E">
              <w:t>X</w:t>
            </w:r>
          </w:p>
        </w:tc>
        <w:tc>
          <w:tcPr>
            <w:tcW w:w="556" w:type="dxa"/>
          </w:tcPr>
          <w:p w14:paraId="6BD43602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4728E4A3" w14:textId="77777777" w:rsidR="006D067F" w:rsidRPr="002B253E" w:rsidRDefault="006D067F" w:rsidP="00D6383C">
            <w:pPr>
              <w:keepNext/>
              <w:keepLines/>
              <w:jc w:val="center"/>
            </w:pPr>
            <w:r w:rsidRPr="002B253E">
              <w:t>X</w:t>
            </w:r>
          </w:p>
        </w:tc>
        <w:tc>
          <w:tcPr>
            <w:tcW w:w="555" w:type="dxa"/>
          </w:tcPr>
          <w:p w14:paraId="06D80913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28E0D8CC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54E9DB1B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2A878236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6" w:type="dxa"/>
          </w:tcPr>
          <w:p w14:paraId="2B9B1E92" w14:textId="77777777" w:rsidR="006D067F" w:rsidRPr="002B253E" w:rsidRDefault="006D067F" w:rsidP="00D6383C">
            <w:pPr>
              <w:keepNext/>
              <w:keepLines/>
              <w:jc w:val="center"/>
            </w:pPr>
            <w:r w:rsidRPr="002B253E">
              <w:t>X</w:t>
            </w:r>
          </w:p>
        </w:tc>
      </w:tr>
      <w:tr w:rsidR="006D067F" w:rsidRPr="002B253E" w14:paraId="2BCA6688" w14:textId="77777777" w:rsidTr="00886B3B">
        <w:trPr>
          <w:cantSplit/>
          <w:trHeight w:val="403"/>
        </w:trPr>
        <w:tc>
          <w:tcPr>
            <w:tcW w:w="1587" w:type="dxa"/>
          </w:tcPr>
          <w:p w14:paraId="3FBAE78B" w14:textId="77777777" w:rsidR="006D067F" w:rsidRPr="002B253E" w:rsidRDefault="006D067F" w:rsidP="00D6383C">
            <w:pPr>
              <w:keepNext/>
              <w:keepLines/>
            </w:pPr>
            <w:r w:rsidRPr="002B253E">
              <w:rPr>
                <w:b/>
                <w:bCs/>
              </w:rPr>
              <w:t>H</w:t>
            </w:r>
          </w:p>
        </w:tc>
        <w:tc>
          <w:tcPr>
            <w:tcW w:w="555" w:type="dxa"/>
          </w:tcPr>
          <w:p w14:paraId="00519A17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5591089F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3804924E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226D9AB2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61D468C4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6" w:type="dxa"/>
          </w:tcPr>
          <w:p w14:paraId="2CC419B2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7A1A8A1E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67319389" w14:textId="77777777" w:rsidR="006D067F" w:rsidRPr="002B253E" w:rsidRDefault="006D067F" w:rsidP="00D6383C">
            <w:pPr>
              <w:keepNext/>
              <w:keepLines/>
              <w:jc w:val="center"/>
            </w:pPr>
            <w:r w:rsidRPr="002B253E">
              <w:t>X</w:t>
            </w:r>
          </w:p>
        </w:tc>
        <w:tc>
          <w:tcPr>
            <w:tcW w:w="555" w:type="dxa"/>
          </w:tcPr>
          <w:p w14:paraId="73F5EBAC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3C5F1DD2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2807D057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6" w:type="dxa"/>
          </w:tcPr>
          <w:p w14:paraId="4ED06548" w14:textId="77777777" w:rsidR="006D067F" w:rsidRPr="002B253E" w:rsidRDefault="006D067F" w:rsidP="00D6383C">
            <w:pPr>
              <w:keepNext/>
              <w:keepLines/>
              <w:jc w:val="center"/>
            </w:pPr>
            <w:r w:rsidRPr="002B253E">
              <w:t>X</w:t>
            </w:r>
          </w:p>
        </w:tc>
      </w:tr>
      <w:tr w:rsidR="006D067F" w:rsidRPr="002B253E" w14:paraId="66C95D4A" w14:textId="77777777" w:rsidTr="00886B3B">
        <w:trPr>
          <w:cantSplit/>
          <w:trHeight w:val="403"/>
        </w:trPr>
        <w:tc>
          <w:tcPr>
            <w:tcW w:w="1587" w:type="dxa"/>
          </w:tcPr>
          <w:p w14:paraId="0ECC2E0D" w14:textId="77777777" w:rsidR="006D067F" w:rsidRPr="002B253E" w:rsidRDefault="006D067F" w:rsidP="00D6383C">
            <w:pPr>
              <w:keepNext/>
              <w:keepLines/>
            </w:pPr>
            <w:r w:rsidRPr="002B253E">
              <w:rPr>
                <w:b/>
                <w:bCs/>
              </w:rPr>
              <w:t>J</w:t>
            </w:r>
          </w:p>
        </w:tc>
        <w:tc>
          <w:tcPr>
            <w:tcW w:w="555" w:type="dxa"/>
          </w:tcPr>
          <w:p w14:paraId="4A0F5681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49766C07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5F1B283A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2FE31130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3517294B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6" w:type="dxa"/>
          </w:tcPr>
          <w:p w14:paraId="5497E754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62926D7C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267F246F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76A58FDC" w14:textId="77777777" w:rsidR="006D067F" w:rsidRPr="002B253E" w:rsidRDefault="006D067F" w:rsidP="00D6383C">
            <w:pPr>
              <w:keepNext/>
              <w:keepLines/>
              <w:jc w:val="center"/>
            </w:pPr>
            <w:r w:rsidRPr="002B253E">
              <w:t>X</w:t>
            </w:r>
          </w:p>
        </w:tc>
        <w:tc>
          <w:tcPr>
            <w:tcW w:w="555" w:type="dxa"/>
          </w:tcPr>
          <w:p w14:paraId="488CED72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617E1870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6" w:type="dxa"/>
          </w:tcPr>
          <w:p w14:paraId="3D7C5B5A" w14:textId="77777777" w:rsidR="006D067F" w:rsidRPr="002B253E" w:rsidRDefault="006D067F" w:rsidP="00D6383C">
            <w:pPr>
              <w:keepNext/>
              <w:keepLines/>
              <w:jc w:val="center"/>
            </w:pPr>
            <w:r w:rsidRPr="002B253E">
              <w:t>X</w:t>
            </w:r>
          </w:p>
        </w:tc>
      </w:tr>
      <w:tr w:rsidR="006D067F" w:rsidRPr="002B253E" w14:paraId="25F19509" w14:textId="77777777" w:rsidTr="00886B3B">
        <w:trPr>
          <w:cantSplit/>
          <w:trHeight w:val="403"/>
        </w:trPr>
        <w:tc>
          <w:tcPr>
            <w:tcW w:w="1587" w:type="dxa"/>
          </w:tcPr>
          <w:p w14:paraId="560CD8AB" w14:textId="77777777" w:rsidR="006D067F" w:rsidRPr="002B253E" w:rsidRDefault="006D067F" w:rsidP="00D6383C">
            <w:pPr>
              <w:keepNext/>
              <w:keepLines/>
            </w:pPr>
            <w:r w:rsidRPr="002B253E">
              <w:rPr>
                <w:b/>
                <w:bCs/>
              </w:rPr>
              <w:t>L</w:t>
            </w:r>
          </w:p>
        </w:tc>
        <w:tc>
          <w:tcPr>
            <w:tcW w:w="555" w:type="dxa"/>
          </w:tcPr>
          <w:p w14:paraId="45E0EA78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608FC8F8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071DC7F6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1C8CD121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613FB1A2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6" w:type="dxa"/>
          </w:tcPr>
          <w:p w14:paraId="638E7B1A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6C1579D2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0EEF6447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10E6BC5B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7ED4AA40" w14:textId="77777777" w:rsidR="006D067F" w:rsidRPr="00F5798C" w:rsidRDefault="006D067F" w:rsidP="00D6383C">
            <w:pPr>
              <w:keepNext/>
              <w:keepLines/>
              <w:jc w:val="center"/>
              <w:rPr>
                <w:b/>
                <w:vertAlign w:val="superscript"/>
              </w:rPr>
            </w:pPr>
            <w:r w:rsidRPr="00F5798C">
              <w:rPr>
                <w:b/>
                <w:vertAlign w:val="superscript"/>
              </w:rPr>
              <w:t xml:space="preserve">d </w:t>
            </w:r>
          </w:p>
        </w:tc>
        <w:tc>
          <w:tcPr>
            <w:tcW w:w="555" w:type="dxa"/>
          </w:tcPr>
          <w:p w14:paraId="3F94461F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6" w:type="dxa"/>
          </w:tcPr>
          <w:p w14:paraId="3652EA41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</w:tr>
      <w:tr w:rsidR="006D067F" w:rsidRPr="002B253E" w14:paraId="763A9F4C" w14:textId="77777777" w:rsidTr="00886B3B">
        <w:trPr>
          <w:cantSplit/>
          <w:trHeight w:val="403"/>
        </w:trPr>
        <w:tc>
          <w:tcPr>
            <w:tcW w:w="1587" w:type="dxa"/>
          </w:tcPr>
          <w:p w14:paraId="3FEF3071" w14:textId="77777777" w:rsidR="006D067F" w:rsidRPr="002B253E" w:rsidRDefault="006D067F" w:rsidP="00D6383C">
            <w:pPr>
              <w:keepNext/>
              <w:keepLines/>
            </w:pPr>
            <w:r w:rsidRPr="002B253E">
              <w:rPr>
                <w:b/>
                <w:bCs/>
              </w:rPr>
              <w:t>N</w:t>
            </w:r>
          </w:p>
        </w:tc>
        <w:tc>
          <w:tcPr>
            <w:tcW w:w="555" w:type="dxa"/>
          </w:tcPr>
          <w:p w14:paraId="56224567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7BCD5EE6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10BE9FA2" w14:textId="77777777" w:rsidR="006D067F" w:rsidRPr="002B253E" w:rsidRDefault="006D067F" w:rsidP="00D6383C">
            <w:pPr>
              <w:keepNext/>
              <w:keepLines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b c</w:t>
            </w:r>
          </w:p>
        </w:tc>
        <w:tc>
          <w:tcPr>
            <w:tcW w:w="555" w:type="dxa"/>
          </w:tcPr>
          <w:p w14:paraId="7BFEC9E9" w14:textId="77777777" w:rsidR="006D067F" w:rsidRPr="002B253E" w:rsidRDefault="006D067F" w:rsidP="00D6383C">
            <w:pPr>
              <w:keepNext/>
              <w:keepLines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b c</w:t>
            </w:r>
          </w:p>
        </w:tc>
        <w:tc>
          <w:tcPr>
            <w:tcW w:w="555" w:type="dxa"/>
          </w:tcPr>
          <w:p w14:paraId="7894FB75" w14:textId="77777777" w:rsidR="006D067F" w:rsidRPr="002B253E" w:rsidRDefault="006D067F" w:rsidP="00D6383C">
            <w:pPr>
              <w:keepNext/>
              <w:keepLines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b c</w:t>
            </w:r>
          </w:p>
        </w:tc>
        <w:tc>
          <w:tcPr>
            <w:tcW w:w="556" w:type="dxa"/>
          </w:tcPr>
          <w:p w14:paraId="067FB59D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6C66F01F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4416B5EB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364DDE80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645D9E14" w14:textId="77777777" w:rsidR="006D067F" w:rsidRPr="002B253E" w:rsidRDefault="006D067F" w:rsidP="00D6383C">
            <w:pPr>
              <w:keepNext/>
              <w:keepLines/>
              <w:jc w:val="center"/>
            </w:pPr>
          </w:p>
        </w:tc>
        <w:tc>
          <w:tcPr>
            <w:tcW w:w="555" w:type="dxa"/>
          </w:tcPr>
          <w:p w14:paraId="76864D57" w14:textId="77777777" w:rsidR="006D067F" w:rsidRPr="002B253E" w:rsidRDefault="006D067F" w:rsidP="00D6383C">
            <w:pPr>
              <w:keepNext/>
              <w:keepLines/>
              <w:jc w:val="center"/>
              <w:rPr>
                <w:b/>
              </w:rPr>
            </w:pPr>
            <w:r w:rsidRPr="002B253E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556" w:type="dxa"/>
          </w:tcPr>
          <w:p w14:paraId="1951E7E9" w14:textId="77777777" w:rsidR="006D067F" w:rsidRPr="002B253E" w:rsidRDefault="006D067F" w:rsidP="00D6383C">
            <w:pPr>
              <w:keepNext/>
              <w:keepLines/>
              <w:jc w:val="center"/>
            </w:pPr>
            <w:r w:rsidRPr="002B253E">
              <w:t>X</w:t>
            </w:r>
          </w:p>
        </w:tc>
      </w:tr>
      <w:tr w:rsidR="006D067F" w:rsidRPr="002B253E" w14:paraId="10867BBA" w14:textId="77777777" w:rsidTr="00886B3B">
        <w:trPr>
          <w:cantSplit/>
          <w:trHeight w:val="403"/>
        </w:trPr>
        <w:tc>
          <w:tcPr>
            <w:tcW w:w="1587" w:type="dxa"/>
          </w:tcPr>
          <w:p w14:paraId="41FE15A7" w14:textId="77777777" w:rsidR="006D067F" w:rsidRPr="002B253E" w:rsidRDefault="006D067F" w:rsidP="00D6383C">
            <w:pPr>
              <w:keepLines/>
            </w:pPr>
            <w:r w:rsidRPr="002B253E">
              <w:rPr>
                <w:b/>
                <w:bCs/>
              </w:rPr>
              <w:t>S</w:t>
            </w:r>
          </w:p>
        </w:tc>
        <w:tc>
          <w:tcPr>
            <w:tcW w:w="555" w:type="dxa"/>
          </w:tcPr>
          <w:p w14:paraId="4B918900" w14:textId="77777777" w:rsidR="006D067F" w:rsidRPr="002B253E" w:rsidRDefault="006D067F" w:rsidP="00D6383C">
            <w:pPr>
              <w:keepLines/>
              <w:jc w:val="center"/>
            </w:pPr>
          </w:p>
        </w:tc>
        <w:tc>
          <w:tcPr>
            <w:tcW w:w="555" w:type="dxa"/>
          </w:tcPr>
          <w:p w14:paraId="29419CF8" w14:textId="77777777" w:rsidR="006D067F" w:rsidRPr="002B253E" w:rsidRDefault="006D067F" w:rsidP="00D6383C">
            <w:pPr>
              <w:keepLines/>
              <w:jc w:val="center"/>
            </w:pPr>
            <w:r w:rsidRPr="002B253E">
              <w:t>X</w:t>
            </w:r>
          </w:p>
        </w:tc>
        <w:tc>
          <w:tcPr>
            <w:tcW w:w="555" w:type="dxa"/>
          </w:tcPr>
          <w:p w14:paraId="552F9302" w14:textId="77777777" w:rsidR="006D067F" w:rsidRPr="002B253E" w:rsidRDefault="006D067F" w:rsidP="00D6383C">
            <w:pPr>
              <w:keepLines/>
              <w:jc w:val="center"/>
            </w:pPr>
            <w:r w:rsidRPr="002B253E">
              <w:t>X</w:t>
            </w:r>
          </w:p>
        </w:tc>
        <w:tc>
          <w:tcPr>
            <w:tcW w:w="555" w:type="dxa"/>
          </w:tcPr>
          <w:p w14:paraId="1D27A76B" w14:textId="77777777" w:rsidR="006D067F" w:rsidRPr="002B253E" w:rsidRDefault="006D067F" w:rsidP="00D6383C">
            <w:pPr>
              <w:keepLines/>
              <w:jc w:val="center"/>
            </w:pPr>
            <w:r w:rsidRPr="002B253E">
              <w:t>X</w:t>
            </w:r>
          </w:p>
        </w:tc>
        <w:tc>
          <w:tcPr>
            <w:tcW w:w="555" w:type="dxa"/>
          </w:tcPr>
          <w:p w14:paraId="154E78BC" w14:textId="77777777" w:rsidR="006D067F" w:rsidRPr="002B253E" w:rsidRDefault="006D067F" w:rsidP="00D6383C">
            <w:pPr>
              <w:keepLines/>
              <w:jc w:val="center"/>
            </w:pPr>
            <w:r w:rsidRPr="002B253E">
              <w:t>X</w:t>
            </w:r>
          </w:p>
        </w:tc>
        <w:tc>
          <w:tcPr>
            <w:tcW w:w="556" w:type="dxa"/>
          </w:tcPr>
          <w:p w14:paraId="7E7A74FF" w14:textId="77777777" w:rsidR="006D067F" w:rsidRPr="002B253E" w:rsidRDefault="006D067F" w:rsidP="00D6383C">
            <w:pPr>
              <w:keepLines/>
              <w:jc w:val="center"/>
            </w:pPr>
            <w:r w:rsidRPr="002B253E">
              <w:t>X</w:t>
            </w:r>
          </w:p>
        </w:tc>
        <w:tc>
          <w:tcPr>
            <w:tcW w:w="555" w:type="dxa"/>
          </w:tcPr>
          <w:p w14:paraId="3AE75D63" w14:textId="77777777" w:rsidR="006D067F" w:rsidRPr="002B253E" w:rsidRDefault="006D067F" w:rsidP="00D6383C">
            <w:pPr>
              <w:keepLines/>
              <w:jc w:val="center"/>
            </w:pPr>
            <w:r w:rsidRPr="002B253E">
              <w:t>X</w:t>
            </w:r>
          </w:p>
        </w:tc>
        <w:tc>
          <w:tcPr>
            <w:tcW w:w="555" w:type="dxa"/>
          </w:tcPr>
          <w:p w14:paraId="58F67774" w14:textId="77777777" w:rsidR="006D067F" w:rsidRPr="002B253E" w:rsidRDefault="006D067F" w:rsidP="00D6383C">
            <w:pPr>
              <w:keepLines/>
              <w:jc w:val="center"/>
            </w:pPr>
            <w:r w:rsidRPr="002B253E">
              <w:t>X</w:t>
            </w:r>
          </w:p>
        </w:tc>
        <w:tc>
          <w:tcPr>
            <w:tcW w:w="555" w:type="dxa"/>
          </w:tcPr>
          <w:p w14:paraId="02518AD7" w14:textId="77777777" w:rsidR="006D067F" w:rsidRPr="002B253E" w:rsidRDefault="006D067F" w:rsidP="00D6383C">
            <w:pPr>
              <w:keepLines/>
              <w:jc w:val="center"/>
            </w:pPr>
            <w:r w:rsidRPr="002B253E">
              <w:t>X</w:t>
            </w:r>
          </w:p>
        </w:tc>
        <w:tc>
          <w:tcPr>
            <w:tcW w:w="555" w:type="dxa"/>
          </w:tcPr>
          <w:p w14:paraId="0D480A96" w14:textId="77777777" w:rsidR="006D067F" w:rsidRPr="002B253E" w:rsidRDefault="006D067F" w:rsidP="00D6383C">
            <w:pPr>
              <w:keepLines/>
              <w:jc w:val="center"/>
            </w:pPr>
          </w:p>
        </w:tc>
        <w:tc>
          <w:tcPr>
            <w:tcW w:w="555" w:type="dxa"/>
          </w:tcPr>
          <w:p w14:paraId="1FCAE3FA" w14:textId="77777777" w:rsidR="006D067F" w:rsidRPr="002B253E" w:rsidRDefault="006D067F" w:rsidP="00D6383C">
            <w:pPr>
              <w:keepLines/>
              <w:jc w:val="center"/>
            </w:pPr>
            <w:r w:rsidRPr="002B253E">
              <w:t>X</w:t>
            </w:r>
          </w:p>
        </w:tc>
        <w:tc>
          <w:tcPr>
            <w:tcW w:w="556" w:type="dxa"/>
          </w:tcPr>
          <w:p w14:paraId="4598C33B" w14:textId="77777777" w:rsidR="006D067F" w:rsidRPr="002B253E" w:rsidRDefault="006D067F" w:rsidP="00D6383C">
            <w:pPr>
              <w:keepLines/>
              <w:jc w:val="center"/>
            </w:pPr>
            <w:r w:rsidRPr="002B253E">
              <w:t>X</w:t>
            </w:r>
          </w:p>
        </w:tc>
      </w:tr>
    </w:tbl>
    <w:p w14:paraId="12453CBB" w14:textId="77777777" w:rsidR="00E12C5F" w:rsidRPr="006D067F" w:rsidRDefault="006D067F" w:rsidP="006D067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6D067F" w:rsidSect="006D0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2A7EE" w14:textId="77777777" w:rsidR="000C2858" w:rsidRPr="00A312BC" w:rsidRDefault="000C2858" w:rsidP="00A312BC"/>
  </w:endnote>
  <w:endnote w:type="continuationSeparator" w:id="0">
    <w:p w14:paraId="56443B1F" w14:textId="77777777" w:rsidR="000C2858" w:rsidRPr="00A312BC" w:rsidRDefault="000C285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5B49" w14:textId="77777777" w:rsidR="006D067F" w:rsidRPr="006D067F" w:rsidRDefault="006D067F">
    <w:pPr>
      <w:pStyle w:val="Footer"/>
    </w:pPr>
    <w:r w:rsidRPr="006D067F">
      <w:rPr>
        <w:b/>
        <w:sz w:val="18"/>
      </w:rPr>
      <w:fldChar w:fldCharType="begin"/>
    </w:r>
    <w:r w:rsidRPr="006D067F">
      <w:rPr>
        <w:b/>
        <w:sz w:val="18"/>
      </w:rPr>
      <w:instrText xml:space="preserve"> PAGE  \* MERGEFORMAT </w:instrText>
    </w:r>
    <w:r w:rsidRPr="006D067F">
      <w:rPr>
        <w:b/>
        <w:sz w:val="18"/>
      </w:rPr>
      <w:fldChar w:fldCharType="separate"/>
    </w:r>
    <w:r w:rsidR="00FC2415">
      <w:rPr>
        <w:b/>
        <w:noProof/>
        <w:sz w:val="18"/>
      </w:rPr>
      <w:t>2</w:t>
    </w:r>
    <w:r w:rsidRPr="006D067F">
      <w:rPr>
        <w:b/>
        <w:sz w:val="18"/>
      </w:rPr>
      <w:fldChar w:fldCharType="end"/>
    </w:r>
    <w:r>
      <w:rPr>
        <w:b/>
        <w:sz w:val="18"/>
      </w:rPr>
      <w:tab/>
    </w:r>
    <w:r>
      <w:t>GE.20-02609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2B875" w14:textId="77777777" w:rsidR="006D067F" w:rsidRPr="006D067F" w:rsidRDefault="006D067F" w:rsidP="006D067F">
    <w:pPr>
      <w:pStyle w:val="Footer"/>
      <w:tabs>
        <w:tab w:val="clear" w:pos="9639"/>
        <w:tab w:val="right" w:pos="9638"/>
      </w:tabs>
      <w:rPr>
        <w:b/>
        <w:sz w:val="18"/>
      </w:rPr>
    </w:pPr>
    <w:r>
      <w:t>GE.20-02609</w:t>
    </w:r>
    <w:r>
      <w:tab/>
    </w:r>
    <w:r w:rsidRPr="006D067F">
      <w:rPr>
        <w:b/>
        <w:sz w:val="18"/>
      </w:rPr>
      <w:fldChar w:fldCharType="begin"/>
    </w:r>
    <w:r w:rsidRPr="006D067F">
      <w:rPr>
        <w:b/>
        <w:sz w:val="18"/>
      </w:rPr>
      <w:instrText xml:space="preserve"> PAGE  \* MERGEFORMAT </w:instrText>
    </w:r>
    <w:r w:rsidRPr="006D067F">
      <w:rPr>
        <w:b/>
        <w:sz w:val="18"/>
      </w:rPr>
      <w:fldChar w:fldCharType="separate"/>
    </w:r>
    <w:r w:rsidR="00FC2415">
      <w:rPr>
        <w:b/>
        <w:noProof/>
        <w:sz w:val="18"/>
      </w:rPr>
      <w:t>3</w:t>
    </w:r>
    <w:r w:rsidRPr="006D06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D064" w14:textId="77777777" w:rsidR="00042B72" w:rsidRPr="006D067F" w:rsidRDefault="006D067F" w:rsidP="006D067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6B853E9" wp14:editId="6877B47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20-02609  (R)</w:t>
    </w:r>
    <w:r>
      <w:rPr>
        <w:lang w:val="en-US"/>
      </w:rPr>
      <w:t xml:space="preserve">  020320  0</w:t>
    </w:r>
    <w:r w:rsidR="00D546C3">
      <w:rPr>
        <w:lang w:val="en-US"/>
      </w:rPr>
      <w:t>3</w:t>
    </w:r>
    <w:r>
      <w:rPr>
        <w:lang w:val="en-US"/>
      </w:rPr>
      <w:t>0320</w:t>
    </w:r>
    <w:r>
      <w:br/>
    </w:r>
    <w:r w:rsidRPr="006D067F">
      <w:rPr>
        <w:rFonts w:ascii="C39T30Lfz" w:hAnsi="C39T30Lfz"/>
        <w:kern w:val="14"/>
        <w:sz w:val="56"/>
      </w:rPr>
      <w:t></w:t>
    </w:r>
    <w:r w:rsidRPr="006D067F">
      <w:rPr>
        <w:rFonts w:ascii="C39T30Lfz" w:hAnsi="C39T30Lfz"/>
        <w:kern w:val="14"/>
        <w:sz w:val="56"/>
      </w:rPr>
      <w:t></w:t>
    </w:r>
    <w:r w:rsidRPr="006D067F">
      <w:rPr>
        <w:rFonts w:ascii="C39T30Lfz" w:hAnsi="C39T30Lfz"/>
        <w:kern w:val="14"/>
        <w:sz w:val="56"/>
      </w:rPr>
      <w:t></w:t>
    </w:r>
    <w:r w:rsidRPr="006D067F">
      <w:rPr>
        <w:rFonts w:ascii="C39T30Lfz" w:hAnsi="C39T30Lfz"/>
        <w:kern w:val="14"/>
        <w:sz w:val="56"/>
      </w:rPr>
      <w:t></w:t>
    </w:r>
    <w:r w:rsidRPr="006D067F">
      <w:rPr>
        <w:rFonts w:ascii="C39T30Lfz" w:hAnsi="C39T30Lfz"/>
        <w:kern w:val="14"/>
        <w:sz w:val="56"/>
      </w:rPr>
      <w:t></w:t>
    </w:r>
    <w:r w:rsidRPr="006D067F">
      <w:rPr>
        <w:rFonts w:ascii="C39T30Lfz" w:hAnsi="C39T30Lfz"/>
        <w:kern w:val="14"/>
        <w:sz w:val="56"/>
      </w:rPr>
      <w:t></w:t>
    </w:r>
    <w:r w:rsidRPr="006D067F">
      <w:rPr>
        <w:rFonts w:ascii="C39T30Lfz" w:hAnsi="C39T30Lfz"/>
        <w:kern w:val="14"/>
        <w:sz w:val="56"/>
      </w:rPr>
      <w:t></w:t>
    </w:r>
    <w:r w:rsidRPr="006D067F">
      <w:rPr>
        <w:rFonts w:ascii="C39T30Lfz" w:hAnsi="C39T30Lfz"/>
        <w:kern w:val="14"/>
        <w:sz w:val="56"/>
      </w:rPr>
      <w:t></w:t>
    </w:r>
    <w:r w:rsidRPr="006D067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353E4A5" wp14:editId="5477617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20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20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F086" w14:textId="77777777" w:rsidR="000C2858" w:rsidRPr="001075E9" w:rsidRDefault="000C285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04FC29" w14:textId="77777777" w:rsidR="000C2858" w:rsidRDefault="000C285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2E3C032" w14:textId="77777777" w:rsidR="006D067F" w:rsidRPr="002B253E" w:rsidRDefault="006D067F" w:rsidP="006D067F">
      <w:pPr>
        <w:pStyle w:val="FootnoteText"/>
      </w:pPr>
      <w:r>
        <w:rPr>
          <w:sz w:val="20"/>
        </w:rPr>
        <w:tab/>
      </w:r>
      <w:r w:rsidRPr="006D067F">
        <w:rPr>
          <w:rStyle w:val="FootnoteReference"/>
          <w:sz w:val="20"/>
          <w:vertAlign w:val="baseline"/>
        </w:rPr>
        <w:sym w:font="Symbol" w:char="F02A"/>
      </w:r>
      <w:r>
        <w:tab/>
        <w:t>2020 год (A/74/6 (</w:t>
      </w:r>
      <w:r w:rsidR="00B61384">
        <w:t>р</w:t>
      </w:r>
      <w:r>
        <w:t xml:space="preserve">аздел 20) и </w:t>
      </w:r>
      <w:r w:rsidRPr="006D067F">
        <w:t>дополнительная</w:t>
      </w:r>
      <w:r>
        <w:t xml:space="preserve"> информация, Подпрограмма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9D714" w14:textId="51AAFC44" w:rsidR="006D067F" w:rsidRPr="006D067F" w:rsidRDefault="0080520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D6A5B">
      <w:t>ECE/TRANS/WP.15/2020/6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127F" w14:textId="3F368DED" w:rsidR="006D067F" w:rsidRPr="006D067F" w:rsidRDefault="0080520D" w:rsidP="006D067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D6A5B">
      <w:t>ECE/TRANS/WP.15/2020/6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76E15" w14:textId="77777777" w:rsidR="006D067F" w:rsidRDefault="006D067F" w:rsidP="006D067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58"/>
    <w:rsid w:val="00004805"/>
    <w:rsid w:val="00033EE1"/>
    <w:rsid w:val="00041204"/>
    <w:rsid w:val="00042B72"/>
    <w:rsid w:val="000558BD"/>
    <w:rsid w:val="000760FA"/>
    <w:rsid w:val="000A1113"/>
    <w:rsid w:val="000B57E7"/>
    <w:rsid w:val="000B6373"/>
    <w:rsid w:val="000C2858"/>
    <w:rsid w:val="000C2DF6"/>
    <w:rsid w:val="000E4E5B"/>
    <w:rsid w:val="000F09DF"/>
    <w:rsid w:val="000F61B2"/>
    <w:rsid w:val="001075E9"/>
    <w:rsid w:val="00125E53"/>
    <w:rsid w:val="0014152F"/>
    <w:rsid w:val="00164705"/>
    <w:rsid w:val="00180183"/>
    <w:rsid w:val="0018024D"/>
    <w:rsid w:val="0018649F"/>
    <w:rsid w:val="00187AAD"/>
    <w:rsid w:val="00194B03"/>
    <w:rsid w:val="00196389"/>
    <w:rsid w:val="001A0E17"/>
    <w:rsid w:val="001B3EF6"/>
    <w:rsid w:val="001C7A89"/>
    <w:rsid w:val="001E31D6"/>
    <w:rsid w:val="0025077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494"/>
    <w:rsid w:val="00305C08"/>
    <w:rsid w:val="00307FB6"/>
    <w:rsid w:val="00317339"/>
    <w:rsid w:val="00322004"/>
    <w:rsid w:val="003402C2"/>
    <w:rsid w:val="00355D64"/>
    <w:rsid w:val="00381C24"/>
    <w:rsid w:val="00387CD4"/>
    <w:rsid w:val="003958D0"/>
    <w:rsid w:val="00395BA1"/>
    <w:rsid w:val="003A0D43"/>
    <w:rsid w:val="003A48CE"/>
    <w:rsid w:val="003B00E5"/>
    <w:rsid w:val="003B39FF"/>
    <w:rsid w:val="003D277D"/>
    <w:rsid w:val="003D3D4B"/>
    <w:rsid w:val="003D6A5B"/>
    <w:rsid w:val="003E0B46"/>
    <w:rsid w:val="00407B78"/>
    <w:rsid w:val="00424203"/>
    <w:rsid w:val="004432B4"/>
    <w:rsid w:val="00452493"/>
    <w:rsid w:val="00453318"/>
    <w:rsid w:val="00454AF2"/>
    <w:rsid w:val="00454E07"/>
    <w:rsid w:val="00472C5C"/>
    <w:rsid w:val="004855E2"/>
    <w:rsid w:val="00496F4D"/>
    <w:rsid w:val="004B1CA4"/>
    <w:rsid w:val="004B7BC3"/>
    <w:rsid w:val="004C22F0"/>
    <w:rsid w:val="004E05B7"/>
    <w:rsid w:val="004E11CC"/>
    <w:rsid w:val="0050108D"/>
    <w:rsid w:val="005012F8"/>
    <w:rsid w:val="00513081"/>
    <w:rsid w:val="00517767"/>
    <w:rsid w:val="00517901"/>
    <w:rsid w:val="00526683"/>
    <w:rsid w:val="005421A5"/>
    <w:rsid w:val="005639C1"/>
    <w:rsid w:val="005709E0"/>
    <w:rsid w:val="00572E19"/>
    <w:rsid w:val="005961C8"/>
    <w:rsid w:val="005966F1"/>
    <w:rsid w:val="005A65C0"/>
    <w:rsid w:val="005D7914"/>
    <w:rsid w:val="005E2B41"/>
    <w:rsid w:val="005F0B42"/>
    <w:rsid w:val="006005C8"/>
    <w:rsid w:val="00617A43"/>
    <w:rsid w:val="006345DB"/>
    <w:rsid w:val="00640F49"/>
    <w:rsid w:val="006755F1"/>
    <w:rsid w:val="00680D03"/>
    <w:rsid w:val="00681A10"/>
    <w:rsid w:val="00684642"/>
    <w:rsid w:val="00687D9F"/>
    <w:rsid w:val="006A1ED8"/>
    <w:rsid w:val="006C0A58"/>
    <w:rsid w:val="006C2031"/>
    <w:rsid w:val="006D067F"/>
    <w:rsid w:val="006D461A"/>
    <w:rsid w:val="006F35EE"/>
    <w:rsid w:val="006F5F32"/>
    <w:rsid w:val="006F61B1"/>
    <w:rsid w:val="006F7F17"/>
    <w:rsid w:val="007021FF"/>
    <w:rsid w:val="00712895"/>
    <w:rsid w:val="00734ACB"/>
    <w:rsid w:val="00756FF7"/>
    <w:rsid w:val="00757357"/>
    <w:rsid w:val="00792497"/>
    <w:rsid w:val="007A33EF"/>
    <w:rsid w:val="0080520D"/>
    <w:rsid w:val="00806737"/>
    <w:rsid w:val="00825F8D"/>
    <w:rsid w:val="00834B71"/>
    <w:rsid w:val="0086445C"/>
    <w:rsid w:val="00871860"/>
    <w:rsid w:val="00886B3B"/>
    <w:rsid w:val="00894693"/>
    <w:rsid w:val="008A08D7"/>
    <w:rsid w:val="008A37C8"/>
    <w:rsid w:val="008B6909"/>
    <w:rsid w:val="008D53B6"/>
    <w:rsid w:val="008D69A3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64A6"/>
    <w:rsid w:val="00A14DA8"/>
    <w:rsid w:val="00A312BC"/>
    <w:rsid w:val="00A84021"/>
    <w:rsid w:val="00A84D35"/>
    <w:rsid w:val="00A917B3"/>
    <w:rsid w:val="00AA181F"/>
    <w:rsid w:val="00AB255C"/>
    <w:rsid w:val="00AB4B51"/>
    <w:rsid w:val="00AE57EB"/>
    <w:rsid w:val="00B03C2C"/>
    <w:rsid w:val="00B10CC7"/>
    <w:rsid w:val="00B36DF7"/>
    <w:rsid w:val="00B539E7"/>
    <w:rsid w:val="00B61384"/>
    <w:rsid w:val="00B62458"/>
    <w:rsid w:val="00BC18B2"/>
    <w:rsid w:val="00BD33EE"/>
    <w:rsid w:val="00BD6C3A"/>
    <w:rsid w:val="00BE1CC7"/>
    <w:rsid w:val="00C106D6"/>
    <w:rsid w:val="00C119AE"/>
    <w:rsid w:val="00C33A2A"/>
    <w:rsid w:val="00C60F0C"/>
    <w:rsid w:val="00C71E84"/>
    <w:rsid w:val="00C76A7F"/>
    <w:rsid w:val="00C805C9"/>
    <w:rsid w:val="00C92939"/>
    <w:rsid w:val="00CA1679"/>
    <w:rsid w:val="00CB151C"/>
    <w:rsid w:val="00CC78D7"/>
    <w:rsid w:val="00CD32CA"/>
    <w:rsid w:val="00CE5A1A"/>
    <w:rsid w:val="00CE5FAE"/>
    <w:rsid w:val="00CF55F6"/>
    <w:rsid w:val="00D33D63"/>
    <w:rsid w:val="00D51A74"/>
    <w:rsid w:val="00D5253A"/>
    <w:rsid w:val="00D546C3"/>
    <w:rsid w:val="00D66D69"/>
    <w:rsid w:val="00D8270F"/>
    <w:rsid w:val="00D863EB"/>
    <w:rsid w:val="00D873A8"/>
    <w:rsid w:val="00D90028"/>
    <w:rsid w:val="00D90138"/>
    <w:rsid w:val="00D9145B"/>
    <w:rsid w:val="00DD78D1"/>
    <w:rsid w:val="00DE32CD"/>
    <w:rsid w:val="00DF1485"/>
    <w:rsid w:val="00DF5767"/>
    <w:rsid w:val="00DF71B9"/>
    <w:rsid w:val="00E12C5F"/>
    <w:rsid w:val="00E30237"/>
    <w:rsid w:val="00E32328"/>
    <w:rsid w:val="00E73F76"/>
    <w:rsid w:val="00EA2C9F"/>
    <w:rsid w:val="00EA420E"/>
    <w:rsid w:val="00ED0BDA"/>
    <w:rsid w:val="00EE142A"/>
    <w:rsid w:val="00EF1360"/>
    <w:rsid w:val="00EF3220"/>
    <w:rsid w:val="00EF6667"/>
    <w:rsid w:val="00F2523A"/>
    <w:rsid w:val="00F4049E"/>
    <w:rsid w:val="00F4112B"/>
    <w:rsid w:val="00F43903"/>
    <w:rsid w:val="00F5798C"/>
    <w:rsid w:val="00F94155"/>
    <w:rsid w:val="00F9783F"/>
    <w:rsid w:val="00FB6C36"/>
    <w:rsid w:val="00FC2415"/>
    <w:rsid w:val="00FD2EF7"/>
    <w:rsid w:val="00FD3E07"/>
    <w:rsid w:val="00FE319B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CAED11"/>
  <w15:docId w15:val="{1FB50605-D8A4-49C5-B68B-A8A53256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6D067F"/>
    <w:rPr>
      <w:lang w:val="ru-RU" w:eastAsia="en-US"/>
    </w:rPr>
  </w:style>
  <w:style w:type="paragraph" w:customStyle="1" w:styleId="ParNoG">
    <w:name w:val="_ParNo_G"/>
    <w:basedOn w:val="SingleTxtG"/>
    <w:qFormat/>
    <w:rsid w:val="006D067F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locked/>
    <w:rsid w:val="006D067F"/>
    <w:rPr>
      <w:b/>
      <w:sz w:val="24"/>
      <w:lang w:val="ru-RU" w:eastAsia="ru-RU"/>
    </w:rPr>
  </w:style>
  <w:style w:type="character" w:customStyle="1" w:styleId="HChGChar">
    <w:name w:val="_ H _Ch_G Char"/>
    <w:link w:val="HChG"/>
    <w:locked/>
    <w:rsid w:val="006D067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6722</Characters>
  <Application>Microsoft Office Word</Application>
  <DocSecurity>0</DocSecurity>
  <Lines>746</Lines>
  <Paragraphs>409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ECE/TRANS/WP.15/2020/6</vt:lpstr>
      <vt:lpstr>ECE/TRANS/WP.15/2020/6</vt:lpstr>
      <vt:lpstr>A/</vt:lpstr>
    </vt:vector>
  </TitlesOfParts>
  <Company>DCM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ECE/TRANS/WP.15/2020/6</dc:title>
  <dc:subject/>
  <dc:creator>Olga OVTCHINNIKOVA</dc:creator>
  <cp:keywords/>
  <cp:lastModifiedBy>Christine Barrio-Champeau</cp:lastModifiedBy>
  <cp:revision>2</cp:revision>
  <cp:lastPrinted>2020-03-03T16:27:00Z</cp:lastPrinted>
  <dcterms:created xsi:type="dcterms:W3CDTF">2020-03-17T14:45:00Z</dcterms:created>
  <dcterms:modified xsi:type="dcterms:W3CDTF">2020-03-17T14:45:00Z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