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20D83A6" w14:textId="77777777" w:rsidTr="00C97039">
        <w:trPr>
          <w:trHeight w:hRule="exact" w:val="851"/>
        </w:trPr>
        <w:tc>
          <w:tcPr>
            <w:tcW w:w="1276" w:type="dxa"/>
            <w:tcBorders>
              <w:bottom w:val="single" w:sz="4" w:space="0" w:color="auto"/>
            </w:tcBorders>
          </w:tcPr>
          <w:p w14:paraId="4F1F8041" w14:textId="77777777" w:rsidR="00F35BAF" w:rsidRPr="00DB58B5" w:rsidRDefault="00F35BAF" w:rsidP="006C4558">
            <w:bookmarkStart w:id="0" w:name="_GoBack"/>
            <w:bookmarkEnd w:id="0"/>
          </w:p>
        </w:tc>
        <w:tc>
          <w:tcPr>
            <w:tcW w:w="2268" w:type="dxa"/>
            <w:tcBorders>
              <w:bottom w:val="single" w:sz="4" w:space="0" w:color="auto"/>
            </w:tcBorders>
            <w:vAlign w:val="bottom"/>
          </w:tcPr>
          <w:p w14:paraId="068821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8AFCB5" w14:textId="77777777" w:rsidR="00F35BAF" w:rsidRPr="00DB58B5" w:rsidRDefault="006C4558" w:rsidP="006C4558">
            <w:pPr>
              <w:jc w:val="right"/>
            </w:pPr>
            <w:r w:rsidRPr="006C4558">
              <w:rPr>
                <w:sz w:val="40"/>
              </w:rPr>
              <w:t>ECE</w:t>
            </w:r>
            <w:r>
              <w:t>/TRANS/WP.15/2020/1</w:t>
            </w:r>
          </w:p>
        </w:tc>
      </w:tr>
      <w:tr w:rsidR="00F35BAF" w:rsidRPr="00DB58B5" w14:paraId="2890C14F" w14:textId="77777777" w:rsidTr="00C97039">
        <w:trPr>
          <w:trHeight w:hRule="exact" w:val="2835"/>
        </w:trPr>
        <w:tc>
          <w:tcPr>
            <w:tcW w:w="1276" w:type="dxa"/>
            <w:tcBorders>
              <w:top w:val="single" w:sz="4" w:space="0" w:color="auto"/>
              <w:bottom w:val="single" w:sz="12" w:space="0" w:color="auto"/>
            </w:tcBorders>
          </w:tcPr>
          <w:p w14:paraId="5B802D40" w14:textId="77777777" w:rsidR="00F35BAF" w:rsidRPr="00DB58B5" w:rsidRDefault="00F35BAF" w:rsidP="00C97039">
            <w:pPr>
              <w:spacing w:before="120"/>
              <w:jc w:val="center"/>
            </w:pPr>
            <w:r>
              <w:rPr>
                <w:noProof/>
                <w:lang w:eastAsia="fr-CH"/>
              </w:rPr>
              <w:drawing>
                <wp:inline distT="0" distB="0" distL="0" distR="0" wp14:anchorId="2E88D30C" wp14:editId="52152E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4E8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57894D" w14:textId="77777777" w:rsidR="00F35BAF" w:rsidRDefault="006C4558" w:rsidP="00C97039">
            <w:pPr>
              <w:spacing w:before="240"/>
            </w:pPr>
            <w:r>
              <w:t xml:space="preserve">Distr. </w:t>
            </w:r>
            <w:proofErr w:type="gramStart"/>
            <w:r>
              <w:t>générale</w:t>
            </w:r>
            <w:proofErr w:type="gramEnd"/>
          </w:p>
          <w:p w14:paraId="543B207E" w14:textId="77777777" w:rsidR="006C4558" w:rsidRDefault="006C4558" w:rsidP="006C4558">
            <w:pPr>
              <w:spacing w:line="240" w:lineRule="exact"/>
            </w:pPr>
            <w:r>
              <w:t>17 février 2020</w:t>
            </w:r>
          </w:p>
          <w:p w14:paraId="7B5A7396" w14:textId="77777777" w:rsidR="006C4558" w:rsidRDefault="006C4558" w:rsidP="006C4558">
            <w:pPr>
              <w:spacing w:line="240" w:lineRule="exact"/>
            </w:pPr>
            <w:r>
              <w:t>Français</w:t>
            </w:r>
          </w:p>
          <w:p w14:paraId="58113E52" w14:textId="77777777" w:rsidR="006C4558" w:rsidRPr="00DB58B5" w:rsidRDefault="006C4558" w:rsidP="006C4558">
            <w:pPr>
              <w:spacing w:line="240" w:lineRule="exact"/>
            </w:pPr>
            <w:r>
              <w:t>Original : anglais</w:t>
            </w:r>
          </w:p>
        </w:tc>
      </w:tr>
    </w:tbl>
    <w:p w14:paraId="5454AE4B" w14:textId="77777777" w:rsidR="007F20FA" w:rsidRPr="000312C0" w:rsidRDefault="007F20FA" w:rsidP="007F20FA">
      <w:pPr>
        <w:spacing w:before="120"/>
        <w:rPr>
          <w:b/>
          <w:sz w:val="28"/>
          <w:szCs w:val="28"/>
        </w:rPr>
      </w:pPr>
      <w:r w:rsidRPr="000312C0">
        <w:rPr>
          <w:b/>
          <w:sz w:val="28"/>
          <w:szCs w:val="28"/>
        </w:rPr>
        <w:t>Commission économique pour l’Europe</w:t>
      </w:r>
    </w:p>
    <w:p w14:paraId="4FAF4EBC" w14:textId="77777777" w:rsidR="007F20FA" w:rsidRDefault="007F20FA" w:rsidP="007F20FA">
      <w:pPr>
        <w:spacing w:before="120"/>
        <w:rPr>
          <w:sz w:val="28"/>
          <w:szCs w:val="28"/>
        </w:rPr>
      </w:pPr>
      <w:r w:rsidRPr="00685843">
        <w:rPr>
          <w:sz w:val="28"/>
          <w:szCs w:val="28"/>
        </w:rPr>
        <w:t>Comité des transports intérieurs</w:t>
      </w:r>
    </w:p>
    <w:p w14:paraId="136C53D2" w14:textId="77777777" w:rsidR="006C4558" w:rsidRPr="009E01B8" w:rsidRDefault="006C4558" w:rsidP="00E85C74">
      <w:pPr>
        <w:spacing w:before="120"/>
        <w:rPr>
          <w:b/>
          <w:sz w:val="24"/>
          <w:szCs w:val="24"/>
        </w:rPr>
      </w:pPr>
      <w:r w:rsidRPr="009E01B8">
        <w:rPr>
          <w:b/>
          <w:sz w:val="24"/>
          <w:szCs w:val="24"/>
        </w:rPr>
        <w:t>Groupe de travail des transports de marchandises dangereuses</w:t>
      </w:r>
    </w:p>
    <w:p w14:paraId="3DD86ABE" w14:textId="77777777" w:rsidR="006C4558" w:rsidRPr="00992778" w:rsidRDefault="006C4558" w:rsidP="00E85C74">
      <w:pPr>
        <w:spacing w:before="120"/>
        <w:rPr>
          <w:b/>
        </w:rPr>
      </w:pPr>
      <w:r>
        <w:rPr>
          <w:b/>
        </w:rPr>
        <w:t>108</w:t>
      </w:r>
      <w:r w:rsidRPr="006C4558">
        <w:rPr>
          <w:b/>
          <w:vertAlign w:val="superscript"/>
        </w:rPr>
        <w:t>e</w:t>
      </w:r>
      <w:r>
        <w:rPr>
          <w:b/>
        </w:rPr>
        <w:t> </w:t>
      </w:r>
      <w:r w:rsidRPr="00992778">
        <w:rPr>
          <w:b/>
        </w:rPr>
        <w:t>session</w:t>
      </w:r>
    </w:p>
    <w:p w14:paraId="3283D17E" w14:textId="77777777" w:rsidR="006C4558" w:rsidRDefault="006C4558" w:rsidP="00E85C74">
      <w:r>
        <w:t>Genève, 11-15 mai 2020</w:t>
      </w:r>
    </w:p>
    <w:p w14:paraId="060899C8" w14:textId="77777777" w:rsidR="006C4558" w:rsidRDefault="006C4558" w:rsidP="00E85C74">
      <w:r w:rsidRPr="00B93E72">
        <w:t>Point</w:t>
      </w:r>
      <w:r>
        <w:t xml:space="preserve"> 5 b) </w:t>
      </w:r>
      <w:r w:rsidRPr="00B93E72">
        <w:t>de l’ordre du jour provisoire</w:t>
      </w:r>
    </w:p>
    <w:p w14:paraId="13003A51" w14:textId="77777777" w:rsidR="006C4558" w:rsidRPr="002E6A9A" w:rsidRDefault="006C4558" w:rsidP="006C4558">
      <w:pPr>
        <w:rPr>
          <w:b/>
          <w:bCs/>
          <w:lang w:val="fr-FR"/>
        </w:rPr>
      </w:pPr>
      <w:r w:rsidRPr="002E6A9A">
        <w:rPr>
          <w:b/>
          <w:bCs/>
          <w:lang w:val="fr-FR"/>
        </w:rPr>
        <w:t>Propositions d</w:t>
      </w:r>
      <w:r>
        <w:rPr>
          <w:b/>
          <w:bCs/>
          <w:lang w:val="fr-FR"/>
        </w:rPr>
        <w:t>’</w:t>
      </w:r>
      <w:r w:rsidRPr="002E6A9A">
        <w:rPr>
          <w:b/>
          <w:bCs/>
          <w:lang w:val="fr-FR"/>
        </w:rPr>
        <w:t>amendement aux annexes A et</w:t>
      </w:r>
      <w:r>
        <w:rPr>
          <w:b/>
          <w:bCs/>
          <w:lang w:val="fr-FR"/>
        </w:rPr>
        <w:t xml:space="preserve"> </w:t>
      </w:r>
      <w:r w:rsidRPr="002E6A9A">
        <w:rPr>
          <w:b/>
          <w:bCs/>
          <w:lang w:val="fr-FR"/>
        </w:rPr>
        <w:t>B de l</w:t>
      </w:r>
      <w:r>
        <w:rPr>
          <w:b/>
          <w:bCs/>
          <w:lang w:val="fr-FR"/>
        </w:rPr>
        <w:t>’</w:t>
      </w:r>
      <w:r w:rsidRPr="002E6A9A">
        <w:rPr>
          <w:b/>
          <w:bCs/>
          <w:lang w:val="fr-FR"/>
        </w:rPr>
        <w:t>ADR :</w:t>
      </w:r>
      <w:r>
        <w:rPr>
          <w:b/>
          <w:bCs/>
          <w:lang w:val="fr-FR"/>
        </w:rPr>
        <w:t xml:space="preserve"> </w:t>
      </w:r>
      <w:r>
        <w:rPr>
          <w:b/>
          <w:bCs/>
          <w:lang w:val="fr-FR"/>
        </w:rPr>
        <w:br/>
      </w:r>
      <w:r>
        <w:rPr>
          <w:b/>
          <w:bCs/>
          <w:szCs w:val="24"/>
          <w:lang w:val="fr-FR"/>
        </w:rPr>
        <w:t>p</w:t>
      </w:r>
      <w:r w:rsidRPr="002E6A9A">
        <w:rPr>
          <w:b/>
          <w:bCs/>
          <w:szCs w:val="24"/>
          <w:lang w:val="fr-FR"/>
        </w:rPr>
        <w:t>ropositions diverses</w:t>
      </w:r>
    </w:p>
    <w:p w14:paraId="0AC9F2CC" w14:textId="77777777" w:rsidR="006C4558" w:rsidRPr="002E6A9A" w:rsidRDefault="006C4558" w:rsidP="006C4558">
      <w:pPr>
        <w:pStyle w:val="HChG"/>
        <w:rPr>
          <w:lang w:val="fr-FR"/>
        </w:rPr>
      </w:pPr>
      <w:r w:rsidRPr="002E6A9A">
        <w:rPr>
          <w:lang w:val="fr-FR"/>
        </w:rPr>
        <w:tab/>
      </w:r>
      <w:r w:rsidRPr="002E6A9A">
        <w:rPr>
          <w:lang w:val="fr-FR"/>
        </w:rPr>
        <w:tab/>
        <w:t>Transport sous régulation de température</w:t>
      </w:r>
    </w:p>
    <w:p w14:paraId="00742686" w14:textId="77777777" w:rsidR="006C4558" w:rsidRDefault="006C4558" w:rsidP="006C4558">
      <w:pPr>
        <w:pStyle w:val="H1G"/>
      </w:pPr>
      <w:r w:rsidRPr="002E6A9A">
        <w:rPr>
          <w:lang w:val="fr-FR"/>
        </w:rPr>
        <w:tab/>
      </w:r>
      <w:r w:rsidRPr="002E6A9A">
        <w:rPr>
          <w:lang w:val="fr-FR"/>
        </w:rPr>
        <w:tab/>
        <w:t xml:space="preserve">Communication du Gouvernement des Pays-Bas et du Conseil </w:t>
      </w:r>
      <w:r>
        <w:rPr>
          <w:lang w:val="fr-FR"/>
        </w:rPr>
        <w:br/>
      </w:r>
      <w:r w:rsidRPr="002E6A9A">
        <w:rPr>
          <w:lang w:val="fr-FR"/>
        </w:rPr>
        <w:t>européen de l</w:t>
      </w:r>
      <w:r>
        <w:rPr>
          <w:lang w:val="fr-FR"/>
        </w:rPr>
        <w:t>’</w:t>
      </w:r>
      <w:r w:rsidRPr="002E6A9A">
        <w:rPr>
          <w:lang w:val="fr-FR"/>
        </w:rPr>
        <w:t>industrie chimique (CEFIC)</w:t>
      </w:r>
      <w:r w:rsidRPr="006C455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C4558" w14:paraId="47D19AE1" w14:textId="77777777" w:rsidTr="005C1D75">
        <w:trPr>
          <w:jc w:val="center"/>
        </w:trPr>
        <w:tc>
          <w:tcPr>
            <w:tcW w:w="9637" w:type="dxa"/>
            <w:shd w:val="clear" w:color="auto" w:fill="auto"/>
          </w:tcPr>
          <w:p w14:paraId="02F68ED1" w14:textId="77777777" w:rsidR="006C4558" w:rsidRDefault="006C4558" w:rsidP="005C1D75">
            <w:pPr>
              <w:spacing w:before="240" w:after="120"/>
              <w:ind w:left="255"/>
              <w:rPr>
                <w:i/>
                <w:sz w:val="24"/>
              </w:rPr>
            </w:pPr>
            <w:r>
              <w:rPr>
                <w:i/>
                <w:sz w:val="24"/>
              </w:rPr>
              <w:t>Résumé</w:t>
            </w:r>
          </w:p>
        </w:tc>
      </w:tr>
      <w:tr w:rsidR="006C4558" w:rsidRPr="00412FA1" w14:paraId="258A2294" w14:textId="77777777" w:rsidTr="005C1D75">
        <w:trPr>
          <w:jc w:val="center"/>
        </w:trPr>
        <w:tc>
          <w:tcPr>
            <w:tcW w:w="9637" w:type="dxa"/>
            <w:shd w:val="clear" w:color="auto" w:fill="auto"/>
          </w:tcPr>
          <w:p w14:paraId="4F2F7C7E" w14:textId="77777777" w:rsidR="006C4558" w:rsidRPr="002E6A9A" w:rsidRDefault="006C4558" w:rsidP="006C4558">
            <w:pPr>
              <w:pStyle w:val="SingleTxtG"/>
              <w:tabs>
                <w:tab w:val="left" w:pos="3681"/>
              </w:tabs>
              <w:ind w:left="3681" w:hanging="2547"/>
              <w:rPr>
                <w:lang w:val="fr-FR"/>
              </w:rPr>
            </w:pPr>
            <w:r>
              <w:rPr>
                <w:b/>
                <w:bCs/>
              </w:rPr>
              <w:t>R</w:t>
            </w:r>
            <w:r w:rsidRPr="00412FA1">
              <w:rPr>
                <w:b/>
                <w:bCs/>
              </w:rPr>
              <w:t>é</w:t>
            </w:r>
            <w:r>
              <w:rPr>
                <w:b/>
                <w:bCs/>
              </w:rPr>
              <w:t>sum</w:t>
            </w:r>
            <w:r w:rsidRPr="00412FA1">
              <w:rPr>
                <w:b/>
                <w:bCs/>
              </w:rPr>
              <w:t xml:space="preserve">é </w:t>
            </w:r>
            <w:r>
              <w:rPr>
                <w:b/>
                <w:bCs/>
              </w:rPr>
              <w:t>analytique</w:t>
            </w:r>
            <w:r w:rsidRPr="00412FA1">
              <w:rPr>
                <w:bCs/>
              </w:rPr>
              <w:t> :</w:t>
            </w:r>
            <w:r w:rsidRPr="00412FA1">
              <w:tab/>
            </w:r>
            <w:r>
              <w:rPr>
                <w:lang w:val="fr-FR"/>
              </w:rPr>
              <w:t>Contrôle de la température</w:t>
            </w:r>
            <w:r w:rsidRPr="002E6A9A">
              <w:rPr>
                <w:lang w:val="fr-FR"/>
              </w:rPr>
              <w:t xml:space="preserve"> </w:t>
            </w:r>
            <w:r>
              <w:rPr>
                <w:lang w:val="fr-FR"/>
              </w:rPr>
              <w:t>des matières transportées dans</w:t>
            </w:r>
            <w:r w:rsidRPr="002E6A9A">
              <w:rPr>
                <w:lang w:val="fr-FR"/>
              </w:rPr>
              <w:t xml:space="preserve"> des conteneurs frigorifiques </w:t>
            </w:r>
            <w:r w:rsidRPr="006D2AEE">
              <w:rPr>
                <w:lang w:val="fr-FR"/>
              </w:rPr>
              <w:t xml:space="preserve">sous régulation de température </w:t>
            </w:r>
            <w:r>
              <w:rPr>
                <w:lang w:val="fr-FR"/>
              </w:rPr>
              <w:t>et</w:t>
            </w:r>
            <w:r w:rsidRPr="002E6A9A">
              <w:rPr>
                <w:lang w:val="fr-FR"/>
              </w:rPr>
              <w:t xml:space="preserve"> </w:t>
            </w:r>
            <w:r>
              <w:rPr>
                <w:lang w:val="fr-FR"/>
              </w:rPr>
              <w:t>référence à l’alinéa </w:t>
            </w:r>
            <w:r w:rsidRPr="002E6A9A">
              <w:rPr>
                <w:lang w:val="fr-FR"/>
              </w:rPr>
              <w:t>c)</w:t>
            </w:r>
            <w:r>
              <w:rPr>
                <w:lang w:val="fr-FR"/>
              </w:rPr>
              <w:t xml:space="preserve"> de la section </w:t>
            </w:r>
            <w:proofErr w:type="gramStart"/>
            <w:r w:rsidRPr="002E6A9A">
              <w:rPr>
                <w:lang w:val="fr-FR"/>
              </w:rPr>
              <w:t>9.6.1</w:t>
            </w:r>
            <w:r>
              <w:rPr>
                <w:lang w:val="fr-FR"/>
              </w:rPr>
              <w:t>  </w:t>
            </w:r>
            <w:r w:rsidRPr="002E6A9A">
              <w:rPr>
                <w:lang w:val="fr-FR"/>
              </w:rPr>
              <w:t>;</w:t>
            </w:r>
            <w:proofErr w:type="gramEnd"/>
          </w:p>
          <w:p w14:paraId="6BC7DBB1" w14:textId="77777777" w:rsidR="006C4558" w:rsidRPr="00412FA1" w:rsidRDefault="006C4558" w:rsidP="006C4558">
            <w:pPr>
              <w:pStyle w:val="SingleTxtG"/>
              <w:tabs>
                <w:tab w:val="left" w:pos="3681"/>
              </w:tabs>
              <w:ind w:left="3681" w:hanging="2547"/>
            </w:pPr>
            <w:r w:rsidRPr="002E6A9A">
              <w:rPr>
                <w:lang w:val="fr-FR"/>
              </w:rPr>
              <w:tab/>
            </w:r>
            <w:r>
              <w:rPr>
                <w:lang w:val="fr-FR"/>
              </w:rPr>
              <w:t>Précisions concernant l’</w:t>
            </w:r>
            <w:r w:rsidRPr="00263713">
              <w:rPr>
                <w:lang w:val="fr-FR"/>
              </w:rPr>
              <w:t>interprétation des dispositions du</w:t>
            </w:r>
            <w:r>
              <w:rPr>
                <w:lang w:val="fr-FR"/>
              </w:rPr>
              <w:t xml:space="preserve"> </w:t>
            </w:r>
            <w:r w:rsidRPr="006C4558">
              <w:rPr>
                <w:spacing w:val="-1"/>
                <w:lang w:val="fr-FR"/>
              </w:rPr>
              <w:t>paragraphe 7.1.7.4.5 de l’ADR 2019 relatives à l’expression</w:t>
            </w:r>
            <w:r w:rsidRPr="00263713">
              <w:rPr>
                <w:lang w:val="fr-FR"/>
              </w:rPr>
              <w:t xml:space="preserve"> </w:t>
            </w:r>
            <w:r>
              <w:rPr>
                <w:lang w:val="fr-FR"/>
              </w:rPr>
              <w:t>« </w:t>
            </w:r>
            <w:r w:rsidRPr="00263713">
              <w:rPr>
                <w:lang w:val="fr-FR"/>
              </w:rPr>
              <w:t>isolation thermique</w:t>
            </w:r>
            <w:r>
              <w:rPr>
                <w:lang w:val="fr-FR"/>
              </w:rPr>
              <w:t> »</w:t>
            </w:r>
            <w:r w:rsidRPr="002E6A9A">
              <w:rPr>
                <w:lang w:val="fr-FR"/>
              </w:rPr>
              <w:t>.</w:t>
            </w:r>
          </w:p>
          <w:p w14:paraId="6D44010C" w14:textId="77777777" w:rsidR="006C4558" w:rsidRPr="002E6A9A" w:rsidRDefault="006C4558" w:rsidP="006C4558">
            <w:pPr>
              <w:pStyle w:val="SingleTxtG"/>
              <w:tabs>
                <w:tab w:val="left" w:pos="3681"/>
              </w:tabs>
              <w:ind w:left="3681" w:hanging="2547"/>
              <w:rPr>
                <w:lang w:val="fr-FR"/>
              </w:rPr>
            </w:pPr>
            <w:r>
              <w:rPr>
                <w:b/>
                <w:bCs/>
              </w:rPr>
              <w:t>Mesure</w:t>
            </w:r>
            <w:r w:rsidRPr="00412FA1">
              <w:rPr>
                <w:b/>
                <w:bCs/>
              </w:rPr>
              <w:t xml:space="preserve"> à </w:t>
            </w:r>
            <w:r>
              <w:rPr>
                <w:b/>
                <w:bCs/>
              </w:rPr>
              <w:t>prendre </w:t>
            </w:r>
            <w:r w:rsidRPr="00412FA1">
              <w:rPr>
                <w:bCs/>
              </w:rPr>
              <w:t>:</w:t>
            </w:r>
            <w:r w:rsidRPr="00412FA1">
              <w:tab/>
            </w:r>
            <w:r w:rsidRPr="002E6A9A">
              <w:rPr>
                <w:lang w:val="fr-FR"/>
              </w:rPr>
              <w:t>Examiner les propositions</w:t>
            </w:r>
            <w:r>
              <w:rPr>
                <w:lang w:val="fr-FR"/>
              </w:rPr>
              <w:t> </w:t>
            </w:r>
            <w:r w:rsidRPr="002E6A9A">
              <w:rPr>
                <w:lang w:val="fr-FR"/>
              </w:rPr>
              <w:t>1 et 2. Si la proposition</w:t>
            </w:r>
            <w:r>
              <w:rPr>
                <w:lang w:val="fr-FR"/>
              </w:rPr>
              <w:t> </w:t>
            </w:r>
            <w:r w:rsidRPr="002E6A9A">
              <w:rPr>
                <w:lang w:val="fr-FR"/>
              </w:rPr>
              <w:t>2 est adoptée :</w:t>
            </w:r>
          </w:p>
          <w:p w14:paraId="64E90AFD" w14:textId="77777777" w:rsidR="006C4558" w:rsidRPr="00412FA1" w:rsidRDefault="006C4558" w:rsidP="006C4558">
            <w:pPr>
              <w:pStyle w:val="SingleTxtG"/>
              <w:tabs>
                <w:tab w:val="left" w:pos="3681"/>
              </w:tabs>
              <w:ind w:left="3681" w:hanging="2547"/>
            </w:pPr>
            <w:r w:rsidRPr="002E6A9A">
              <w:rPr>
                <w:lang w:val="fr-FR"/>
              </w:rPr>
              <w:tab/>
              <w:t>En informer le</w:t>
            </w:r>
            <w:r>
              <w:rPr>
                <w:lang w:val="fr-FR"/>
              </w:rPr>
              <w:t xml:space="preserve"> </w:t>
            </w:r>
            <w:r w:rsidRPr="002E6A9A">
              <w:rPr>
                <w:lang w:val="fr-FR"/>
              </w:rPr>
              <w:t>Sous-Comité d</w:t>
            </w:r>
            <w:r>
              <w:rPr>
                <w:lang w:val="fr-FR"/>
              </w:rPr>
              <w:t>’</w:t>
            </w:r>
            <w:r w:rsidRPr="002E6A9A">
              <w:rPr>
                <w:lang w:val="fr-FR"/>
              </w:rPr>
              <w:t>experts du Système général harmonisé de classification et d</w:t>
            </w:r>
            <w:r>
              <w:rPr>
                <w:lang w:val="fr-FR"/>
              </w:rPr>
              <w:t>’</w:t>
            </w:r>
            <w:r w:rsidRPr="002E6A9A">
              <w:rPr>
                <w:lang w:val="fr-FR"/>
              </w:rPr>
              <w:t>étiquetage des produits chimiques.</w:t>
            </w:r>
          </w:p>
          <w:p w14:paraId="5B577FD3" w14:textId="77777777" w:rsidR="006C4558" w:rsidRPr="002E6A9A" w:rsidRDefault="006C4558" w:rsidP="006C4558">
            <w:pPr>
              <w:pStyle w:val="SingleTxtG"/>
              <w:tabs>
                <w:tab w:val="left" w:pos="3681"/>
              </w:tabs>
              <w:ind w:left="3681" w:hanging="2547"/>
              <w:rPr>
                <w:rFonts w:eastAsia="Arial"/>
                <w:lang w:val="fr-FR"/>
              </w:rPr>
            </w:pPr>
            <w:r>
              <w:rPr>
                <w:b/>
                <w:bCs/>
              </w:rPr>
              <w:t>Documents</w:t>
            </w:r>
            <w:r w:rsidRPr="00412FA1">
              <w:rPr>
                <w:b/>
                <w:bCs/>
              </w:rPr>
              <w:t xml:space="preserve"> </w:t>
            </w:r>
            <w:r>
              <w:rPr>
                <w:b/>
                <w:bCs/>
              </w:rPr>
              <w:t>de</w:t>
            </w:r>
            <w:r w:rsidRPr="00412FA1">
              <w:rPr>
                <w:b/>
                <w:bCs/>
              </w:rPr>
              <w:t xml:space="preserve"> </w:t>
            </w:r>
            <w:r>
              <w:rPr>
                <w:b/>
                <w:bCs/>
              </w:rPr>
              <w:t>r</w:t>
            </w:r>
            <w:r w:rsidRPr="00412FA1">
              <w:rPr>
                <w:b/>
                <w:bCs/>
              </w:rPr>
              <w:t>é</w:t>
            </w:r>
            <w:r>
              <w:rPr>
                <w:b/>
                <w:bCs/>
              </w:rPr>
              <w:t>f</w:t>
            </w:r>
            <w:r w:rsidRPr="00412FA1">
              <w:rPr>
                <w:b/>
                <w:bCs/>
              </w:rPr>
              <w:t>é</w:t>
            </w:r>
            <w:r>
              <w:rPr>
                <w:b/>
                <w:bCs/>
              </w:rPr>
              <w:t>rence </w:t>
            </w:r>
            <w:r w:rsidRPr="00412FA1">
              <w:rPr>
                <w:bCs/>
              </w:rPr>
              <w:t>:</w:t>
            </w:r>
            <w:r w:rsidRPr="00412FA1">
              <w:rPr>
                <w:b/>
                <w:bCs/>
              </w:rPr>
              <w:tab/>
            </w:r>
            <w:r w:rsidRPr="002E6A9A">
              <w:rPr>
                <w:rFonts w:eastAsia="Arial"/>
                <w:lang w:val="fr-FR"/>
              </w:rPr>
              <w:t>ECE/TRANS/WP.15/246 (Rapport sur la 106</w:t>
            </w:r>
            <w:r w:rsidRPr="00DF262A">
              <w:rPr>
                <w:rFonts w:eastAsia="Arial"/>
                <w:vertAlign w:val="superscript"/>
                <w:lang w:val="fr-FR"/>
              </w:rPr>
              <w:t>e</w:t>
            </w:r>
            <w:r>
              <w:rPr>
                <w:rFonts w:eastAsia="Arial"/>
                <w:vertAlign w:val="superscript"/>
                <w:lang w:val="fr-FR"/>
              </w:rPr>
              <w:t> </w:t>
            </w:r>
            <w:r w:rsidRPr="002E6A9A">
              <w:rPr>
                <w:rFonts w:eastAsia="Arial"/>
                <w:lang w:val="fr-FR"/>
              </w:rPr>
              <w:t>session), par</w:t>
            </w:r>
            <w:r>
              <w:rPr>
                <w:rFonts w:eastAsia="Arial"/>
                <w:lang w:val="fr-FR"/>
              </w:rPr>
              <w:t>. </w:t>
            </w:r>
            <w:r w:rsidRPr="002E6A9A">
              <w:rPr>
                <w:rFonts w:eastAsia="Arial"/>
                <w:lang w:val="fr-FR"/>
              </w:rPr>
              <w:t>21 et 22</w:t>
            </w:r>
            <w:r>
              <w:rPr>
                <w:rFonts w:eastAsia="Arial"/>
                <w:lang w:val="fr-FR"/>
              </w:rPr>
              <w:t> </w:t>
            </w:r>
            <w:r w:rsidRPr="002E6A9A">
              <w:rPr>
                <w:rFonts w:eastAsia="Arial"/>
                <w:lang w:val="fr-FR"/>
              </w:rPr>
              <w:t>;</w:t>
            </w:r>
          </w:p>
          <w:p w14:paraId="46CF9B6B" w14:textId="77777777" w:rsidR="006C4558" w:rsidRPr="00412FA1" w:rsidRDefault="006C4558" w:rsidP="006C4558">
            <w:pPr>
              <w:pStyle w:val="SingleTxtG"/>
              <w:tabs>
                <w:tab w:val="left" w:pos="3681"/>
              </w:tabs>
              <w:ind w:left="3681" w:hanging="2547"/>
            </w:pPr>
            <w:r w:rsidRPr="002E6A9A">
              <w:rPr>
                <w:rFonts w:eastAsia="Arial"/>
                <w:lang w:val="fr-FR"/>
              </w:rPr>
              <w:tab/>
              <w:t>ECE/TRANS/WP.15/2019/1</w:t>
            </w:r>
            <w:r>
              <w:rPr>
                <w:rFonts w:eastAsia="Arial"/>
                <w:lang w:val="fr-FR"/>
              </w:rPr>
              <w:t> </w:t>
            </w:r>
            <w:r w:rsidRPr="002E6A9A">
              <w:rPr>
                <w:rFonts w:eastAsia="Arial"/>
                <w:lang w:val="fr-FR"/>
              </w:rPr>
              <w:t>;</w:t>
            </w:r>
            <w:r>
              <w:rPr>
                <w:rFonts w:eastAsia="Arial"/>
                <w:lang w:val="fr-FR"/>
              </w:rPr>
              <w:t xml:space="preserve"> </w:t>
            </w:r>
            <w:r w:rsidRPr="002E6A9A">
              <w:rPr>
                <w:rFonts w:eastAsia="Arial"/>
                <w:lang w:val="fr-FR"/>
              </w:rPr>
              <w:br/>
            </w:r>
            <w:r w:rsidRPr="002E6A9A">
              <w:rPr>
                <w:lang w:val="fr-FR"/>
              </w:rPr>
              <w:t>Document informel</w:t>
            </w:r>
            <w:r>
              <w:rPr>
                <w:lang w:val="fr-FR"/>
              </w:rPr>
              <w:t> </w:t>
            </w:r>
            <w:r w:rsidRPr="002E6A9A">
              <w:rPr>
                <w:lang w:val="fr-FR"/>
              </w:rPr>
              <w:t>INF.3 (106</w:t>
            </w:r>
            <w:r w:rsidRPr="00DF262A">
              <w:rPr>
                <w:vertAlign w:val="superscript"/>
                <w:lang w:val="fr-FR"/>
              </w:rPr>
              <w:t>e</w:t>
            </w:r>
            <w:r>
              <w:rPr>
                <w:vertAlign w:val="superscript"/>
                <w:lang w:val="fr-FR"/>
              </w:rPr>
              <w:t> </w:t>
            </w:r>
            <w:r w:rsidRPr="002E6A9A">
              <w:rPr>
                <w:lang w:val="fr-FR"/>
              </w:rPr>
              <w:t>session).</w:t>
            </w:r>
          </w:p>
        </w:tc>
      </w:tr>
      <w:tr w:rsidR="006C4558" w:rsidRPr="00412FA1" w14:paraId="774364DB" w14:textId="77777777" w:rsidTr="005C1D75">
        <w:trPr>
          <w:jc w:val="center"/>
        </w:trPr>
        <w:tc>
          <w:tcPr>
            <w:tcW w:w="9637" w:type="dxa"/>
            <w:shd w:val="clear" w:color="auto" w:fill="auto"/>
          </w:tcPr>
          <w:p w14:paraId="3F5D3EEA" w14:textId="77777777" w:rsidR="006C4558" w:rsidRPr="00412FA1" w:rsidRDefault="006C4558" w:rsidP="005C1D75"/>
        </w:tc>
      </w:tr>
    </w:tbl>
    <w:p w14:paraId="6F811B32" w14:textId="77777777" w:rsidR="006C4558" w:rsidRPr="002E6A9A" w:rsidRDefault="006C4558" w:rsidP="006C4558">
      <w:pPr>
        <w:pStyle w:val="HChG"/>
        <w:rPr>
          <w:lang w:val="fr-FR"/>
        </w:rPr>
      </w:pPr>
      <w:r w:rsidRPr="002E6A9A">
        <w:rPr>
          <w:lang w:val="fr-FR"/>
        </w:rPr>
        <w:lastRenderedPageBreak/>
        <w:tab/>
      </w:r>
      <w:r w:rsidRPr="002E6A9A">
        <w:rPr>
          <w:lang w:val="fr-FR"/>
        </w:rPr>
        <w:tab/>
        <w:t>Introduction</w:t>
      </w:r>
    </w:p>
    <w:p w14:paraId="46FD2DE5" w14:textId="77777777" w:rsidR="006C4558" w:rsidRPr="006C4558" w:rsidRDefault="006C4558" w:rsidP="006C4558">
      <w:pPr>
        <w:pStyle w:val="SingleTxtG"/>
      </w:pPr>
      <w:r w:rsidRPr="006C4558">
        <w:t>1.</w:t>
      </w:r>
      <w:r w:rsidRPr="006C4558">
        <w:tab/>
        <w:t>À l’occasion de la 106</w:t>
      </w:r>
      <w:r w:rsidRPr="006C4558">
        <w:rPr>
          <w:vertAlign w:val="superscript"/>
        </w:rPr>
        <w:t>e</w:t>
      </w:r>
      <w:r>
        <w:t> </w:t>
      </w:r>
      <w:r w:rsidRPr="006C4558">
        <w:t>session du Groupe de travail des transports de marchandises dangereuses (WP.15), les Pays-Bas et le CEFIC ont demandé l’examen des deux questions ci-après relatives au transport de matières sous régulation de température :</w:t>
      </w:r>
    </w:p>
    <w:p w14:paraId="79D69735" w14:textId="77777777" w:rsidR="006C4558" w:rsidRDefault="006C4558" w:rsidP="006C4558">
      <w:pPr>
        <w:pStyle w:val="SingleTxtG"/>
        <w:ind w:firstLine="567"/>
      </w:pPr>
      <w:r w:rsidRPr="006C4558">
        <w:t>a)</w:t>
      </w:r>
      <w:r w:rsidRPr="006C4558">
        <w:tab/>
      </w:r>
      <w:r>
        <w:t>T</w:t>
      </w:r>
      <w:r w:rsidRPr="006C4558">
        <w:t>ransport de matières dans des conteneurs frigorifiques et surveillance depuis la cabine du conducteur conformément à l’alinéa</w:t>
      </w:r>
      <w:r>
        <w:t> </w:t>
      </w:r>
      <w:r w:rsidRPr="006C4558">
        <w:t>c) de la section</w:t>
      </w:r>
      <w:r>
        <w:t> </w:t>
      </w:r>
      <w:r w:rsidRPr="006C4558">
        <w:t>9.6.1 (ECE/TRANS/WP.15/2019/1) ; et</w:t>
      </w:r>
    </w:p>
    <w:p w14:paraId="3873D779" w14:textId="77777777" w:rsidR="006C4558" w:rsidRPr="006C4558" w:rsidRDefault="006C4558" w:rsidP="006C4558">
      <w:pPr>
        <w:pStyle w:val="SingleTxtG"/>
        <w:ind w:firstLine="567"/>
      </w:pPr>
      <w:r w:rsidRPr="006C4558">
        <w:t>b)</w:t>
      </w:r>
      <w:r w:rsidRPr="006C4558">
        <w:tab/>
      </w:r>
      <w:r>
        <w:t>I</w:t>
      </w:r>
      <w:r w:rsidRPr="006C4558">
        <w:t xml:space="preserve">nterprétation des dispositions du 7.1.7.4.5 relatives à l’expression </w:t>
      </w:r>
      <w:r>
        <w:t>« </w:t>
      </w:r>
      <w:r w:rsidRPr="006C4558">
        <w:t>isolation thermique</w:t>
      </w:r>
      <w:r>
        <w:t> »</w:t>
      </w:r>
      <w:r w:rsidRPr="006C4558">
        <w:t xml:space="preserve"> (document informel</w:t>
      </w:r>
      <w:r w:rsidR="00186C3E">
        <w:t xml:space="preserve"> </w:t>
      </w:r>
      <w:r w:rsidRPr="006C4558">
        <w:t>INF.3 (106</w:t>
      </w:r>
      <w:r w:rsidRPr="006C4558">
        <w:rPr>
          <w:vertAlign w:val="superscript"/>
        </w:rPr>
        <w:t>e</w:t>
      </w:r>
      <w:r>
        <w:t> </w:t>
      </w:r>
      <w:r w:rsidRPr="006C4558">
        <w:t>session)).</w:t>
      </w:r>
    </w:p>
    <w:p w14:paraId="4F1E0350" w14:textId="77777777" w:rsidR="006C4558" w:rsidRPr="006C4558" w:rsidRDefault="006C4558" w:rsidP="006C4558">
      <w:pPr>
        <w:pStyle w:val="SingleTxtG"/>
      </w:pPr>
      <w:r w:rsidRPr="006C4558">
        <w:t>2.</w:t>
      </w:r>
      <w:r w:rsidRPr="006C4558">
        <w:tab/>
        <w:t>Ainsi qu’il est indiqué dans le rapport sur la 106</w:t>
      </w:r>
      <w:r w:rsidRPr="006C4558">
        <w:rPr>
          <w:vertAlign w:val="superscript"/>
        </w:rPr>
        <w:t>e</w:t>
      </w:r>
      <w:r>
        <w:t> </w:t>
      </w:r>
      <w:r w:rsidRPr="006C4558">
        <w:t>session, l’examen du document (ECE/TRANS/WP.15/2019/1) soumis par le CEFIC a soulevé la question du champ d’application du chapitre</w:t>
      </w:r>
      <w:r>
        <w:t> </w:t>
      </w:r>
      <w:r w:rsidRPr="006C4558">
        <w:t>9.6. Tel qu’il est rédigé, ce chapitre ne s’applique qu’aux véhicules complets ou complétés isothermes, réfrigérants ou frigorifiques. Or les dispositions du paragraphe</w:t>
      </w:r>
      <w:r>
        <w:t> </w:t>
      </w:r>
      <w:r w:rsidRPr="006C4558">
        <w:t>7.1.7.4.7 semblent indiquer que les dispositions du chapitre 9.6 s’appliquent également aux conteneurs frigorifiques.</w:t>
      </w:r>
    </w:p>
    <w:p w14:paraId="4D720368" w14:textId="77777777" w:rsidR="006C4558" w:rsidRPr="006C4558" w:rsidRDefault="006C4558" w:rsidP="006C4558">
      <w:pPr>
        <w:pStyle w:val="SingleTxtG"/>
      </w:pPr>
      <w:r w:rsidRPr="006C4558">
        <w:t>3.</w:t>
      </w:r>
      <w:r w:rsidRPr="006C4558">
        <w:tab/>
        <w:t>En outre, étant donné que l’interprétation par le WP.15 de la question soulevée dans le document informel</w:t>
      </w:r>
      <w:r>
        <w:t xml:space="preserve"> </w:t>
      </w:r>
      <w:r w:rsidRPr="006C4558">
        <w:t>INF.3 (Pays-Bas) rendrait aussi nécessaire une modification de la section 7.1.7, le représentant du CEFIC et celui des Pays-Bas soumettent dans le présent document une proposition révisée visant à rendre plus claires les dispositions de la section 7.1.7.</w:t>
      </w:r>
    </w:p>
    <w:p w14:paraId="29F9837A" w14:textId="77777777" w:rsidR="006C4558" w:rsidRPr="006C4558" w:rsidRDefault="006C4558" w:rsidP="00186C3E">
      <w:pPr>
        <w:pStyle w:val="HChG"/>
      </w:pPr>
      <w:r w:rsidRPr="006C4558">
        <w:tab/>
      </w:r>
      <w:r w:rsidRPr="006C4558">
        <w:tab/>
        <w:t>Transport dans des conteneurs frigorifiques et surveillance de la température</w:t>
      </w:r>
    </w:p>
    <w:p w14:paraId="643598DD" w14:textId="77777777" w:rsidR="006C4558" w:rsidRPr="006C4558" w:rsidRDefault="006C4558" w:rsidP="006C4558">
      <w:pPr>
        <w:pStyle w:val="SingleTxtG"/>
      </w:pPr>
      <w:r w:rsidRPr="006C4558">
        <w:t>4.</w:t>
      </w:r>
      <w:r w:rsidRPr="006C4558">
        <w:tab/>
        <w:t>Comme il est expliqué dans le document ECE/TRANS/WP.15/2019/1, il n’est pas possible de surveiller de la cabine du conducteur la température dans les conteneurs frigorifiques autonomes. Toutefois, le</w:t>
      </w:r>
      <w:r>
        <w:t xml:space="preserve"> </w:t>
      </w:r>
      <w:r w:rsidRPr="006C4558">
        <w:t>paragraphe</w:t>
      </w:r>
      <w:r>
        <w:t> </w:t>
      </w:r>
      <w:r w:rsidRPr="006C4558">
        <w:t>7.1.7.4.7 contient une référence au chapitre 9.6, dont l’alinéa</w:t>
      </w:r>
      <w:r>
        <w:t> </w:t>
      </w:r>
      <w:r w:rsidRPr="006C4558">
        <w:t>c) de la section</w:t>
      </w:r>
      <w:r>
        <w:t> </w:t>
      </w:r>
      <w:r w:rsidRPr="006C4558">
        <w:t>9.6.1 prévoit qu’un dispositif approprié doit permettre de constater, de la cabine du conducteur, quelle est la température dans l’espace réservé au chargement. Cet alinéa ne s’applique qu’aux véhicules complétés destinés au transport de matières sous régulation de température, et non aux conteneurs frigorifiques.</w:t>
      </w:r>
    </w:p>
    <w:p w14:paraId="7736434E" w14:textId="77777777" w:rsidR="006C4558" w:rsidRPr="006C4558" w:rsidRDefault="006C4558" w:rsidP="006C4558">
      <w:pPr>
        <w:pStyle w:val="SingleTxtG"/>
      </w:pPr>
      <w:r w:rsidRPr="006C4558">
        <w:t>5.</w:t>
      </w:r>
      <w:r w:rsidRPr="006C4558">
        <w:tab/>
        <w:t>Pour faire en sorte que les dispositions pertinentes du chapitre 9.6 s’appliquent bien aux conteneurs frigorifiques, il est proposé d’ajouter au</w:t>
      </w:r>
      <w:r>
        <w:t xml:space="preserve"> </w:t>
      </w:r>
      <w:r w:rsidRPr="006C4558">
        <w:t>paragraphe</w:t>
      </w:r>
      <w:r>
        <w:t> </w:t>
      </w:r>
      <w:r w:rsidRPr="006C4558">
        <w:t>7.1.7.4.7 une référence explicite au chapitre 9.6 dans le cas des conteneurs frigorifiques (</w:t>
      </w:r>
      <w:r>
        <w:t>v</w:t>
      </w:r>
      <w:r w:rsidRPr="006C4558">
        <w:t>oir la proposition 1). La</w:t>
      </w:r>
      <w:r>
        <w:t> </w:t>
      </w:r>
      <w:r w:rsidRPr="006C4558">
        <w:t>réalisation de contrôles de température à intervalles réguliers est déjà prescrite au</w:t>
      </w:r>
      <w:r>
        <w:t xml:space="preserve"> </w:t>
      </w:r>
      <w:r w:rsidRPr="006C4558">
        <w:t>paragraphe</w:t>
      </w:r>
      <w:r>
        <w:t> </w:t>
      </w:r>
      <w:r w:rsidRPr="006C4558">
        <w:t>7.1.7.4.2.</w:t>
      </w:r>
    </w:p>
    <w:p w14:paraId="77C0EC30" w14:textId="77777777" w:rsidR="006C4558" w:rsidRPr="006C4558" w:rsidRDefault="00186C3E" w:rsidP="00186C3E">
      <w:pPr>
        <w:pStyle w:val="HChG"/>
      </w:pPr>
      <w:r>
        <w:tab/>
      </w:r>
      <w:r>
        <w:tab/>
      </w:r>
      <w:r w:rsidR="006C4558" w:rsidRPr="006C4558">
        <w:t>Interprétation des prescriptions relatives à l’isolation thermique figurant au</w:t>
      </w:r>
      <w:r w:rsidR="006C4558">
        <w:t xml:space="preserve"> </w:t>
      </w:r>
      <w:r w:rsidR="006C4558" w:rsidRPr="006C4558">
        <w:t>paragraphe</w:t>
      </w:r>
      <w:r w:rsidR="006C4558">
        <w:t> </w:t>
      </w:r>
      <w:r w:rsidR="006C4558" w:rsidRPr="006C4558">
        <w:t>7.1.7.4.5 de l’ADR</w:t>
      </w:r>
    </w:p>
    <w:p w14:paraId="3F31DA29" w14:textId="77777777" w:rsidR="006C4558" w:rsidRPr="006C4558" w:rsidRDefault="006C4558" w:rsidP="006C4558">
      <w:pPr>
        <w:pStyle w:val="SingleTxtG"/>
      </w:pPr>
      <w:r w:rsidRPr="006C4558">
        <w:t>6.</w:t>
      </w:r>
      <w:r w:rsidRPr="006C4558">
        <w:tab/>
        <w:t>Le document informel</w:t>
      </w:r>
      <w:r>
        <w:t xml:space="preserve"> </w:t>
      </w:r>
      <w:r w:rsidRPr="006C4558">
        <w:t>INF.3 (106</w:t>
      </w:r>
      <w:r w:rsidRPr="006C4558">
        <w:rPr>
          <w:vertAlign w:val="superscript"/>
        </w:rPr>
        <w:t>e</w:t>
      </w:r>
      <w:r>
        <w:t> </w:t>
      </w:r>
      <w:r w:rsidRPr="006C4558">
        <w:t>session) contient des précisions sur la façon dont doivent être interprétées les prescriptions du paragraphe 7.1.7.4.5 relatives à l’isolation thermique. Il y est indiqué que les méthodes décrites aux alinéas</w:t>
      </w:r>
      <w:r>
        <w:t> </w:t>
      </w:r>
      <w:r w:rsidRPr="006C4558">
        <w:t>c), d) et e) du paragraphe 7.1.7.4.5 doivent être utilisées pour l’isolation thermique des unités de transport (et non des colis). Le Groupe de travail a confirmé cette conclusion (voir ECE/TRANS/WP.15/246, par. 49).</w:t>
      </w:r>
    </w:p>
    <w:p w14:paraId="768B1FF2" w14:textId="77777777" w:rsidR="006C4558" w:rsidRPr="006C4558" w:rsidRDefault="006C4558" w:rsidP="006C4558">
      <w:pPr>
        <w:pStyle w:val="SingleTxtG"/>
      </w:pPr>
      <w:r w:rsidRPr="006C4558">
        <w:t>7.</w:t>
      </w:r>
      <w:r w:rsidRPr="006C4558">
        <w:tab/>
        <w:t>Il a été rappelé qu’à la cinquante-troisième session (juin 2018) du Sous-Comité d’experts du Système général harmonisé de classification et d’étiquetage des produits chimiques, la décision avait été prise d’adopter les prescriptions relatives à l</w:t>
      </w:r>
      <w:proofErr w:type="gramStart"/>
      <w:r w:rsidRPr="006C4558">
        <w:t>’</w:t>
      </w:r>
      <w:r>
        <w:t>«</w:t>
      </w:r>
      <w:proofErr w:type="gramEnd"/>
      <w:r>
        <w:t> </w:t>
      </w:r>
      <w:r w:rsidRPr="006C4558">
        <w:t>isolation thermique</w:t>
      </w:r>
      <w:r>
        <w:t> »</w:t>
      </w:r>
      <w:r w:rsidRPr="006C4558">
        <w:t xml:space="preserve"> entre crochets pour les méthodes prévues aux</w:t>
      </w:r>
      <w:bookmarkStart w:id="1" w:name="_Hlk34322915"/>
      <w:r w:rsidRPr="006C4558">
        <w:t xml:space="preserve"> alinéas</w:t>
      </w:r>
      <w:r>
        <w:t> </w:t>
      </w:r>
      <w:r w:rsidRPr="006C4558">
        <w:t>c), d) et e)</w:t>
      </w:r>
      <w:bookmarkEnd w:id="1"/>
      <w:r w:rsidRPr="006C4558">
        <w:t xml:space="preserve"> du</w:t>
      </w:r>
      <w:r>
        <w:t xml:space="preserve"> </w:t>
      </w:r>
      <w:r w:rsidRPr="006C4558">
        <w:t>paragraphe</w:t>
      </w:r>
      <w:r>
        <w:t> </w:t>
      </w:r>
      <w:r w:rsidRPr="006C4558">
        <w:t xml:space="preserve">7.1.5.4.5 dans le Règlement type de l’ONU, en attendant que le Sous-Comité réexamine cette question lors d’une session ultérieure. Pourtant, le rapport sur la </w:t>
      </w:r>
      <w:r w:rsidRPr="006C4558">
        <w:lastRenderedPageBreak/>
        <w:t>cinquante</w:t>
      </w:r>
      <w:r w:rsidR="00186C3E">
        <w:noBreakHyphen/>
      </w:r>
      <w:r w:rsidRPr="006C4558">
        <w:t xml:space="preserve">quatrième session (décembre 2018) du Sous-Comité, ne contenait aucune mention de l’isolation des </w:t>
      </w:r>
      <w:r>
        <w:t>« </w:t>
      </w:r>
      <w:r w:rsidRPr="006C4558">
        <w:t>unités de transport</w:t>
      </w:r>
      <w:r>
        <w:t> »</w:t>
      </w:r>
      <w:r w:rsidRPr="006C4558">
        <w:t>.</w:t>
      </w:r>
    </w:p>
    <w:p w14:paraId="52558AF0" w14:textId="77777777" w:rsidR="006C4558" w:rsidRPr="006C4558" w:rsidRDefault="006C4558" w:rsidP="006C4558">
      <w:pPr>
        <w:pStyle w:val="SingleTxtG"/>
      </w:pPr>
      <w:r w:rsidRPr="006C4558">
        <w:t>8.</w:t>
      </w:r>
      <w:r w:rsidRPr="006C4558">
        <w:tab/>
        <w:t>Les Pays-Bas et le CEFIC proposent d’ajouter aux méthodes prévues aux alinéas</w:t>
      </w:r>
      <w:r>
        <w:t> </w:t>
      </w:r>
      <w:r w:rsidRPr="006C4558">
        <w:t>c), d) et e) du paragraphe</w:t>
      </w:r>
      <w:r>
        <w:t> </w:t>
      </w:r>
      <w:r w:rsidRPr="006C4558">
        <w:t>7.1.7.4.5 de l’ADR une prescription relative à l’isolation thermique avec, en plus du texte adopté entre crochets par le Sous-Comité (voir ST/SG/AC.10/C.3/106/Add.1), des dispositions précisant que cette prescription s’applique aussi aux unités de transport. Voir la proposition</w:t>
      </w:r>
      <w:r>
        <w:t> </w:t>
      </w:r>
      <w:r w:rsidRPr="006C4558">
        <w:t>2.</w:t>
      </w:r>
    </w:p>
    <w:p w14:paraId="36BFF520" w14:textId="77777777" w:rsidR="006C4558" w:rsidRPr="006C4558" w:rsidRDefault="006C4558" w:rsidP="006C4558">
      <w:pPr>
        <w:pStyle w:val="SingleTxtG"/>
      </w:pPr>
      <w:r w:rsidRPr="006C4558">
        <w:t>9</w:t>
      </w:r>
      <w:r w:rsidRPr="006C4558">
        <w:tab/>
        <w:t>Si la proposition 2 est adoptée, elle devrait être portée à l’attention du Sous-Comité d’experts du transport des marchandises dangereuses.</w:t>
      </w:r>
    </w:p>
    <w:p w14:paraId="7D2BA197" w14:textId="77777777" w:rsidR="006C4558" w:rsidRPr="006C4558" w:rsidRDefault="006C4558" w:rsidP="00186C3E">
      <w:pPr>
        <w:pStyle w:val="HChG"/>
      </w:pPr>
      <w:r w:rsidRPr="006C4558">
        <w:tab/>
      </w:r>
      <w:r w:rsidRPr="006C4558">
        <w:tab/>
        <w:t>Propositions</w:t>
      </w:r>
    </w:p>
    <w:p w14:paraId="0DE31D50" w14:textId="77777777" w:rsidR="006C4558" w:rsidRPr="006C4558" w:rsidRDefault="006C4558" w:rsidP="00186C3E">
      <w:pPr>
        <w:pStyle w:val="H1G"/>
      </w:pPr>
      <w:r w:rsidRPr="006C4558">
        <w:tab/>
      </w:r>
      <w:r w:rsidRPr="006C4558">
        <w:tab/>
        <w:t>Proposition 1</w:t>
      </w:r>
    </w:p>
    <w:p w14:paraId="5CE8387D" w14:textId="77777777" w:rsidR="006C4558" w:rsidRPr="006C4558" w:rsidRDefault="006C4558" w:rsidP="006C4558">
      <w:pPr>
        <w:pStyle w:val="SingleTxtG"/>
      </w:pPr>
      <w:r w:rsidRPr="006C4558">
        <w:t>10.</w:t>
      </w:r>
      <w:r w:rsidRPr="006C4558">
        <w:tab/>
        <w:t>Modifier comme suit le paragraphe 7.1.7.4.7 (les modifications proposées figurent en caractères gras soulignés pour les ajouts et biffés pour les suppressions) :</w:t>
      </w:r>
    </w:p>
    <w:p w14:paraId="53CBF69D" w14:textId="77777777" w:rsidR="006C4558" w:rsidRPr="006C4558" w:rsidRDefault="006C4558" w:rsidP="00062DAA">
      <w:pPr>
        <w:pStyle w:val="SingleTxtG"/>
      </w:pPr>
      <w:r>
        <w:t>« </w:t>
      </w:r>
      <w:r w:rsidRPr="006C4558">
        <w:t>7.1.7.4.7</w:t>
      </w:r>
      <w:bookmarkStart w:id="2" w:name="_Hlk535913935"/>
      <w:r w:rsidR="00062DAA">
        <w:tab/>
      </w:r>
      <w:r w:rsidRPr="006C4558">
        <w:t xml:space="preserve">Si les matières sont transportées dans des véhicules ou conteneurs isothermes, réfrigérants ou frigorifiques, </w:t>
      </w:r>
      <w:r w:rsidRPr="006C4558">
        <w:rPr>
          <w:strike/>
        </w:rPr>
        <w:t xml:space="preserve">ces </w:t>
      </w:r>
      <w:r w:rsidRPr="006C4558">
        <w:rPr>
          <w:b/>
        </w:rPr>
        <w:t>les</w:t>
      </w:r>
      <w:r w:rsidRPr="006C4558">
        <w:t xml:space="preserve"> véhicules </w:t>
      </w:r>
      <w:r w:rsidRPr="006C4558">
        <w:rPr>
          <w:strike/>
        </w:rPr>
        <w:t>ou conteneurs</w:t>
      </w:r>
      <w:r w:rsidRPr="006C4558">
        <w:t xml:space="preserve"> doivent être conformes aux prescriptions du chapitre 9.6 </w:t>
      </w:r>
      <w:r w:rsidRPr="006C4558">
        <w:rPr>
          <w:b/>
          <w:u w:val="single"/>
        </w:rPr>
        <w:t>et les conteneurs doivent être conformes aux prescriptions des alinéas a) et e) de la section 9.6.1 ainsi qu’à celles de la section 9.6.2</w:t>
      </w:r>
      <w:r w:rsidRPr="006C4558">
        <w:t>.</w:t>
      </w:r>
      <w:r>
        <w:t> »</w:t>
      </w:r>
      <w:r w:rsidRPr="006C4558">
        <w:t>.</w:t>
      </w:r>
    </w:p>
    <w:bookmarkEnd w:id="2"/>
    <w:p w14:paraId="52C0D1C1" w14:textId="77777777" w:rsidR="006C4558" w:rsidRPr="006C4558" w:rsidRDefault="006C4558" w:rsidP="00186C3E">
      <w:pPr>
        <w:pStyle w:val="H1G"/>
      </w:pPr>
      <w:r w:rsidRPr="006C4558">
        <w:tab/>
      </w:r>
      <w:r w:rsidRPr="006C4558">
        <w:tab/>
        <w:t>Proposition 2</w:t>
      </w:r>
    </w:p>
    <w:p w14:paraId="4A3BC875" w14:textId="77777777" w:rsidR="006C4558" w:rsidRPr="006C4558" w:rsidRDefault="006C4558" w:rsidP="006C4558">
      <w:pPr>
        <w:pStyle w:val="SingleTxtG"/>
      </w:pPr>
      <w:r w:rsidRPr="006C4558">
        <w:t>11.</w:t>
      </w:r>
      <w:r w:rsidRPr="006C4558">
        <w:tab/>
        <w:t>Modifier comme suit les alinéas</w:t>
      </w:r>
      <w:r>
        <w:t> </w:t>
      </w:r>
      <w:r w:rsidRPr="006C4558">
        <w:t>c), d) et e) du</w:t>
      </w:r>
      <w:r>
        <w:t xml:space="preserve"> </w:t>
      </w:r>
      <w:r w:rsidRPr="006C4558">
        <w:t>paragraphe</w:t>
      </w:r>
      <w:r>
        <w:t> </w:t>
      </w:r>
      <w:r w:rsidRPr="006C4558">
        <w:t>7.1.7.4.5 :</w:t>
      </w:r>
    </w:p>
    <w:p w14:paraId="72860731" w14:textId="77777777" w:rsidR="006C4558" w:rsidRPr="006C4558" w:rsidRDefault="006C4558" w:rsidP="006C4558">
      <w:pPr>
        <w:pStyle w:val="SingleTxtG"/>
      </w:pPr>
      <w:r>
        <w:t>« </w:t>
      </w:r>
      <w:r w:rsidRPr="006C4558">
        <w:t xml:space="preserve">Isolation thermique de l’unité </w:t>
      </w:r>
      <w:r w:rsidRPr="006C4558">
        <w:rPr>
          <w:b/>
          <w:u w:val="single"/>
        </w:rPr>
        <w:t>de transport</w:t>
      </w:r>
      <w:r w:rsidRPr="006C4558">
        <w:t xml:space="preserve"> et</w:t>
      </w:r>
      <w:r>
        <w:t> »</w:t>
      </w:r>
    </w:p>
    <w:p w14:paraId="1ACEE913" w14:textId="77777777" w:rsidR="006C4558" w:rsidRPr="006C4558" w:rsidRDefault="006C4558" w:rsidP="00186C3E">
      <w:pPr>
        <w:pStyle w:val="H1G"/>
      </w:pPr>
      <w:r w:rsidRPr="006C4558">
        <w:tab/>
      </w:r>
      <w:r w:rsidRPr="006C4558">
        <w:tab/>
        <w:t>Faisabilité</w:t>
      </w:r>
    </w:p>
    <w:p w14:paraId="0ED04490" w14:textId="77777777" w:rsidR="006C4558" w:rsidRDefault="006C4558" w:rsidP="006C4558">
      <w:pPr>
        <w:pStyle w:val="SingleTxtG"/>
      </w:pPr>
      <w:r w:rsidRPr="006C4558">
        <w:t>12.</w:t>
      </w:r>
      <w:r w:rsidRPr="006C4558">
        <w:tab/>
        <w:t>Les propositions soumises ne devraient pas créer de problème.</w:t>
      </w:r>
    </w:p>
    <w:p w14:paraId="66E306CD" w14:textId="77777777" w:rsidR="006C4558" w:rsidRPr="006C4558" w:rsidRDefault="006C4558" w:rsidP="006C4558">
      <w:pPr>
        <w:pStyle w:val="SingleTxtG"/>
        <w:spacing w:before="240" w:after="0"/>
        <w:jc w:val="center"/>
        <w:rPr>
          <w:u w:val="single"/>
        </w:rPr>
      </w:pPr>
      <w:r>
        <w:rPr>
          <w:u w:val="single"/>
        </w:rPr>
        <w:tab/>
      </w:r>
      <w:r>
        <w:rPr>
          <w:u w:val="single"/>
        </w:rPr>
        <w:tab/>
      </w:r>
      <w:r>
        <w:rPr>
          <w:u w:val="single"/>
        </w:rPr>
        <w:tab/>
      </w:r>
    </w:p>
    <w:sectPr w:rsidR="006C4558" w:rsidRPr="006C4558" w:rsidSect="006C45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6A97" w14:textId="77777777" w:rsidR="008C33C0" w:rsidRDefault="008C33C0" w:rsidP="00F95C08">
      <w:pPr>
        <w:spacing w:line="240" w:lineRule="auto"/>
      </w:pPr>
    </w:p>
  </w:endnote>
  <w:endnote w:type="continuationSeparator" w:id="0">
    <w:p w14:paraId="1B7F784F" w14:textId="77777777" w:rsidR="008C33C0" w:rsidRPr="00AC3823" w:rsidRDefault="008C33C0" w:rsidP="00AC3823">
      <w:pPr>
        <w:pStyle w:val="Footer"/>
      </w:pPr>
    </w:p>
  </w:endnote>
  <w:endnote w:type="continuationNotice" w:id="1">
    <w:p w14:paraId="52E7815B" w14:textId="77777777" w:rsidR="008C33C0" w:rsidRDefault="008C33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1FF2" w14:textId="77777777" w:rsidR="006C4558" w:rsidRPr="006C4558" w:rsidRDefault="006C4558" w:rsidP="006C4558">
    <w:pPr>
      <w:pStyle w:val="Footer"/>
      <w:tabs>
        <w:tab w:val="right" w:pos="9638"/>
      </w:tabs>
    </w:pPr>
    <w:r w:rsidRPr="006C4558">
      <w:rPr>
        <w:b/>
        <w:sz w:val="18"/>
      </w:rPr>
      <w:fldChar w:fldCharType="begin"/>
    </w:r>
    <w:r w:rsidRPr="006C4558">
      <w:rPr>
        <w:b/>
        <w:sz w:val="18"/>
      </w:rPr>
      <w:instrText xml:space="preserve"> PAGE  \* MERGEFORMAT </w:instrText>
    </w:r>
    <w:r w:rsidRPr="006C4558">
      <w:rPr>
        <w:b/>
        <w:sz w:val="18"/>
      </w:rPr>
      <w:fldChar w:fldCharType="separate"/>
    </w:r>
    <w:r w:rsidRPr="006C4558">
      <w:rPr>
        <w:b/>
        <w:noProof/>
        <w:sz w:val="18"/>
      </w:rPr>
      <w:t>2</w:t>
    </w:r>
    <w:r w:rsidRPr="006C4558">
      <w:rPr>
        <w:b/>
        <w:sz w:val="18"/>
      </w:rPr>
      <w:fldChar w:fldCharType="end"/>
    </w:r>
    <w:r>
      <w:rPr>
        <w:b/>
        <w:sz w:val="18"/>
      </w:rPr>
      <w:tab/>
    </w:r>
    <w:r>
      <w:t>GE.20-02393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407F" w14:textId="77777777" w:rsidR="006C4558" w:rsidRPr="006C4558" w:rsidRDefault="006C4558" w:rsidP="006C4558">
    <w:pPr>
      <w:pStyle w:val="Footer"/>
      <w:tabs>
        <w:tab w:val="right" w:pos="9638"/>
      </w:tabs>
      <w:rPr>
        <w:b/>
        <w:sz w:val="18"/>
      </w:rPr>
    </w:pPr>
    <w:r>
      <w:t>GE.20-02393</w:t>
    </w:r>
    <w:r>
      <w:tab/>
    </w:r>
    <w:r w:rsidRPr="006C4558">
      <w:rPr>
        <w:b/>
        <w:sz w:val="18"/>
      </w:rPr>
      <w:fldChar w:fldCharType="begin"/>
    </w:r>
    <w:r w:rsidRPr="006C4558">
      <w:rPr>
        <w:b/>
        <w:sz w:val="18"/>
      </w:rPr>
      <w:instrText xml:space="preserve"> PAGE  \* MERGEFORMAT </w:instrText>
    </w:r>
    <w:r w:rsidRPr="006C4558">
      <w:rPr>
        <w:b/>
        <w:sz w:val="18"/>
      </w:rPr>
      <w:fldChar w:fldCharType="separate"/>
    </w:r>
    <w:r w:rsidRPr="006C4558">
      <w:rPr>
        <w:b/>
        <w:noProof/>
        <w:sz w:val="18"/>
      </w:rPr>
      <w:t>3</w:t>
    </w:r>
    <w:r w:rsidRPr="006C45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531D" w14:textId="77777777" w:rsidR="007F20FA" w:rsidRPr="006C4558" w:rsidRDefault="006C4558" w:rsidP="006C455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BC87DA" wp14:editId="27B47CD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02393  (</w:t>
    </w:r>
    <w:proofErr w:type="gramEnd"/>
    <w:r>
      <w:rPr>
        <w:sz w:val="20"/>
      </w:rPr>
      <w:t>F)    180320    180320</w:t>
    </w:r>
    <w:r>
      <w:rPr>
        <w:sz w:val="20"/>
      </w:rPr>
      <w:br/>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sidRPr="006C4558">
      <w:rPr>
        <w:rFonts w:ascii="C39T30Lfz" w:hAnsi="C39T30Lfz"/>
        <w:sz w:val="56"/>
      </w:rPr>
      <w:t></w:t>
    </w:r>
    <w:r>
      <w:rPr>
        <w:noProof/>
        <w:sz w:val="20"/>
      </w:rPr>
      <w:drawing>
        <wp:anchor distT="0" distB="0" distL="114300" distR="114300" simplePos="0" relativeHeight="251658240" behindDoc="0" locked="0" layoutInCell="1" allowOverlap="1" wp14:anchorId="52269C0C" wp14:editId="2E3D64E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CFDC" w14:textId="77777777" w:rsidR="008C33C0" w:rsidRPr="00AC3823" w:rsidRDefault="008C33C0" w:rsidP="00AC3823">
      <w:pPr>
        <w:pStyle w:val="Footer"/>
        <w:tabs>
          <w:tab w:val="right" w:pos="2155"/>
        </w:tabs>
        <w:spacing w:after="80" w:line="240" w:lineRule="atLeast"/>
        <w:ind w:left="680"/>
        <w:rPr>
          <w:u w:val="single"/>
        </w:rPr>
      </w:pPr>
      <w:r>
        <w:rPr>
          <w:u w:val="single"/>
        </w:rPr>
        <w:tab/>
      </w:r>
    </w:p>
  </w:footnote>
  <w:footnote w:type="continuationSeparator" w:id="0">
    <w:p w14:paraId="196E15AE" w14:textId="77777777" w:rsidR="008C33C0" w:rsidRPr="00AC3823" w:rsidRDefault="008C33C0" w:rsidP="00AC3823">
      <w:pPr>
        <w:pStyle w:val="Footer"/>
        <w:tabs>
          <w:tab w:val="right" w:pos="2155"/>
        </w:tabs>
        <w:spacing w:after="80" w:line="240" w:lineRule="atLeast"/>
        <w:ind w:left="680"/>
        <w:rPr>
          <w:u w:val="single"/>
        </w:rPr>
      </w:pPr>
      <w:r>
        <w:rPr>
          <w:u w:val="single"/>
        </w:rPr>
        <w:tab/>
      </w:r>
    </w:p>
  </w:footnote>
  <w:footnote w:type="continuationNotice" w:id="1">
    <w:p w14:paraId="23CF82BF" w14:textId="77777777" w:rsidR="008C33C0" w:rsidRPr="00AC3823" w:rsidRDefault="008C33C0">
      <w:pPr>
        <w:spacing w:line="240" w:lineRule="auto"/>
        <w:rPr>
          <w:sz w:val="2"/>
          <w:szCs w:val="2"/>
        </w:rPr>
      </w:pPr>
    </w:p>
  </w:footnote>
  <w:footnote w:id="2">
    <w:p w14:paraId="0455DFDF" w14:textId="77777777" w:rsidR="006C4558" w:rsidRPr="006C4558" w:rsidRDefault="006C4558">
      <w:pPr>
        <w:pStyle w:val="FootnoteText"/>
      </w:pPr>
      <w:r>
        <w:rPr>
          <w:rStyle w:val="FootnoteReference"/>
        </w:rPr>
        <w:tab/>
      </w:r>
      <w:r w:rsidRPr="006C4558">
        <w:rPr>
          <w:rStyle w:val="FootnoteReference"/>
          <w:sz w:val="20"/>
          <w:vertAlign w:val="baseline"/>
        </w:rPr>
        <w:t>*</w:t>
      </w:r>
      <w:r>
        <w:rPr>
          <w:rStyle w:val="FootnoteReference"/>
          <w:sz w:val="20"/>
          <w:vertAlign w:val="baseline"/>
        </w:rPr>
        <w:tab/>
      </w:r>
      <w:r w:rsidRPr="00E545F6">
        <w:rPr>
          <w:lang w:eastAsia="en-GB"/>
        </w:rPr>
        <w:t xml:space="preserve">2020 (A/74/6 (Sect. 20) et supplément, </w:t>
      </w:r>
      <w:r>
        <w:rPr>
          <w:lang w:eastAsia="en-GB"/>
        </w:rPr>
        <w:t>s</w:t>
      </w:r>
      <w:r w:rsidRPr="00E545F6">
        <w:rPr>
          <w:lang w:eastAsia="en-GB"/>
        </w:rPr>
        <w:t>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0C11" w14:textId="56CA3360" w:rsidR="006C4558" w:rsidRPr="006C4558" w:rsidRDefault="00D7669F">
    <w:pPr>
      <w:pStyle w:val="Header"/>
    </w:pPr>
    <w:r>
      <w:fldChar w:fldCharType="begin"/>
    </w:r>
    <w:r>
      <w:instrText xml:space="preserve"> TITLE  \* MERGEFORMAT </w:instrText>
    </w:r>
    <w:r>
      <w:fldChar w:fldCharType="separate"/>
    </w:r>
    <w:r w:rsidR="00EB4CE0">
      <w:t>ECE/TRANS/WP.15/2020/1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2765" w14:textId="7727A31E" w:rsidR="006C4558" w:rsidRPr="006C4558" w:rsidRDefault="00D7669F" w:rsidP="006C4558">
    <w:pPr>
      <w:pStyle w:val="Header"/>
      <w:jc w:val="right"/>
    </w:pPr>
    <w:r>
      <w:fldChar w:fldCharType="begin"/>
    </w:r>
    <w:r>
      <w:instrText xml:space="preserve"> TITLE  \* MERGEFORMAT </w:instrText>
    </w:r>
    <w:r>
      <w:fldChar w:fldCharType="separate"/>
    </w:r>
    <w:r w:rsidR="00EB4CE0">
      <w:t>ECE/TRANS/WP.15/2020/1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C0"/>
    <w:rsid w:val="00017F94"/>
    <w:rsid w:val="00023842"/>
    <w:rsid w:val="000334F9"/>
    <w:rsid w:val="00045FEB"/>
    <w:rsid w:val="00062DAA"/>
    <w:rsid w:val="0007796D"/>
    <w:rsid w:val="000B7790"/>
    <w:rsid w:val="00111F2F"/>
    <w:rsid w:val="0014365E"/>
    <w:rsid w:val="00143C66"/>
    <w:rsid w:val="00176178"/>
    <w:rsid w:val="00186C3E"/>
    <w:rsid w:val="001F525A"/>
    <w:rsid w:val="00223272"/>
    <w:rsid w:val="0024779E"/>
    <w:rsid w:val="00257168"/>
    <w:rsid w:val="002744B8"/>
    <w:rsid w:val="002832AC"/>
    <w:rsid w:val="002A2BA1"/>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02211"/>
    <w:rsid w:val="006C4558"/>
    <w:rsid w:val="0071601D"/>
    <w:rsid w:val="007A62E6"/>
    <w:rsid w:val="007F20FA"/>
    <w:rsid w:val="00800DFD"/>
    <w:rsid w:val="0080684C"/>
    <w:rsid w:val="008607F7"/>
    <w:rsid w:val="00871C75"/>
    <w:rsid w:val="008776DC"/>
    <w:rsid w:val="008C33C0"/>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23CE"/>
    <w:rsid w:val="00C97039"/>
    <w:rsid w:val="00D3439C"/>
    <w:rsid w:val="00D7669F"/>
    <w:rsid w:val="00DB1831"/>
    <w:rsid w:val="00DD3BFD"/>
    <w:rsid w:val="00DF6678"/>
    <w:rsid w:val="00E0299A"/>
    <w:rsid w:val="00E85C74"/>
    <w:rsid w:val="00EA6547"/>
    <w:rsid w:val="00EB4CE0"/>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C036D"/>
  <w15:docId w15:val="{56C389D2-788B-4370-8110-F32753A9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C45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vt:lpstr>
      <vt:lpstr>ECE/TRANS/WP.15/2020/1</vt:lpstr>
    </vt:vector>
  </TitlesOfParts>
  <Company>DCM</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dc:title>
  <dc:subject/>
  <dc:creator>Marie DESCHAMPS</dc:creator>
  <cp:keywords/>
  <cp:lastModifiedBy>Christine Barrio-Champeau</cp:lastModifiedBy>
  <cp:revision>2</cp:revision>
  <cp:lastPrinted>2020-03-18T11:11:00Z</cp:lastPrinted>
  <dcterms:created xsi:type="dcterms:W3CDTF">2020-03-18T13:44:00Z</dcterms:created>
  <dcterms:modified xsi:type="dcterms:W3CDTF">2020-03-18T13:44:00Z</dcterms:modified>
</cp:coreProperties>
</file>