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D65BB9" w:rsidP="00D65BB9">
            <w:pPr>
              <w:jc w:val="right"/>
            </w:pPr>
            <w:r w:rsidRPr="00D65BB9">
              <w:rPr>
                <w:sz w:val="40"/>
              </w:rPr>
              <w:t>ECE</w:t>
            </w:r>
            <w:r>
              <w:t>/TRANS/WP.15/2020/1</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D65BB9" w:rsidP="00D65BB9">
            <w:pPr>
              <w:spacing w:before="240" w:line="240" w:lineRule="exact"/>
            </w:pPr>
            <w:r>
              <w:t>Distr.: General</w:t>
            </w:r>
          </w:p>
          <w:p w:rsidR="00D65BB9" w:rsidRDefault="00227671" w:rsidP="00D65BB9">
            <w:pPr>
              <w:spacing w:line="240" w:lineRule="exact"/>
            </w:pPr>
            <w:r>
              <w:t>1</w:t>
            </w:r>
            <w:r w:rsidR="00DF48EF">
              <w:t>7</w:t>
            </w:r>
            <w:bookmarkStart w:id="0" w:name="_GoBack"/>
            <w:bookmarkEnd w:id="0"/>
            <w:r w:rsidR="00D65BB9">
              <w:t xml:space="preserve"> February 2020</w:t>
            </w:r>
          </w:p>
          <w:p w:rsidR="00D65BB9" w:rsidRDefault="00D65BB9" w:rsidP="00D65BB9">
            <w:pPr>
              <w:spacing w:line="240" w:lineRule="exact"/>
            </w:pPr>
          </w:p>
          <w:p w:rsidR="00D65BB9" w:rsidRDefault="00D65BB9" w:rsidP="00D65BB9">
            <w:pPr>
              <w:spacing w:line="240" w:lineRule="exact"/>
            </w:pPr>
            <w:r>
              <w:t>Original: English</w:t>
            </w:r>
          </w:p>
        </w:tc>
      </w:tr>
    </w:tbl>
    <w:p w:rsidR="00AE46FC" w:rsidRDefault="00AE46FC" w:rsidP="00AE46FC">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AE46FC" w:rsidRDefault="00AE46FC" w:rsidP="00AE46FC">
      <w:pPr>
        <w:spacing w:before="120"/>
        <w:rPr>
          <w:sz w:val="28"/>
          <w:szCs w:val="28"/>
        </w:rPr>
      </w:pPr>
      <w:r>
        <w:rPr>
          <w:sz w:val="28"/>
          <w:szCs w:val="28"/>
        </w:rPr>
        <w:t>Inland Transport Committee</w:t>
      </w:r>
    </w:p>
    <w:p w:rsidR="00AE46FC" w:rsidRDefault="00AE46FC" w:rsidP="00AE46FC">
      <w:pPr>
        <w:spacing w:before="120"/>
        <w:rPr>
          <w:b/>
          <w:sz w:val="24"/>
          <w:szCs w:val="24"/>
        </w:rPr>
      </w:pPr>
      <w:r>
        <w:rPr>
          <w:b/>
          <w:sz w:val="24"/>
          <w:szCs w:val="24"/>
        </w:rPr>
        <w:t>Working Party on the Transport of Dangerous Goods</w:t>
      </w:r>
    </w:p>
    <w:p w:rsidR="00AE46FC" w:rsidRDefault="00AE46FC" w:rsidP="00AE46FC">
      <w:pPr>
        <w:spacing w:before="120"/>
        <w:rPr>
          <w:rFonts w:eastAsia="SimSun"/>
          <w:b/>
        </w:rPr>
      </w:pPr>
      <w:r>
        <w:rPr>
          <w:rFonts w:eastAsia="SimSun"/>
          <w:b/>
        </w:rPr>
        <w:t>10</w:t>
      </w:r>
      <w:r w:rsidR="007450AF">
        <w:rPr>
          <w:rFonts w:eastAsia="SimSun"/>
          <w:b/>
        </w:rPr>
        <w:t>8</w:t>
      </w:r>
      <w:r>
        <w:rPr>
          <w:rFonts w:eastAsia="SimSun"/>
          <w:b/>
        </w:rPr>
        <w:t>th</w:t>
      </w:r>
      <w:r>
        <w:rPr>
          <w:rStyle w:val="hps"/>
          <w:rFonts w:ascii="Arial" w:hAnsi="Arial" w:cs="Arial"/>
          <w:color w:val="222222"/>
          <w:lang w:val="en"/>
        </w:rPr>
        <w:t xml:space="preserve"> </w:t>
      </w:r>
      <w:r>
        <w:rPr>
          <w:rFonts w:eastAsia="SimSun"/>
          <w:b/>
        </w:rPr>
        <w:t xml:space="preserve">session </w:t>
      </w:r>
    </w:p>
    <w:p w:rsidR="00AE46FC" w:rsidRDefault="00AE46FC" w:rsidP="00AE46FC">
      <w:pPr>
        <w:rPr>
          <w:rFonts w:eastAsia="SimSun"/>
        </w:rPr>
      </w:pPr>
      <w:r>
        <w:rPr>
          <w:rFonts w:eastAsia="SimSun"/>
        </w:rPr>
        <w:t>Geneva, 1</w:t>
      </w:r>
      <w:r w:rsidR="007450AF">
        <w:rPr>
          <w:rFonts w:eastAsia="SimSun"/>
        </w:rPr>
        <w:t>1</w:t>
      </w:r>
      <w:r>
        <w:rPr>
          <w:rFonts w:eastAsia="SimSun"/>
        </w:rPr>
        <w:t>–1</w:t>
      </w:r>
      <w:r w:rsidR="007450AF">
        <w:rPr>
          <w:rFonts w:eastAsia="SimSun"/>
        </w:rPr>
        <w:t>5</w:t>
      </w:r>
      <w:r>
        <w:rPr>
          <w:rFonts w:eastAsia="SimSun"/>
        </w:rPr>
        <w:t xml:space="preserve"> May 20</w:t>
      </w:r>
      <w:r w:rsidR="007450AF">
        <w:rPr>
          <w:rFonts w:eastAsia="SimSun"/>
        </w:rPr>
        <w:t>20</w:t>
      </w:r>
    </w:p>
    <w:p w:rsidR="00AE46FC" w:rsidRDefault="00AE46FC" w:rsidP="00AE46FC">
      <w:r>
        <w:rPr>
          <w:rFonts w:eastAsia="SimSun"/>
        </w:rPr>
        <w:t xml:space="preserve">Item </w:t>
      </w:r>
      <w:r w:rsidR="00CA2AFF">
        <w:t>5</w:t>
      </w:r>
      <w:r>
        <w:t xml:space="preserve"> (b) of the provisional agenda</w:t>
      </w:r>
    </w:p>
    <w:p w:rsidR="00AE46FC" w:rsidRDefault="00AE46FC" w:rsidP="00AE46FC">
      <w:pPr>
        <w:rPr>
          <w:b/>
          <w:bCs/>
        </w:rPr>
      </w:pPr>
      <w:r>
        <w:rPr>
          <w:b/>
          <w:bCs/>
        </w:rPr>
        <w:t>Proposals for amendments to annexes A and B of ADR:</w:t>
      </w:r>
    </w:p>
    <w:p w:rsidR="00AE46FC" w:rsidRDefault="00AE46FC" w:rsidP="00AE46FC">
      <w:pPr>
        <w:rPr>
          <w:b/>
          <w:bCs/>
        </w:rPr>
      </w:pPr>
      <w:r>
        <w:rPr>
          <w:b/>
          <w:bCs/>
          <w:szCs w:val="24"/>
        </w:rPr>
        <w:t>miscellaneous proposals</w:t>
      </w:r>
    </w:p>
    <w:p w:rsidR="00AE46FC" w:rsidRDefault="00AE46FC" w:rsidP="00CA2AFF">
      <w:pPr>
        <w:pStyle w:val="HChG"/>
        <w:keepNext w:val="0"/>
        <w:keepLines w:val="0"/>
        <w:rPr>
          <w:sz w:val="20"/>
        </w:rPr>
      </w:pPr>
      <w:r>
        <w:tab/>
      </w:r>
      <w:r>
        <w:tab/>
      </w:r>
      <w:r w:rsidR="007450AF">
        <w:t xml:space="preserve">Temperature controlled transport </w:t>
      </w:r>
    </w:p>
    <w:p w:rsidR="00AE46FC" w:rsidRDefault="00AE46FC" w:rsidP="00AE46FC">
      <w:pPr>
        <w:pStyle w:val="H1G"/>
        <w:keepNext w:val="0"/>
        <w:keepLines w:val="0"/>
      </w:pPr>
      <w:r>
        <w:rPr>
          <w:b w:val="0"/>
          <w:sz w:val="20"/>
        </w:rPr>
        <w:tab/>
      </w:r>
      <w:r>
        <w:rPr>
          <w:b w:val="0"/>
          <w:sz w:val="20"/>
        </w:rPr>
        <w:tab/>
      </w:r>
      <w:r>
        <w:t>Transmitted by</w:t>
      </w:r>
      <w:r w:rsidR="00CA2AFF">
        <w:t xml:space="preserve"> the Government of the Netherlands and the </w:t>
      </w:r>
      <w:r>
        <w:t>European Chemical Industry Council (CEFIC)</w:t>
      </w:r>
      <w:r>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7450AF" w:rsidRPr="00B573A9" w:rsidTr="000E1872">
        <w:trPr>
          <w:jc w:val="center"/>
        </w:trPr>
        <w:tc>
          <w:tcPr>
            <w:tcW w:w="9629" w:type="dxa"/>
            <w:tcBorders>
              <w:bottom w:val="nil"/>
            </w:tcBorders>
            <w:shd w:val="clear" w:color="auto" w:fill="auto"/>
          </w:tcPr>
          <w:p w:rsidR="007450AF" w:rsidRPr="00B573A9" w:rsidRDefault="007450AF" w:rsidP="000E1872">
            <w:pPr>
              <w:tabs>
                <w:tab w:val="left" w:pos="255"/>
              </w:tabs>
              <w:suppressAutoHyphens w:val="0"/>
              <w:spacing w:before="240" w:after="120"/>
              <w:rPr>
                <w:sz w:val="24"/>
              </w:rPr>
            </w:pPr>
            <w:r>
              <w:rPr>
                <w:b/>
                <w:sz w:val="24"/>
              </w:rPr>
              <w:br w:type="page"/>
            </w:r>
            <w:r w:rsidRPr="00B573A9">
              <w:tab/>
            </w:r>
            <w:r w:rsidRPr="00B573A9">
              <w:rPr>
                <w:i/>
                <w:sz w:val="24"/>
              </w:rPr>
              <w:t>Summary</w:t>
            </w:r>
          </w:p>
        </w:tc>
      </w:tr>
      <w:tr w:rsidR="007450AF" w:rsidRPr="00B573A9" w:rsidTr="000E1872">
        <w:trPr>
          <w:jc w:val="center"/>
        </w:trPr>
        <w:tc>
          <w:tcPr>
            <w:tcW w:w="9629" w:type="dxa"/>
            <w:tcBorders>
              <w:top w:val="nil"/>
              <w:bottom w:val="nil"/>
            </w:tcBorders>
            <w:shd w:val="clear" w:color="auto" w:fill="auto"/>
          </w:tcPr>
          <w:p w:rsidR="007450AF" w:rsidRDefault="007450AF" w:rsidP="007B609E">
            <w:pPr>
              <w:ind w:left="3402" w:right="1134" w:hanging="2268"/>
              <w:jc w:val="both"/>
            </w:pPr>
            <w:r w:rsidRPr="0007191F">
              <w:rPr>
                <w:b/>
                <w:szCs w:val="22"/>
              </w:rPr>
              <w:t>Executive summary</w:t>
            </w:r>
            <w:r w:rsidRPr="00CA2AFF">
              <w:rPr>
                <w:b/>
                <w:bCs/>
                <w:szCs w:val="22"/>
              </w:rPr>
              <w:t>:</w:t>
            </w:r>
            <w:r w:rsidRPr="0007191F">
              <w:tab/>
            </w:r>
            <w:r>
              <w:t>Temperature check of substances transported in temperature controlled refrigerated containers and reference to section</w:t>
            </w:r>
            <w:r w:rsidR="007B609E">
              <w:br/>
            </w:r>
            <w:r>
              <w:t>9.6.1 (c)</w:t>
            </w:r>
            <w:r w:rsidR="00CA2AFF">
              <w:t>;</w:t>
            </w:r>
          </w:p>
          <w:p w:rsidR="007450AF" w:rsidRPr="0007191F" w:rsidRDefault="007450AF" w:rsidP="007B609E">
            <w:pPr>
              <w:spacing w:after="120"/>
              <w:ind w:left="3402" w:right="1133" w:hanging="2268"/>
              <w:jc w:val="both"/>
            </w:pPr>
            <w:r>
              <w:tab/>
              <w:t>Clarification of the interpretation of thermal insulation in 7.1.7.4.5 of ADR 2019</w:t>
            </w:r>
            <w:r w:rsidR="00CA2AFF">
              <w:t>.</w:t>
            </w:r>
          </w:p>
        </w:tc>
      </w:tr>
      <w:tr w:rsidR="007450AF" w:rsidRPr="00B573A9" w:rsidTr="000E1872">
        <w:trPr>
          <w:jc w:val="center"/>
        </w:trPr>
        <w:tc>
          <w:tcPr>
            <w:tcW w:w="9629" w:type="dxa"/>
            <w:tcBorders>
              <w:top w:val="nil"/>
              <w:bottom w:val="nil"/>
            </w:tcBorders>
            <w:shd w:val="clear" w:color="auto" w:fill="auto"/>
          </w:tcPr>
          <w:p w:rsidR="007B609E" w:rsidRDefault="007450AF" w:rsidP="007B609E">
            <w:pPr>
              <w:snapToGrid w:val="0"/>
            </w:pPr>
            <w:r w:rsidRPr="0007191F">
              <w:rPr>
                <w:b/>
              </w:rPr>
              <w:tab/>
            </w:r>
            <w:r w:rsidRPr="0007191F">
              <w:rPr>
                <w:b/>
              </w:rPr>
              <w:tab/>
              <w:t xml:space="preserve">Action to be </w:t>
            </w:r>
            <w:r w:rsidRPr="00E221C6">
              <w:rPr>
                <w:b/>
              </w:rPr>
              <w:t>taken:</w:t>
            </w:r>
            <w:r w:rsidRPr="00E221C6">
              <w:rPr>
                <w:b/>
              </w:rPr>
              <w:tab/>
              <w:t xml:space="preserve">           </w:t>
            </w:r>
            <w:r w:rsidRPr="00DC154B">
              <w:t>Consider proposals 1 and 2. When proposal 2 is adopted</w:t>
            </w:r>
            <w:r>
              <w:t>:</w:t>
            </w:r>
          </w:p>
          <w:p w:rsidR="00DB6762" w:rsidRDefault="007B609E" w:rsidP="007B609E">
            <w:pPr>
              <w:spacing w:after="120"/>
            </w:pPr>
            <w:r>
              <w:tab/>
            </w:r>
            <w:r>
              <w:tab/>
            </w:r>
            <w:r>
              <w:tab/>
            </w:r>
            <w:r>
              <w:tab/>
            </w:r>
            <w:r>
              <w:tab/>
            </w:r>
            <w:r>
              <w:tab/>
            </w:r>
            <w:r w:rsidR="007450AF" w:rsidRPr="00DC154B">
              <w:t>Sub</w:t>
            </w:r>
            <w:r w:rsidR="007450AF">
              <w:t>-C</w:t>
            </w:r>
            <w:r w:rsidR="007450AF" w:rsidRPr="00DC154B">
              <w:t>ommittee of Experts on the Transport of Dangerous Goods</w:t>
            </w:r>
            <w:r>
              <w:t xml:space="preserve"> </w:t>
            </w:r>
            <w:r>
              <w:br/>
            </w:r>
            <w:r>
              <w:tab/>
            </w:r>
            <w:r>
              <w:tab/>
            </w:r>
            <w:r>
              <w:tab/>
            </w:r>
            <w:r>
              <w:tab/>
            </w:r>
            <w:r>
              <w:tab/>
            </w:r>
            <w:r>
              <w:tab/>
            </w:r>
            <w:r w:rsidR="007450AF" w:rsidRPr="00DC154B">
              <w:t>to be informed</w:t>
            </w:r>
            <w:r w:rsidR="00CA2AFF">
              <w:t>.</w:t>
            </w:r>
          </w:p>
          <w:p w:rsidR="007450AF" w:rsidRDefault="007450AF" w:rsidP="000E1872">
            <w:pPr>
              <w:rPr>
                <w:rFonts w:eastAsia="Arial"/>
              </w:rPr>
            </w:pPr>
            <w:r w:rsidRPr="0007191F">
              <w:tab/>
            </w:r>
            <w:r w:rsidRPr="0007191F">
              <w:tab/>
            </w:r>
            <w:r w:rsidRPr="00DB3231">
              <w:rPr>
                <w:b/>
              </w:rPr>
              <w:t>Related documents:</w:t>
            </w:r>
            <w:r>
              <w:rPr>
                <w:b/>
              </w:rPr>
              <w:tab/>
            </w:r>
            <w:r>
              <w:rPr>
                <w:b/>
              </w:rPr>
              <w:tab/>
            </w:r>
            <w:r>
              <w:rPr>
                <w:rFonts w:eastAsia="Arial"/>
              </w:rPr>
              <w:t>ECE/TRANS/WP.15/246 (report from the 106</w:t>
            </w:r>
            <w:r w:rsidRPr="00670FD9">
              <w:rPr>
                <w:rFonts w:eastAsia="Arial"/>
              </w:rPr>
              <w:t>th</w:t>
            </w:r>
            <w:r>
              <w:rPr>
                <w:rFonts w:eastAsia="Arial"/>
              </w:rPr>
              <w:t xml:space="preserve"> session), </w:t>
            </w:r>
            <w:r w:rsidR="00CA2AFF">
              <w:rPr>
                <w:rFonts w:eastAsia="Arial"/>
              </w:rPr>
              <w:br/>
            </w:r>
            <w:r w:rsidR="00CA2AFF">
              <w:rPr>
                <w:rFonts w:eastAsia="Arial"/>
              </w:rPr>
              <w:tab/>
            </w:r>
            <w:r w:rsidR="00CA2AFF">
              <w:rPr>
                <w:rFonts w:eastAsia="Arial"/>
              </w:rPr>
              <w:tab/>
            </w:r>
            <w:r w:rsidR="00CA2AFF">
              <w:rPr>
                <w:rFonts w:eastAsia="Arial"/>
              </w:rPr>
              <w:tab/>
            </w:r>
            <w:r w:rsidR="00CA2AFF">
              <w:rPr>
                <w:rFonts w:eastAsia="Arial"/>
              </w:rPr>
              <w:tab/>
            </w:r>
            <w:r w:rsidR="00CA2AFF">
              <w:rPr>
                <w:rFonts w:eastAsia="Arial"/>
              </w:rPr>
              <w:tab/>
            </w:r>
            <w:r w:rsidR="00CA2AFF">
              <w:rPr>
                <w:rFonts w:eastAsia="Arial"/>
              </w:rPr>
              <w:tab/>
            </w:r>
            <w:r>
              <w:rPr>
                <w:rFonts w:eastAsia="Arial"/>
              </w:rPr>
              <w:t>para</w:t>
            </w:r>
            <w:r w:rsidR="00CA2AFF">
              <w:rPr>
                <w:rFonts w:eastAsia="Arial"/>
              </w:rPr>
              <w:t>graphs</w:t>
            </w:r>
            <w:r>
              <w:rPr>
                <w:rFonts w:eastAsia="Arial"/>
              </w:rPr>
              <w:t xml:space="preserve"> 21-22</w:t>
            </w:r>
            <w:r w:rsidR="00CA2AFF">
              <w:rPr>
                <w:rFonts w:eastAsia="Arial"/>
              </w:rPr>
              <w:t>;</w:t>
            </w:r>
            <w:r>
              <w:rPr>
                <w:rFonts w:eastAsia="Arial"/>
              </w:rPr>
              <w:t xml:space="preserve"> </w:t>
            </w:r>
          </w:p>
          <w:p w:rsidR="007450AF" w:rsidRPr="0007191F" w:rsidRDefault="007450AF" w:rsidP="000E1872">
            <w:pPr>
              <w:suppressAutoHyphens w:val="0"/>
              <w:ind w:left="-5" w:firstLine="5"/>
            </w:pPr>
            <w:r>
              <w:rPr>
                <w:rFonts w:eastAsia="Arial"/>
              </w:rPr>
              <w:tab/>
            </w:r>
            <w:r>
              <w:rPr>
                <w:rFonts w:eastAsia="Arial"/>
              </w:rPr>
              <w:tab/>
            </w:r>
            <w:r>
              <w:rPr>
                <w:rFonts w:eastAsia="Arial"/>
              </w:rPr>
              <w:tab/>
            </w:r>
            <w:r>
              <w:rPr>
                <w:rFonts w:eastAsia="Arial"/>
              </w:rPr>
              <w:tab/>
            </w:r>
            <w:r>
              <w:rPr>
                <w:rFonts w:eastAsia="Arial"/>
              </w:rPr>
              <w:tab/>
            </w:r>
            <w:r>
              <w:rPr>
                <w:rFonts w:eastAsia="Arial"/>
              </w:rPr>
              <w:tab/>
              <w:t>ECE/TRANS/WP.15/2019/1</w:t>
            </w:r>
            <w:r w:rsidR="00CA2AFF">
              <w:rPr>
                <w:rFonts w:eastAsia="Arial"/>
              </w:rPr>
              <w:t>;</w:t>
            </w:r>
            <w:r>
              <w:rPr>
                <w:rFonts w:eastAsia="Arial"/>
              </w:rPr>
              <w:br/>
            </w:r>
            <w:r>
              <w:tab/>
            </w:r>
            <w:r>
              <w:tab/>
            </w:r>
            <w:r>
              <w:tab/>
            </w:r>
            <w:r>
              <w:tab/>
            </w:r>
            <w:r>
              <w:tab/>
            </w:r>
            <w:r>
              <w:tab/>
            </w:r>
            <w:r>
              <w:tab/>
              <w:t>Informal document INF.3 from the 106</w:t>
            </w:r>
            <w:r w:rsidRPr="00670FD9">
              <w:t>th</w:t>
            </w:r>
            <w:r>
              <w:t xml:space="preserve"> session.</w:t>
            </w:r>
          </w:p>
        </w:tc>
      </w:tr>
      <w:tr w:rsidR="007450AF" w:rsidRPr="00B573A9" w:rsidTr="000E1872">
        <w:trPr>
          <w:trHeight w:val="63"/>
          <w:jc w:val="center"/>
        </w:trPr>
        <w:tc>
          <w:tcPr>
            <w:tcW w:w="9629" w:type="dxa"/>
            <w:tcBorders>
              <w:top w:val="nil"/>
            </w:tcBorders>
            <w:shd w:val="clear" w:color="auto" w:fill="auto"/>
          </w:tcPr>
          <w:p w:rsidR="007450AF" w:rsidRDefault="007450AF" w:rsidP="000E1872">
            <w:pPr>
              <w:suppressAutoHyphens w:val="0"/>
              <w:rPr>
                <w:b/>
              </w:rPr>
            </w:pPr>
          </w:p>
        </w:tc>
      </w:tr>
    </w:tbl>
    <w:p w:rsidR="007450AF" w:rsidRDefault="007450AF" w:rsidP="007450AF">
      <w:pPr>
        <w:pStyle w:val="HChG"/>
      </w:pPr>
      <w:r>
        <w:tab/>
      </w:r>
      <w:r>
        <w:tab/>
      </w:r>
      <w:r w:rsidRPr="001B08A2">
        <w:t>Introduction</w:t>
      </w:r>
    </w:p>
    <w:p w:rsidR="00670FD9" w:rsidRDefault="007450AF" w:rsidP="007450AF">
      <w:pPr>
        <w:pStyle w:val="SingleTxtG"/>
        <w:rPr>
          <w:rStyle w:val="SingleTxtGChar"/>
        </w:rPr>
      </w:pPr>
      <w:r>
        <w:rPr>
          <w:rStyle w:val="SingleTxtGChar"/>
        </w:rPr>
        <w:t>1.</w:t>
      </w:r>
      <w:r>
        <w:rPr>
          <w:rStyle w:val="SingleTxtGChar"/>
        </w:rPr>
        <w:tab/>
        <w:t>D</w:t>
      </w:r>
      <w:r w:rsidRPr="008B7CAF">
        <w:rPr>
          <w:rStyle w:val="SingleTxtGChar"/>
        </w:rPr>
        <w:t xml:space="preserve">uring </w:t>
      </w:r>
      <w:r>
        <w:rPr>
          <w:rStyle w:val="SingleTxtGChar"/>
        </w:rPr>
        <w:t>the 106</w:t>
      </w:r>
      <w:r w:rsidRPr="00670FD9">
        <w:rPr>
          <w:rStyle w:val="SingleTxtGChar"/>
        </w:rPr>
        <w:t>th</w:t>
      </w:r>
      <w:r w:rsidRPr="00362F39">
        <w:rPr>
          <w:rStyle w:val="SingleTxtGChar"/>
          <w:vertAlign w:val="superscript"/>
        </w:rPr>
        <w:t xml:space="preserve"> </w:t>
      </w:r>
      <w:r>
        <w:rPr>
          <w:rStyle w:val="SingleTxtGChar"/>
        </w:rPr>
        <w:t>session of the Working Party on the Transport of Dangerous Goods</w:t>
      </w:r>
      <w:r w:rsidRPr="008B7CAF">
        <w:rPr>
          <w:rStyle w:val="SingleTxtGChar"/>
        </w:rPr>
        <w:t xml:space="preserve">, </w:t>
      </w:r>
      <w:r w:rsidR="00CA2AFF">
        <w:rPr>
          <w:rStyle w:val="SingleTxtGChar"/>
        </w:rPr>
        <w:t>t</w:t>
      </w:r>
      <w:r>
        <w:rPr>
          <w:rStyle w:val="SingleTxtGChar"/>
        </w:rPr>
        <w:t xml:space="preserve">he Netherlands and CEFIC have raised two items regarding </w:t>
      </w:r>
      <w:proofErr w:type="gramStart"/>
      <w:r>
        <w:rPr>
          <w:rStyle w:val="SingleTxtGChar"/>
        </w:rPr>
        <w:t>temperature controlled</w:t>
      </w:r>
      <w:proofErr w:type="gramEnd"/>
      <w:r>
        <w:rPr>
          <w:rStyle w:val="SingleTxtGChar"/>
        </w:rPr>
        <w:t xml:space="preserve"> transport: </w:t>
      </w:r>
    </w:p>
    <w:p w:rsidR="00CA2AFF" w:rsidRDefault="00CA2AFF" w:rsidP="007450AF">
      <w:pPr>
        <w:pStyle w:val="SingleTxtG"/>
        <w:rPr>
          <w:rFonts w:eastAsia="Arial"/>
        </w:rPr>
      </w:pPr>
      <w:r>
        <w:rPr>
          <w:rStyle w:val="SingleTxtGChar"/>
        </w:rPr>
        <w:tab/>
      </w:r>
      <w:r>
        <w:rPr>
          <w:rStyle w:val="SingleTxtGChar"/>
        </w:rPr>
        <w:tab/>
        <w:t>(</w:t>
      </w:r>
      <w:r w:rsidR="007450AF">
        <w:rPr>
          <w:rStyle w:val="SingleTxtGChar"/>
        </w:rPr>
        <w:t>a)</w:t>
      </w:r>
      <w:r>
        <w:rPr>
          <w:rStyle w:val="SingleTxtGChar"/>
        </w:rPr>
        <w:tab/>
      </w:r>
      <w:r w:rsidR="007450AF">
        <w:t>transport in refrigerated containers and monitoring in the driver’s cab as indicated in section 9.6.1 (c) (</w:t>
      </w:r>
      <w:r w:rsidR="007450AF">
        <w:rPr>
          <w:rFonts w:eastAsia="Arial"/>
        </w:rPr>
        <w:t>ECE/TRANS/WP.15/2019/1)</w:t>
      </w:r>
      <w:r>
        <w:rPr>
          <w:rFonts w:eastAsia="Arial"/>
        </w:rPr>
        <w:t>;</w:t>
      </w:r>
      <w:r w:rsidR="007B609E">
        <w:rPr>
          <w:rFonts w:eastAsia="Arial"/>
        </w:rPr>
        <w:t xml:space="preserve"> and</w:t>
      </w:r>
    </w:p>
    <w:p w:rsidR="007450AF" w:rsidRDefault="00CA2AFF" w:rsidP="007450AF">
      <w:pPr>
        <w:pStyle w:val="SingleTxtG"/>
      </w:pPr>
      <w:r>
        <w:rPr>
          <w:rFonts w:eastAsia="Arial"/>
        </w:rPr>
        <w:tab/>
      </w:r>
      <w:r>
        <w:rPr>
          <w:rFonts w:eastAsia="Arial"/>
        </w:rPr>
        <w:tab/>
        <w:t>(</w:t>
      </w:r>
      <w:r w:rsidR="007450AF">
        <w:t>b)</w:t>
      </w:r>
      <w:r>
        <w:tab/>
      </w:r>
      <w:r w:rsidR="007450AF">
        <w:t>interpretation of thermal insulation in subsection 7.1.7.4.5 (</w:t>
      </w:r>
      <w:r w:rsidR="007C3F34">
        <w:t xml:space="preserve">informal document </w:t>
      </w:r>
      <w:r w:rsidR="007450AF">
        <w:t>INF.3 from the 106</w:t>
      </w:r>
      <w:r w:rsidR="007450AF" w:rsidRPr="00670FD9">
        <w:t>th</w:t>
      </w:r>
      <w:r w:rsidR="007450AF">
        <w:t xml:space="preserve"> session</w:t>
      </w:r>
      <w:r w:rsidR="00CF418D">
        <w:t>)</w:t>
      </w:r>
      <w:r w:rsidR="007450AF">
        <w:t>.</w:t>
      </w:r>
    </w:p>
    <w:p w:rsidR="007450AF" w:rsidRDefault="007450AF" w:rsidP="007450AF">
      <w:pPr>
        <w:pStyle w:val="SingleTxtG"/>
      </w:pPr>
      <w:r>
        <w:lastRenderedPageBreak/>
        <w:t>2.</w:t>
      </w:r>
      <w:r>
        <w:tab/>
        <w:t xml:space="preserve">As indicated in the report of the </w:t>
      </w:r>
      <w:r>
        <w:rPr>
          <w:rStyle w:val="SingleTxtGChar"/>
        </w:rPr>
        <w:t>106</w:t>
      </w:r>
      <w:r w:rsidRPr="00670FD9">
        <w:rPr>
          <w:rStyle w:val="SingleTxtGChar"/>
        </w:rPr>
        <w:t>th</w:t>
      </w:r>
      <w:r w:rsidRPr="00362F39">
        <w:rPr>
          <w:rStyle w:val="SingleTxtGChar"/>
          <w:vertAlign w:val="superscript"/>
        </w:rPr>
        <w:t xml:space="preserve"> </w:t>
      </w:r>
      <w:r>
        <w:rPr>
          <w:rStyle w:val="SingleTxtGChar"/>
        </w:rPr>
        <w:t>session</w:t>
      </w:r>
      <w:r w:rsidR="00CF418D">
        <w:rPr>
          <w:rStyle w:val="SingleTxtGChar"/>
        </w:rPr>
        <w:t>,</w:t>
      </w:r>
      <w:r>
        <w:rPr>
          <w:rStyle w:val="SingleTxtGChar"/>
        </w:rPr>
        <w:t xml:space="preserve"> </w:t>
      </w:r>
      <w:r>
        <w:t>the discussion on the document (</w:t>
      </w:r>
      <w:r>
        <w:rPr>
          <w:rFonts w:eastAsia="Arial"/>
        </w:rPr>
        <w:t xml:space="preserve">ECE/TRANS/WP.15/2019/1) </w:t>
      </w:r>
      <w:r>
        <w:t>submitted by CEFIC raised the issue of the scope of Chapter 9.6. That chapter, as drafted, applies only to complete or completed insulated, refrigerated or mechanically-refrigerated vehicles, whereas subsection 7.1.7.4.7 appears to state that the provisions of Chapter 9.6 also apply to refrigerated containers.</w:t>
      </w:r>
    </w:p>
    <w:p w:rsidR="007450AF" w:rsidRDefault="007450AF" w:rsidP="007450AF">
      <w:pPr>
        <w:pStyle w:val="SingleTxtG"/>
      </w:pPr>
      <w:r>
        <w:t>3.</w:t>
      </w:r>
      <w:r>
        <w:tab/>
        <w:t>Further, given the fact that section 7.1.7 would also have to be amended to take account of the Working Party’s interpretation of the issue raised in informal document INF.3 (the Netherlands) the representative of CEFIC and the representative of the Netherlands hereby submit a revised proposal aim</w:t>
      </w:r>
      <w:r w:rsidR="0076453A">
        <w:t>ing</w:t>
      </w:r>
      <w:r>
        <w:t xml:space="preserve"> at clarifying section 7.1.7. </w:t>
      </w:r>
    </w:p>
    <w:p w:rsidR="007450AF" w:rsidRDefault="007450AF" w:rsidP="007450AF">
      <w:pPr>
        <w:pStyle w:val="HChG"/>
        <w:rPr>
          <w:rStyle w:val="SingleTxtGChar"/>
        </w:rPr>
      </w:pPr>
      <w:r>
        <w:tab/>
      </w:r>
      <w:r>
        <w:tab/>
      </w:r>
      <w:r>
        <w:rPr>
          <w:rStyle w:val="SingleTxtGChar"/>
        </w:rPr>
        <w:t>T</w:t>
      </w:r>
      <w:r>
        <w:t>ransport in refrigerated containers and temperature monitoring</w:t>
      </w:r>
    </w:p>
    <w:p w:rsidR="007450AF" w:rsidRDefault="007450AF" w:rsidP="007450AF">
      <w:pPr>
        <w:pStyle w:val="SingleTxtG"/>
      </w:pPr>
      <w:r>
        <w:rPr>
          <w:rStyle w:val="SingleTxtGChar"/>
        </w:rPr>
        <w:t>4.</w:t>
      </w:r>
      <w:r>
        <w:rPr>
          <w:rStyle w:val="SingleTxtGChar"/>
        </w:rPr>
        <w:tab/>
        <w:t xml:space="preserve">As explained in document </w:t>
      </w:r>
      <w:r>
        <w:rPr>
          <w:rFonts w:eastAsia="Arial"/>
        </w:rPr>
        <w:t xml:space="preserve">ECE/TRANS/WP.15/2019/1, temperature monitoring in the diver’s cab of temperature controlled (stand-alone) refrigerated containers is not possible. However, in subsection </w:t>
      </w:r>
      <w:r>
        <w:t xml:space="preserve">7.1.7.4.7 a reference is made to Chapter 9.6, which includes the requirement of temperature indication to be available in the driver’s cab in section 9.6.1 (c) which is only applicable for completed vehicles intended for the carriage of </w:t>
      </w:r>
      <w:proofErr w:type="gramStart"/>
      <w:r>
        <w:t>temperature controlled</w:t>
      </w:r>
      <w:proofErr w:type="gramEnd"/>
      <w:r>
        <w:t xml:space="preserve"> substances and </w:t>
      </w:r>
      <w:r w:rsidRPr="004D47FF">
        <w:rPr>
          <w:u w:val="single"/>
        </w:rPr>
        <w:t>not</w:t>
      </w:r>
      <w:r>
        <w:t xml:space="preserve"> for refrigerated containers.</w:t>
      </w:r>
    </w:p>
    <w:p w:rsidR="007450AF" w:rsidRDefault="007450AF" w:rsidP="007450AF">
      <w:pPr>
        <w:pStyle w:val="SingleTxtG"/>
      </w:pPr>
      <w:r>
        <w:t>5.</w:t>
      </w:r>
      <w:r>
        <w:tab/>
        <w:t>To make sure that the relevant parts of Chapter 9.6 are also applicable</w:t>
      </w:r>
      <w:r w:rsidR="0076453A">
        <w:t xml:space="preserve"> to refrigerated containers</w:t>
      </w:r>
      <w:r>
        <w:t xml:space="preserve">, it is proposed to add to subsection 7.1.7.4.7 a specific reference to Chapter </w:t>
      </w:r>
      <w:r w:rsidRPr="004035BD">
        <w:t>9.6</w:t>
      </w:r>
      <w:r>
        <w:t xml:space="preserve"> for refrigerated containers. </w:t>
      </w:r>
      <w:r w:rsidRPr="00712683">
        <w:rPr>
          <w:rFonts w:eastAsia="Arial"/>
        </w:rPr>
        <w:t>See</w:t>
      </w:r>
      <w:r>
        <w:rPr>
          <w:rFonts w:eastAsia="Arial"/>
        </w:rPr>
        <w:t xml:space="preserve"> Proposal 1. The requirements regarding r</w:t>
      </w:r>
      <w:r>
        <w:t>egular temperature checks are already described in subsection 7.1.7.4.2.</w:t>
      </w:r>
    </w:p>
    <w:p w:rsidR="007450AF" w:rsidRDefault="007450AF" w:rsidP="007450AF">
      <w:pPr>
        <w:pStyle w:val="H1G"/>
        <w:ind w:firstLine="0"/>
        <w:rPr>
          <w:rStyle w:val="SingleTxtGChar"/>
          <w:sz w:val="28"/>
          <w:szCs w:val="28"/>
        </w:rPr>
      </w:pPr>
      <w:r>
        <w:rPr>
          <w:rStyle w:val="SingleTxtGChar"/>
        </w:rPr>
        <w:tab/>
      </w:r>
      <w:r w:rsidRPr="00E01AB5">
        <w:rPr>
          <w:rStyle w:val="SingleTxtGChar"/>
          <w:sz w:val="28"/>
          <w:szCs w:val="28"/>
        </w:rPr>
        <w:t>Interpretation of</w:t>
      </w:r>
      <w:r>
        <w:rPr>
          <w:rStyle w:val="SingleTxtGChar"/>
          <w:sz w:val="28"/>
          <w:szCs w:val="28"/>
        </w:rPr>
        <w:t xml:space="preserve"> the requirements for thermal insulation in subsection 7.1.7.4.5</w:t>
      </w:r>
      <w:r w:rsidRPr="00E01AB5">
        <w:rPr>
          <w:rStyle w:val="SingleTxtGChar"/>
          <w:sz w:val="28"/>
          <w:szCs w:val="28"/>
        </w:rPr>
        <w:t xml:space="preserve"> </w:t>
      </w:r>
      <w:r>
        <w:rPr>
          <w:rStyle w:val="SingleTxtGChar"/>
          <w:sz w:val="28"/>
          <w:szCs w:val="28"/>
        </w:rPr>
        <w:t>of ADR</w:t>
      </w:r>
    </w:p>
    <w:p w:rsidR="007450AF" w:rsidRDefault="007450AF" w:rsidP="007C3F34">
      <w:pPr>
        <w:pStyle w:val="SingleTxtG"/>
        <w:rPr>
          <w:rStyle w:val="SingleTxtGChar"/>
        </w:rPr>
      </w:pPr>
      <w:r>
        <w:rPr>
          <w:rStyle w:val="SingleTxtGChar"/>
        </w:rPr>
        <w:t>6.</w:t>
      </w:r>
      <w:r>
        <w:rPr>
          <w:rStyle w:val="SingleTxtGChar"/>
        </w:rPr>
        <w:tab/>
        <w:t xml:space="preserve">In </w:t>
      </w:r>
      <w:r w:rsidR="007C3F34">
        <w:rPr>
          <w:rStyle w:val="SingleTxtGChar"/>
        </w:rPr>
        <w:t xml:space="preserve">informal document </w:t>
      </w:r>
      <w:r>
        <w:t>INF.3 from the 106</w:t>
      </w:r>
      <w:r w:rsidRPr="00670FD9">
        <w:t>th</w:t>
      </w:r>
      <w:r>
        <w:t xml:space="preserve"> session the interpretation of the requirements of thermal insulation in subsection </w:t>
      </w:r>
      <w:r w:rsidRPr="005F7448">
        <w:t>7.1.</w:t>
      </w:r>
      <w:r>
        <w:t>7</w:t>
      </w:r>
      <w:r w:rsidRPr="005F7448">
        <w:t>.4.5</w:t>
      </w:r>
      <w:r>
        <w:t xml:space="preserve"> </w:t>
      </w:r>
      <w:r w:rsidR="0076453A">
        <w:t xml:space="preserve">were </w:t>
      </w:r>
      <w:r>
        <w:t>explained. It was indicated that thermal insulation of transport units (and not</w:t>
      </w:r>
      <w:r w:rsidR="0076453A">
        <w:t xml:space="preserve"> of packages)</w:t>
      </w:r>
      <w:r>
        <w:t xml:space="preserve"> is relevant for </w:t>
      </w:r>
      <w:r>
        <w:rPr>
          <w:rStyle w:val="SingleTxtGChar"/>
        </w:rPr>
        <w:t xml:space="preserve">methods in subsection </w:t>
      </w:r>
      <w:r w:rsidRPr="001F57E6">
        <w:rPr>
          <w:rStyle w:val="SingleTxtGChar"/>
        </w:rPr>
        <w:t>7.1.</w:t>
      </w:r>
      <w:r>
        <w:rPr>
          <w:rStyle w:val="SingleTxtGChar"/>
        </w:rPr>
        <w:t>7</w:t>
      </w:r>
      <w:r w:rsidRPr="001F57E6">
        <w:rPr>
          <w:rStyle w:val="SingleTxtGChar"/>
        </w:rPr>
        <w:t>.4.5</w:t>
      </w:r>
      <w:r>
        <w:rPr>
          <w:rStyle w:val="SingleTxtGChar"/>
        </w:rPr>
        <w:t xml:space="preserve"> (c), (d) and (e). The Working Party confirmed this conclusion </w:t>
      </w:r>
      <w:r w:rsidR="0076453A">
        <w:rPr>
          <w:rStyle w:val="SingleTxtGChar"/>
        </w:rPr>
        <w:t>(see ECE/TRANS/WP.15/246, paragraph 49).</w:t>
      </w:r>
    </w:p>
    <w:p w:rsidR="007450AF" w:rsidRDefault="007450AF" w:rsidP="007C3F34">
      <w:pPr>
        <w:pStyle w:val="SingleTxtG"/>
        <w:tabs>
          <w:tab w:val="left" w:pos="1701"/>
        </w:tabs>
        <w:rPr>
          <w:rStyle w:val="SingleTxtGChar"/>
        </w:rPr>
      </w:pPr>
      <w:r>
        <w:t>7.</w:t>
      </w:r>
      <w:r>
        <w:tab/>
        <w:t xml:space="preserve">Reference was made to the decision </w:t>
      </w:r>
      <w:r>
        <w:rPr>
          <w:rStyle w:val="SingleTxtGChar"/>
        </w:rPr>
        <w:t xml:space="preserve">in the </w:t>
      </w:r>
      <w:r w:rsidR="0076453A">
        <w:rPr>
          <w:rStyle w:val="SingleTxtGChar"/>
        </w:rPr>
        <w:t>fifty-third</w:t>
      </w:r>
      <w:r>
        <w:rPr>
          <w:rStyle w:val="SingleTxtGChar"/>
        </w:rPr>
        <w:t xml:space="preserve"> session </w:t>
      </w:r>
      <w:r w:rsidR="00CF418D">
        <w:rPr>
          <w:rStyle w:val="SingleTxtGChar"/>
        </w:rPr>
        <w:t>(</w:t>
      </w:r>
      <w:r>
        <w:rPr>
          <w:rStyle w:val="SingleTxtGChar"/>
        </w:rPr>
        <w:t>June 2018</w:t>
      </w:r>
      <w:r w:rsidR="00CF418D">
        <w:rPr>
          <w:rStyle w:val="SingleTxtGChar"/>
        </w:rPr>
        <w:t>)</w:t>
      </w:r>
      <w:r>
        <w:rPr>
          <w:rStyle w:val="SingleTxtGChar"/>
        </w:rPr>
        <w:t xml:space="preserve"> of </w:t>
      </w:r>
      <w:r w:rsidR="00CF418D">
        <w:rPr>
          <w:rStyle w:val="SingleTxtGChar"/>
        </w:rPr>
        <w:t xml:space="preserve">the </w:t>
      </w:r>
      <w:r>
        <w:rPr>
          <w:rStyle w:val="SingleTxtGChar"/>
        </w:rPr>
        <w:t xml:space="preserve">Sub-Committee of Experts on the Transport of Dangerous Goods. The decision was to adopt the requirement of “thermal insulation” between square brackets for methods in subsection </w:t>
      </w:r>
      <w:r w:rsidRPr="001F57E6">
        <w:rPr>
          <w:rStyle w:val="SingleTxtGChar"/>
        </w:rPr>
        <w:t>7.1.5.4.5 (c), (d) and (e)</w:t>
      </w:r>
      <w:r w:rsidRPr="00520B8B">
        <w:rPr>
          <w:rStyle w:val="SingleTxtGChar"/>
        </w:rPr>
        <w:t xml:space="preserve"> in the Model Regulations,</w:t>
      </w:r>
      <w:r>
        <w:rPr>
          <w:rStyle w:val="SingleTxtGChar"/>
        </w:rPr>
        <w:t xml:space="preserve"> pending further discussion in a next session. However, in the </w:t>
      </w:r>
      <w:r w:rsidR="0076453A">
        <w:rPr>
          <w:rStyle w:val="SingleTxtGChar"/>
        </w:rPr>
        <w:t>report of</w:t>
      </w:r>
      <w:r>
        <w:rPr>
          <w:rStyle w:val="SingleTxtGChar"/>
        </w:rPr>
        <w:t xml:space="preserve"> the </w:t>
      </w:r>
      <w:r w:rsidR="0076453A">
        <w:rPr>
          <w:rStyle w:val="SingleTxtGChar"/>
        </w:rPr>
        <w:t>fifty-fourth</w:t>
      </w:r>
      <w:r>
        <w:rPr>
          <w:rStyle w:val="SingleTxtGChar"/>
        </w:rPr>
        <w:t xml:space="preserve"> session </w:t>
      </w:r>
      <w:r w:rsidR="0076453A">
        <w:rPr>
          <w:rStyle w:val="SingleTxtGChar"/>
        </w:rPr>
        <w:t>(</w:t>
      </w:r>
      <w:r>
        <w:rPr>
          <w:rStyle w:val="SingleTxtGChar"/>
        </w:rPr>
        <w:t>December 2018</w:t>
      </w:r>
      <w:r w:rsidR="0076453A">
        <w:rPr>
          <w:rStyle w:val="SingleTxtGChar"/>
        </w:rPr>
        <w:t>)</w:t>
      </w:r>
      <w:r>
        <w:rPr>
          <w:rStyle w:val="SingleTxtGChar"/>
        </w:rPr>
        <w:t xml:space="preserve"> of </w:t>
      </w:r>
      <w:r w:rsidR="0076453A">
        <w:rPr>
          <w:rStyle w:val="SingleTxtGChar"/>
        </w:rPr>
        <w:t>the</w:t>
      </w:r>
      <w:r>
        <w:rPr>
          <w:rStyle w:val="SingleTxtGChar"/>
        </w:rPr>
        <w:t xml:space="preserve"> Sub-Committee of Experts on the Transport of Dangerous Goods, the reference to insulation of “transport unit” was not included. </w:t>
      </w:r>
    </w:p>
    <w:p w:rsidR="007C3F34" w:rsidRDefault="007450AF" w:rsidP="007C3F34">
      <w:pPr>
        <w:pStyle w:val="SingleTxtG"/>
        <w:rPr>
          <w:rStyle w:val="SingleTxtGChar"/>
        </w:rPr>
      </w:pPr>
      <w:r>
        <w:rPr>
          <w:rStyle w:val="SingleTxtGChar"/>
        </w:rPr>
        <w:t>8.</w:t>
      </w:r>
      <w:r>
        <w:rPr>
          <w:rStyle w:val="SingleTxtGChar"/>
        </w:rPr>
        <w:tab/>
        <w:t xml:space="preserve">The Netherlands and CEFIC propose to add to methods in subsection 7.1.7.4.5 (c), (d) and (e) </w:t>
      </w:r>
      <w:r w:rsidRPr="00A36208">
        <w:rPr>
          <w:rStyle w:val="SingleTxtGChar"/>
        </w:rPr>
        <w:t>of ADR</w:t>
      </w:r>
      <w:r>
        <w:rPr>
          <w:rStyle w:val="SingleTxtGChar"/>
        </w:rPr>
        <w:t xml:space="preserve"> the requirement of thermal insulation with, in addition to the text adopted </w:t>
      </w:r>
      <w:r w:rsidR="0076453A">
        <w:rPr>
          <w:rStyle w:val="SingleTxtGChar"/>
        </w:rPr>
        <w:t xml:space="preserve">by the Sub-Committee </w:t>
      </w:r>
      <w:r>
        <w:rPr>
          <w:rStyle w:val="SingleTxtGChar"/>
        </w:rPr>
        <w:t xml:space="preserve">in square brackets (see ST/SG/AC.10/C.3/106/Add.1), the reference that it applies to transport units, see Proposal 2. </w:t>
      </w:r>
    </w:p>
    <w:p w:rsidR="007450AF" w:rsidRDefault="007450AF" w:rsidP="007C3F34">
      <w:pPr>
        <w:pStyle w:val="SingleTxtG"/>
        <w:rPr>
          <w:rStyle w:val="SingleTxtGChar"/>
        </w:rPr>
      </w:pPr>
      <w:r>
        <w:rPr>
          <w:rStyle w:val="SingleTxtGChar"/>
        </w:rPr>
        <w:t>9</w:t>
      </w:r>
      <w:r>
        <w:rPr>
          <w:rStyle w:val="SingleTxtGChar"/>
        </w:rPr>
        <w:tab/>
      </w:r>
      <w:r w:rsidR="0076453A">
        <w:rPr>
          <w:rStyle w:val="SingleTxtGChar"/>
        </w:rPr>
        <w:t>If proposal 2 is adopted, it should be</w:t>
      </w:r>
      <w:r>
        <w:rPr>
          <w:rStyle w:val="SingleTxtGChar"/>
        </w:rPr>
        <w:t xml:space="preserve"> brought to the attention of the Sub-Committee of Experts on the Transport of Dangerous Goods.</w:t>
      </w:r>
    </w:p>
    <w:p w:rsidR="0076453A" w:rsidRDefault="0076453A" w:rsidP="0076453A">
      <w:pPr>
        <w:pStyle w:val="HChG"/>
        <w:rPr>
          <w:rStyle w:val="SingleTxtGChar"/>
        </w:rPr>
      </w:pPr>
      <w:r>
        <w:rPr>
          <w:rStyle w:val="SingleTxtGChar"/>
        </w:rPr>
        <w:tab/>
      </w:r>
      <w:r>
        <w:rPr>
          <w:rStyle w:val="SingleTxtGChar"/>
        </w:rPr>
        <w:tab/>
        <w:t>Proposals</w:t>
      </w:r>
    </w:p>
    <w:p w:rsidR="007450AF" w:rsidRPr="00FC4613" w:rsidRDefault="0076453A" w:rsidP="0076453A">
      <w:pPr>
        <w:pStyle w:val="H1G"/>
        <w:rPr>
          <w:rStyle w:val="SingleTxtGChar"/>
          <w:sz w:val="28"/>
          <w:szCs w:val="28"/>
        </w:rPr>
      </w:pPr>
      <w:r>
        <w:rPr>
          <w:rStyle w:val="SingleTxtGChar"/>
        </w:rPr>
        <w:tab/>
      </w:r>
      <w:r>
        <w:rPr>
          <w:rStyle w:val="SingleTxtGChar"/>
        </w:rPr>
        <w:tab/>
      </w:r>
      <w:r w:rsidR="007450AF">
        <w:rPr>
          <w:rStyle w:val="SingleTxtGChar"/>
        </w:rPr>
        <w:tab/>
      </w:r>
      <w:r w:rsidR="007450AF" w:rsidRPr="0076453A">
        <w:rPr>
          <w:rStyle w:val="SingleTxtGChar"/>
          <w:lang w:eastAsia="fr-FR"/>
        </w:rPr>
        <w:t>Proposal</w:t>
      </w:r>
      <w:r>
        <w:rPr>
          <w:rStyle w:val="SingleTxtGChar"/>
          <w:sz w:val="28"/>
          <w:szCs w:val="28"/>
        </w:rPr>
        <w:t xml:space="preserve"> 1</w:t>
      </w:r>
      <w:r w:rsidR="007450AF" w:rsidRPr="00FC4613">
        <w:rPr>
          <w:rStyle w:val="SingleTxtGChar"/>
          <w:sz w:val="28"/>
          <w:szCs w:val="28"/>
        </w:rPr>
        <w:t xml:space="preserve"> </w:t>
      </w:r>
    </w:p>
    <w:p w:rsidR="007450AF" w:rsidRPr="00235388" w:rsidRDefault="007450AF" w:rsidP="007C3F34">
      <w:pPr>
        <w:pStyle w:val="SingleTxtG"/>
        <w:rPr>
          <w:lang w:val="en-US"/>
        </w:rPr>
      </w:pPr>
      <w:r>
        <w:tab/>
        <w:t>10.</w:t>
      </w:r>
      <w:r>
        <w:tab/>
        <w:t xml:space="preserve">Amend subsection 7.1.7.4.7 to read as follows </w:t>
      </w:r>
      <w:r w:rsidRPr="00235388">
        <w:rPr>
          <w:lang w:val="en-US"/>
        </w:rPr>
        <w:t>(new text is in bold underlined print and deleted text is stricken trough):</w:t>
      </w:r>
    </w:p>
    <w:p w:rsidR="007450AF" w:rsidRPr="00F335AD" w:rsidRDefault="007C3F34" w:rsidP="00CF418D">
      <w:pPr>
        <w:pStyle w:val="SingleTxtG"/>
        <w:rPr>
          <w:b/>
          <w:u w:val="single"/>
        </w:rPr>
      </w:pPr>
      <w:r>
        <w:lastRenderedPageBreak/>
        <w:tab/>
      </w:r>
      <w:r w:rsidR="0076453A">
        <w:t>“7.1.7.4.7</w:t>
      </w:r>
      <w:bookmarkStart w:id="1" w:name="_Hlk535913935"/>
      <w:r w:rsidR="00CF418D">
        <w:t xml:space="preserve"> </w:t>
      </w:r>
      <w:r w:rsidR="007450AF">
        <w:t xml:space="preserve">Where substances are required to be carried in insulated, refrigerated or mechanically- refrigerated </w:t>
      </w:r>
      <w:r w:rsidR="007450AF" w:rsidRPr="000848E4">
        <w:t xml:space="preserve">vehicles or containers, </w:t>
      </w:r>
      <w:r w:rsidR="0076453A">
        <w:rPr>
          <w:strike/>
        </w:rPr>
        <w:t>these</w:t>
      </w:r>
      <w:r w:rsidR="007450AF" w:rsidRPr="000848E4">
        <w:t xml:space="preserve"> </w:t>
      </w:r>
      <w:r w:rsidR="0076453A" w:rsidRPr="0076453A">
        <w:rPr>
          <w:b/>
          <w:bCs/>
          <w:u w:val="single"/>
        </w:rPr>
        <w:t>the</w:t>
      </w:r>
      <w:r w:rsidR="0076453A">
        <w:t xml:space="preserve"> </w:t>
      </w:r>
      <w:r w:rsidR="007450AF" w:rsidRPr="0076453A">
        <w:t>vehicles</w:t>
      </w:r>
      <w:r w:rsidR="007450AF" w:rsidRPr="000848E4">
        <w:t xml:space="preserve"> </w:t>
      </w:r>
      <w:r w:rsidR="007450AF" w:rsidRPr="00B26914">
        <w:rPr>
          <w:strike/>
        </w:rPr>
        <w:t>or containers</w:t>
      </w:r>
      <w:r w:rsidR="007450AF">
        <w:t xml:space="preserve"> shall satisfy the requirements of Chapter 9.6 </w:t>
      </w:r>
      <w:r w:rsidR="007450AF" w:rsidRPr="00F335AD">
        <w:rPr>
          <w:b/>
          <w:u w:val="single"/>
        </w:rPr>
        <w:t>and the containers shall satisfy the requirements of Chapter 9.6.1 (a), (e) and 9.6.2</w:t>
      </w:r>
      <w:r w:rsidR="007450AF" w:rsidRPr="0076453A">
        <w:rPr>
          <w:bCs/>
        </w:rPr>
        <w:t>.</w:t>
      </w:r>
      <w:r w:rsidR="0076453A" w:rsidRPr="0076453A">
        <w:rPr>
          <w:bCs/>
        </w:rPr>
        <w:t>”.</w:t>
      </w:r>
    </w:p>
    <w:bookmarkEnd w:id="1"/>
    <w:p w:rsidR="0076453A" w:rsidRPr="009A35FC" w:rsidRDefault="0076453A" w:rsidP="0076453A">
      <w:pPr>
        <w:pStyle w:val="HChG"/>
        <w:rPr>
          <w:rStyle w:val="SingleTxtGChar"/>
          <w:b w:val="0"/>
          <w:sz w:val="24"/>
          <w:szCs w:val="24"/>
        </w:rPr>
      </w:pPr>
      <w:r w:rsidRPr="00F335AD">
        <w:rPr>
          <w:rStyle w:val="SingleTxtGChar"/>
        </w:rPr>
        <w:tab/>
      </w:r>
      <w:r>
        <w:rPr>
          <w:rStyle w:val="SingleTxtGChar"/>
        </w:rPr>
        <w:tab/>
      </w:r>
      <w:r>
        <w:rPr>
          <w:rStyle w:val="SingleTxtGChar"/>
        </w:rPr>
        <w:tab/>
      </w:r>
      <w:r w:rsidRPr="009A35FC">
        <w:rPr>
          <w:rStyle w:val="SingleTxtGChar"/>
          <w:sz w:val="24"/>
          <w:szCs w:val="24"/>
        </w:rPr>
        <w:t>Proposal 2</w:t>
      </w:r>
    </w:p>
    <w:p w:rsidR="007450AF" w:rsidRPr="009A35FC" w:rsidRDefault="007450AF" w:rsidP="007C3F34">
      <w:pPr>
        <w:pStyle w:val="SingleTxtG"/>
        <w:rPr>
          <w:rStyle w:val="SingleTxtGChar"/>
        </w:rPr>
      </w:pPr>
      <w:r w:rsidRPr="00F335AD">
        <w:rPr>
          <w:rStyle w:val="SingleTxtGChar"/>
        </w:rPr>
        <w:tab/>
      </w:r>
      <w:r w:rsidRPr="009A35FC">
        <w:rPr>
          <w:rStyle w:val="SingleTxtGChar"/>
        </w:rPr>
        <w:t>11</w:t>
      </w:r>
      <w:r>
        <w:rPr>
          <w:rStyle w:val="SingleTxtGChar"/>
        </w:rPr>
        <w:t>.</w:t>
      </w:r>
      <w:r>
        <w:rPr>
          <w:rStyle w:val="SingleTxtGChar"/>
        </w:rPr>
        <w:tab/>
        <w:t xml:space="preserve">Amend subsection 7.1.7.4.5 (c), (d) and (e) as follows </w:t>
      </w:r>
      <w:r w:rsidRPr="00235388">
        <w:rPr>
          <w:lang w:val="en-US"/>
        </w:rPr>
        <w:t xml:space="preserve">(new text is in bold </w:t>
      </w:r>
      <w:r>
        <w:rPr>
          <w:lang w:val="en-US"/>
        </w:rPr>
        <w:t>u</w:t>
      </w:r>
      <w:r w:rsidRPr="00235388">
        <w:rPr>
          <w:lang w:val="en-US"/>
        </w:rPr>
        <w:t>nderlined print):</w:t>
      </w:r>
    </w:p>
    <w:p w:rsidR="007450AF" w:rsidRDefault="0076453A" w:rsidP="007C3F34">
      <w:pPr>
        <w:pStyle w:val="SingleTxtG"/>
        <w:rPr>
          <w:lang w:val="en-US"/>
        </w:rPr>
      </w:pPr>
      <w:proofErr w:type="gramStart"/>
      <w:r>
        <w:rPr>
          <w:lang w:val="en-US"/>
        </w:rPr>
        <w:t xml:space="preserve">At </w:t>
      </w:r>
      <w:r w:rsidR="007450AF">
        <w:rPr>
          <w:lang w:val="en-US"/>
        </w:rPr>
        <w:t xml:space="preserve"> the</w:t>
      </w:r>
      <w:proofErr w:type="gramEnd"/>
      <w:r w:rsidR="007450AF">
        <w:rPr>
          <w:lang w:val="en-US"/>
        </w:rPr>
        <w:t xml:space="preserve"> beginning of 7.1.7.4.5 (c), (d) and (e) add “</w:t>
      </w:r>
      <w:r w:rsidR="007450AF" w:rsidRPr="00F335AD">
        <w:rPr>
          <w:b/>
          <w:u w:val="single"/>
          <w:lang w:val="en-US"/>
        </w:rPr>
        <w:t>Thermal insulation of the transport unit and</w:t>
      </w:r>
      <w:r w:rsidR="007450AF">
        <w:rPr>
          <w:lang w:val="en-US"/>
        </w:rPr>
        <w:t>”</w:t>
      </w:r>
      <w:r>
        <w:rPr>
          <w:lang w:val="en-US"/>
        </w:rPr>
        <w:t>.</w:t>
      </w:r>
    </w:p>
    <w:p w:rsidR="007450AF" w:rsidRPr="00402544" w:rsidRDefault="007C3F34" w:rsidP="007C3F34">
      <w:pPr>
        <w:pStyle w:val="HChG"/>
        <w:rPr>
          <w:lang w:val="en-US"/>
        </w:rPr>
      </w:pPr>
      <w:r>
        <w:tab/>
      </w:r>
      <w:r w:rsidR="007450AF">
        <w:tab/>
      </w:r>
      <w:r w:rsidR="007450AF" w:rsidRPr="00402544">
        <w:rPr>
          <w:lang w:val="en-US"/>
        </w:rPr>
        <w:t>Feasibility</w:t>
      </w:r>
    </w:p>
    <w:p w:rsidR="007450AF" w:rsidRDefault="007450AF" w:rsidP="007C3F34">
      <w:pPr>
        <w:pStyle w:val="SingleTxtG"/>
      </w:pPr>
      <w:r>
        <w:t>12.</w:t>
      </w:r>
      <w:r>
        <w:tab/>
        <w:t>No problems are foreseen</w:t>
      </w:r>
      <w:r w:rsidR="007C3F34">
        <w:t>.</w:t>
      </w:r>
      <w:r>
        <w:rPr>
          <w:rStyle w:val="SingleTxtGChar"/>
        </w:rPr>
        <w:t xml:space="preserve"> </w:t>
      </w:r>
    </w:p>
    <w:p w:rsidR="001C6663" w:rsidRPr="007C3F34" w:rsidRDefault="007C3F34" w:rsidP="007C3F34">
      <w:pPr>
        <w:spacing w:before="240"/>
        <w:jc w:val="center"/>
        <w:rPr>
          <w:u w:val="single"/>
        </w:rPr>
      </w:pPr>
      <w:r>
        <w:rPr>
          <w:u w:val="single"/>
        </w:rPr>
        <w:tab/>
      </w:r>
      <w:r>
        <w:rPr>
          <w:u w:val="single"/>
        </w:rPr>
        <w:tab/>
      </w:r>
      <w:r>
        <w:rPr>
          <w:u w:val="single"/>
        </w:rPr>
        <w:tab/>
      </w:r>
    </w:p>
    <w:sectPr w:rsidR="001C6663" w:rsidRPr="007C3F34" w:rsidSect="00D65BB9">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BB9" w:rsidRDefault="00D65BB9"/>
  </w:endnote>
  <w:endnote w:type="continuationSeparator" w:id="0">
    <w:p w:rsidR="00D65BB9" w:rsidRDefault="00D65BB9"/>
  </w:endnote>
  <w:endnote w:type="continuationNotice" w:id="1">
    <w:p w:rsidR="00D65BB9" w:rsidRDefault="00D65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BB9" w:rsidRPr="00D65BB9" w:rsidRDefault="00D65BB9" w:rsidP="00D65BB9">
    <w:pPr>
      <w:pStyle w:val="Footer"/>
      <w:tabs>
        <w:tab w:val="right" w:pos="9638"/>
      </w:tabs>
      <w:rPr>
        <w:sz w:val="18"/>
      </w:rPr>
    </w:pPr>
    <w:r w:rsidRPr="00D65BB9">
      <w:rPr>
        <w:b/>
        <w:sz w:val="18"/>
      </w:rPr>
      <w:fldChar w:fldCharType="begin"/>
    </w:r>
    <w:r w:rsidRPr="00D65BB9">
      <w:rPr>
        <w:b/>
        <w:sz w:val="18"/>
      </w:rPr>
      <w:instrText xml:space="preserve"> PAGE  \* MERGEFORMAT </w:instrText>
    </w:r>
    <w:r w:rsidRPr="00D65BB9">
      <w:rPr>
        <w:b/>
        <w:sz w:val="18"/>
      </w:rPr>
      <w:fldChar w:fldCharType="separate"/>
    </w:r>
    <w:r w:rsidRPr="00D65BB9">
      <w:rPr>
        <w:b/>
        <w:noProof/>
        <w:sz w:val="18"/>
      </w:rPr>
      <w:t>2</w:t>
    </w:r>
    <w:r w:rsidRPr="00D65B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BB9" w:rsidRPr="00D65BB9" w:rsidRDefault="00D65BB9" w:rsidP="00D65BB9">
    <w:pPr>
      <w:pStyle w:val="Footer"/>
      <w:tabs>
        <w:tab w:val="right" w:pos="9638"/>
      </w:tabs>
      <w:rPr>
        <w:b/>
        <w:sz w:val="18"/>
      </w:rPr>
    </w:pPr>
    <w:r>
      <w:tab/>
    </w:r>
    <w:r w:rsidRPr="00D65BB9">
      <w:rPr>
        <w:b/>
        <w:sz w:val="18"/>
      </w:rPr>
      <w:fldChar w:fldCharType="begin"/>
    </w:r>
    <w:r w:rsidRPr="00D65BB9">
      <w:rPr>
        <w:b/>
        <w:sz w:val="18"/>
      </w:rPr>
      <w:instrText xml:space="preserve"> PAGE  \* MERGEFORMAT </w:instrText>
    </w:r>
    <w:r w:rsidRPr="00D65BB9">
      <w:rPr>
        <w:b/>
        <w:sz w:val="18"/>
      </w:rPr>
      <w:fldChar w:fldCharType="separate"/>
    </w:r>
    <w:r w:rsidRPr="00D65BB9">
      <w:rPr>
        <w:b/>
        <w:noProof/>
        <w:sz w:val="18"/>
      </w:rPr>
      <w:t>3</w:t>
    </w:r>
    <w:r w:rsidRPr="00D65BB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BB9" w:rsidRPr="000B175B" w:rsidRDefault="00D65BB9" w:rsidP="000B175B">
      <w:pPr>
        <w:tabs>
          <w:tab w:val="right" w:pos="2155"/>
        </w:tabs>
        <w:spacing w:after="80"/>
        <w:ind w:left="680"/>
        <w:rPr>
          <w:u w:val="single"/>
        </w:rPr>
      </w:pPr>
      <w:r>
        <w:rPr>
          <w:u w:val="single"/>
        </w:rPr>
        <w:tab/>
      </w:r>
    </w:p>
  </w:footnote>
  <w:footnote w:type="continuationSeparator" w:id="0">
    <w:p w:rsidR="00D65BB9" w:rsidRPr="00FC68B7" w:rsidRDefault="00D65BB9" w:rsidP="00FC68B7">
      <w:pPr>
        <w:tabs>
          <w:tab w:val="left" w:pos="2155"/>
        </w:tabs>
        <w:spacing w:after="80"/>
        <w:ind w:left="680"/>
        <w:rPr>
          <w:u w:val="single"/>
        </w:rPr>
      </w:pPr>
      <w:r>
        <w:rPr>
          <w:u w:val="single"/>
        </w:rPr>
        <w:tab/>
      </w:r>
    </w:p>
  </w:footnote>
  <w:footnote w:type="continuationNotice" w:id="1">
    <w:p w:rsidR="00D65BB9" w:rsidRDefault="00D65BB9"/>
  </w:footnote>
  <w:footnote w:id="2">
    <w:p w:rsidR="00AE46FC" w:rsidRDefault="00AE46FC" w:rsidP="00AE46FC">
      <w:pPr>
        <w:pStyle w:val="FootnoteText"/>
        <w:tabs>
          <w:tab w:val="left" w:pos="720"/>
        </w:tabs>
        <w:ind w:left="1418" w:right="1260" w:hanging="284"/>
        <w:jc w:val="both"/>
      </w:pPr>
      <w:r>
        <w:rPr>
          <w:rStyle w:val="FootnoteReference"/>
          <w:sz w:val="20"/>
        </w:rPr>
        <w:sym w:font="Symbol" w:char="F02A"/>
      </w:r>
      <w:r>
        <w:tab/>
      </w:r>
      <w:r w:rsidR="007450AF" w:rsidRPr="007450AF">
        <w:rPr>
          <w:color w:val="000000"/>
          <w:lang w:val="en-US" w:eastAsia="en-GB"/>
        </w:rPr>
        <w:t xml:space="preserve">2020 (A/74/6 (Sect.20) and Supplementary, </w:t>
      </w:r>
      <w:proofErr w:type="spellStart"/>
      <w:r w:rsidR="007450AF" w:rsidRPr="007450AF">
        <w:rPr>
          <w:color w:val="000000"/>
          <w:lang w:val="en-US" w:eastAsia="en-GB"/>
        </w:rPr>
        <w:t>Subprogramme</w:t>
      </w:r>
      <w:proofErr w:type="spellEnd"/>
      <w:r w:rsidR="007450AF" w:rsidRPr="007450AF">
        <w:rPr>
          <w:color w:val="000000"/>
          <w:lang w:val="en-US" w:eastAsia="en-GB"/>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BB9" w:rsidRPr="00D65BB9" w:rsidRDefault="00227671">
    <w:pPr>
      <w:pStyle w:val="Header"/>
    </w:pPr>
    <w:fldSimple w:instr=" TITLE  \* MERGEFORMAT ">
      <w:r w:rsidR="00D65BB9">
        <w:t>ECE/TRANS/WP.15/2020/1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BB9" w:rsidRPr="00D65BB9" w:rsidRDefault="00227671" w:rsidP="00D65BB9">
    <w:pPr>
      <w:pStyle w:val="Header"/>
      <w:jc w:val="right"/>
    </w:pPr>
    <w:fldSimple w:instr=" TITLE  \* MERGEFORMAT ">
      <w:r w:rsidR="00D65BB9">
        <w:t>ECE/TRANS/WP.15/2020/1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B9"/>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D4ACB"/>
    <w:rsid w:val="001F1599"/>
    <w:rsid w:val="001F19C4"/>
    <w:rsid w:val="002043F0"/>
    <w:rsid w:val="00211E0B"/>
    <w:rsid w:val="00227671"/>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40AE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0FD9"/>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0AF"/>
    <w:rsid w:val="0074533B"/>
    <w:rsid w:val="007643BC"/>
    <w:rsid w:val="0076453A"/>
    <w:rsid w:val="00780C68"/>
    <w:rsid w:val="007959FE"/>
    <w:rsid w:val="007A0CF1"/>
    <w:rsid w:val="007A478E"/>
    <w:rsid w:val="007B609E"/>
    <w:rsid w:val="007B6BA5"/>
    <w:rsid w:val="007C3390"/>
    <w:rsid w:val="007C3F34"/>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505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E46FC"/>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A2AFF"/>
    <w:rsid w:val="00CB348D"/>
    <w:rsid w:val="00CD46F5"/>
    <w:rsid w:val="00CE4A8F"/>
    <w:rsid w:val="00CE78F6"/>
    <w:rsid w:val="00CF071D"/>
    <w:rsid w:val="00CF418D"/>
    <w:rsid w:val="00D0123D"/>
    <w:rsid w:val="00D15B04"/>
    <w:rsid w:val="00D2031B"/>
    <w:rsid w:val="00D25FE2"/>
    <w:rsid w:val="00D368BE"/>
    <w:rsid w:val="00D37DA9"/>
    <w:rsid w:val="00D406A7"/>
    <w:rsid w:val="00D40765"/>
    <w:rsid w:val="00D43252"/>
    <w:rsid w:val="00D44D86"/>
    <w:rsid w:val="00D46014"/>
    <w:rsid w:val="00D50B7D"/>
    <w:rsid w:val="00D52012"/>
    <w:rsid w:val="00D65BB9"/>
    <w:rsid w:val="00D704E5"/>
    <w:rsid w:val="00D72727"/>
    <w:rsid w:val="00D978C6"/>
    <w:rsid w:val="00DA0956"/>
    <w:rsid w:val="00DA357F"/>
    <w:rsid w:val="00DA3E12"/>
    <w:rsid w:val="00DB6762"/>
    <w:rsid w:val="00DC18AD"/>
    <w:rsid w:val="00DF48EF"/>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32254116"/>
  <w15:docId w15:val="{3B9D6BDF-82C1-46F2-9F16-ADEE3999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AE46FC"/>
    <w:rPr>
      <w:sz w:val="18"/>
      <w:lang w:val="en-GB"/>
    </w:rPr>
  </w:style>
  <w:style w:type="character" w:customStyle="1" w:styleId="HChGChar">
    <w:name w:val="_ H _Ch_G Char"/>
    <w:link w:val="HChG"/>
    <w:locked/>
    <w:rsid w:val="00AE46FC"/>
    <w:rPr>
      <w:b/>
      <w:sz w:val="28"/>
      <w:lang w:val="en-GB"/>
    </w:rPr>
  </w:style>
  <w:style w:type="character" w:customStyle="1" w:styleId="H1GChar">
    <w:name w:val="_ H_1_G Char"/>
    <w:link w:val="H1G"/>
    <w:locked/>
    <w:rsid w:val="00AE46FC"/>
    <w:rPr>
      <w:b/>
      <w:sz w:val="24"/>
      <w:lang w:val="en-GB"/>
    </w:rPr>
  </w:style>
  <w:style w:type="character" w:customStyle="1" w:styleId="hps">
    <w:name w:val="hps"/>
    <w:basedOn w:val="DefaultParagraphFont"/>
    <w:rsid w:val="00AE46FC"/>
  </w:style>
  <w:style w:type="paragraph" w:styleId="NoSpacing">
    <w:name w:val="No Spacing"/>
    <w:uiPriority w:val="1"/>
    <w:qFormat/>
    <w:rsid w:val="007450AF"/>
    <w:pPr>
      <w:suppressAutoHyphens/>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3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874D-93F6-49C9-A83D-EDCB1E22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136</TotalTime>
  <Pages>3</Pages>
  <Words>762</Words>
  <Characters>4701</Characters>
  <Application>Microsoft Office Word</Application>
  <DocSecurity>0</DocSecurity>
  <Lines>783</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ECE/TRANS/WP.15/2020/1</vt:lpstr>
      <vt:lpstr/>
    </vt:vector>
  </TitlesOfParts>
  <Company>CSD</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ECE/TRANS/WP.15/2020/1</dc:title>
  <dc:creator>Christine Barrio-Champeau</dc:creator>
  <cp:lastModifiedBy>Christine Barrio-Champeau</cp:lastModifiedBy>
  <cp:revision>10</cp:revision>
  <cp:lastPrinted>2009-02-18T09:36:00Z</cp:lastPrinted>
  <dcterms:created xsi:type="dcterms:W3CDTF">2020-02-10T09:48:00Z</dcterms:created>
  <dcterms:modified xsi:type="dcterms:W3CDTF">2020-02-17T14:06:00Z</dcterms:modified>
</cp:coreProperties>
</file>