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50C9" w14:textId="77777777"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14:paraId="3993373D" w14:textId="77777777"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14:paraId="5FBB01B0" w14:textId="77777777"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14:paraId="243CB7AC" w14:textId="671AAA3E" w:rsidR="00982036" w:rsidRPr="00267B69" w:rsidRDefault="007851CB" w:rsidP="00084795">
      <w:pPr>
        <w:spacing w:before="120"/>
        <w:rPr>
          <w:b/>
        </w:rPr>
      </w:pPr>
      <w:r w:rsidRPr="00267B69">
        <w:rPr>
          <w:b/>
        </w:rPr>
        <w:t>10</w:t>
      </w:r>
      <w:r w:rsidR="0090465E">
        <w:rPr>
          <w:b/>
        </w:rPr>
        <w:t>8</w:t>
      </w:r>
      <w:r w:rsidRPr="00267B69">
        <w:rPr>
          <w:b/>
        </w:rPr>
        <w:t>th</w:t>
      </w:r>
      <w:r w:rsidR="00982036" w:rsidRPr="00267B69">
        <w:rPr>
          <w:b/>
        </w:rPr>
        <w:t xml:space="preserve"> session</w:t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D13D3B" w:rsidRPr="00267B69">
        <w:rPr>
          <w:b/>
        </w:rPr>
        <w:tab/>
      </w:r>
      <w:r w:rsidR="00B96BDE">
        <w:rPr>
          <w:b/>
        </w:rPr>
        <w:t xml:space="preserve"> </w:t>
      </w:r>
      <w:r w:rsidR="00243711">
        <w:rPr>
          <w:b/>
        </w:rPr>
        <w:t>3 November</w:t>
      </w:r>
      <w:r w:rsidR="0090465E">
        <w:rPr>
          <w:b/>
        </w:rPr>
        <w:t xml:space="preserve"> 2020</w:t>
      </w:r>
    </w:p>
    <w:p w14:paraId="485F0931" w14:textId="47F64470" w:rsidR="00982036" w:rsidRPr="00267B69" w:rsidRDefault="00982036" w:rsidP="00982036">
      <w:r w:rsidRPr="00267B69">
        <w:t>Geneva</w:t>
      </w:r>
      <w:r w:rsidR="00AF0EA9" w:rsidRPr="00267B69">
        <w:t xml:space="preserve">, </w:t>
      </w:r>
      <w:r w:rsidR="007851CB" w:rsidRPr="00267B69">
        <w:t>1</w:t>
      </w:r>
      <w:r w:rsidR="00243711">
        <w:t>0</w:t>
      </w:r>
      <w:r w:rsidR="007851CB" w:rsidRPr="00267B69">
        <w:t>–</w:t>
      </w:r>
      <w:r w:rsidR="002709B0" w:rsidRPr="00267B69">
        <w:t>1</w:t>
      </w:r>
      <w:r w:rsidR="00243711">
        <w:t>3</w:t>
      </w:r>
      <w:r w:rsidR="009A776B" w:rsidRPr="00267B69">
        <w:t xml:space="preserve"> </w:t>
      </w:r>
      <w:r w:rsidR="00243711">
        <w:t>November</w:t>
      </w:r>
      <w:r w:rsidR="00AF0EA9" w:rsidRPr="00267B69">
        <w:t xml:space="preserve"> 20</w:t>
      </w:r>
      <w:r w:rsidR="0090465E">
        <w:t>20</w:t>
      </w:r>
    </w:p>
    <w:p w14:paraId="00F07020" w14:textId="77777777" w:rsidR="0090465E" w:rsidRPr="00982178" w:rsidRDefault="0090465E" w:rsidP="0090465E">
      <w:r w:rsidRPr="00982178">
        <w:t xml:space="preserve">Item </w:t>
      </w:r>
      <w:r>
        <w:t>5 (b)</w:t>
      </w:r>
      <w:r w:rsidRPr="00982178">
        <w:t xml:space="preserve"> of the provisional agenda</w:t>
      </w:r>
    </w:p>
    <w:p w14:paraId="230A2E81" w14:textId="77777777" w:rsidR="0090465E" w:rsidRPr="00982178" w:rsidRDefault="0090465E" w:rsidP="0090465E">
      <w:pPr>
        <w:rPr>
          <w:b/>
        </w:rPr>
      </w:pPr>
      <w:r w:rsidRPr="009F293C">
        <w:rPr>
          <w:b/>
        </w:rPr>
        <w:t>Proposals for amendments to annexes A and B of ADR</w:t>
      </w:r>
      <w:r>
        <w:rPr>
          <w:b/>
        </w:rPr>
        <w:t>:</w:t>
      </w:r>
      <w:r>
        <w:rPr>
          <w:b/>
        </w:rPr>
        <w:br/>
        <w:t>m</w:t>
      </w:r>
      <w:r w:rsidRPr="009F293C">
        <w:rPr>
          <w:b/>
        </w:rPr>
        <w:t>iscellaneous proposals</w:t>
      </w:r>
    </w:p>
    <w:p w14:paraId="79AE92E3" w14:textId="77777777" w:rsidR="00954006" w:rsidRDefault="0090465E" w:rsidP="00954006">
      <w:pPr>
        <w:pStyle w:val="HChG"/>
      </w:pPr>
      <w:r>
        <w:tab/>
      </w:r>
      <w:r>
        <w:tab/>
      </w:r>
      <w:r w:rsidR="00954006">
        <w:rPr>
          <w:lang w:val="en-GB"/>
        </w:rPr>
        <w:t>Comments on 2020/1</w:t>
      </w:r>
      <w:r w:rsidR="00954006">
        <w:rPr>
          <w:lang w:val="en-US"/>
        </w:rPr>
        <w:t>: Temperature controlled transport</w:t>
      </w:r>
    </w:p>
    <w:p w14:paraId="394606CD" w14:textId="77777777" w:rsidR="00954006" w:rsidRPr="00711C0E" w:rsidRDefault="00954006" w:rsidP="00954006">
      <w:pPr>
        <w:pStyle w:val="H1G"/>
      </w:pPr>
      <w:r>
        <w:tab/>
      </w:r>
      <w:r>
        <w:tab/>
      </w:r>
      <w:r w:rsidRPr="00AE400B">
        <w:rPr>
          <w:lang w:val="en-US"/>
        </w:rPr>
        <w:t xml:space="preserve">Transmitted by the </w:t>
      </w:r>
      <w:r>
        <w:rPr>
          <w:lang w:val="en-US"/>
        </w:rPr>
        <w:t xml:space="preserve">United Kingdom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629"/>
      </w:tblGrid>
      <w:tr w:rsidR="00954006" w14:paraId="1463A15C" w14:textId="77777777" w:rsidTr="005E0E1F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4E7FB585" w14:textId="77777777" w:rsidR="00954006" w:rsidRPr="00CD0A92" w:rsidRDefault="00954006" w:rsidP="005E0E1F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954006" w14:paraId="13ED5FF8" w14:textId="77777777" w:rsidTr="005E0E1F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D320B6E" w14:textId="77777777" w:rsidR="00954006" w:rsidRPr="006B26BC" w:rsidRDefault="00954006" w:rsidP="005E0E1F">
            <w:pPr>
              <w:pStyle w:val="SingleTxtG"/>
              <w:tabs>
                <w:tab w:val="left" w:pos="3260"/>
              </w:tabs>
              <w:ind w:left="3260" w:hanging="2126"/>
              <w:rPr>
                <w:color w:val="FF0000"/>
              </w:rPr>
            </w:pPr>
            <w:r>
              <w:rPr>
                <w:b/>
                <w:szCs w:val="22"/>
              </w:rPr>
              <w:t>Executive s</w:t>
            </w:r>
            <w:r w:rsidRPr="004F0D24">
              <w:rPr>
                <w:b/>
                <w:szCs w:val="22"/>
              </w:rPr>
              <w:t>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>
              <w:rPr>
                <w:szCs w:val="22"/>
                <w:lang w:val="en-GB"/>
              </w:rPr>
              <w:t xml:space="preserve">Alternative amendments to Proposals 1 and 2 submitted in 2020/1. </w:t>
            </w:r>
          </w:p>
        </w:tc>
      </w:tr>
      <w:tr w:rsidR="00954006" w14:paraId="27B61C8B" w14:textId="77777777" w:rsidTr="005E0E1F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14875AE1" w14:textId="77777777" w:rsidR="00954006" w:rsidRPr="008C61A3" w:rsidRDefault="00954006" w:rsidP="005E0E1F">
            <w:pPr>
              <w:pStyle w:val="SingleTxtG"/>
              <w:tabs>
                <w:tab w:val="left" w:pos="3260"/>
              </w:tabs>
              <w:ind w:left="3260" w:hanging="2126"/>
              <w:rPr>
                <w:color w:val="6699FF"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Related documents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>
              <w:rPr>
                <w:szCs w:val="22"/>
                <w:lang w:val="en-GB"/>
              </w:rPr>
              <w:t xml:space="preserve">ECE/TRANS/WP.15/2020/1   </w:t>
            </w:r>
          </w:p>
        </w:tc>
      </w:tr>
      <w:tr w:rsidR="00954006" w14:paraId="75F25F0A" w14:textId="77777777" w:rsidTr="005E0E1F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1071B9D2" w14:textId="77777777" w:rsidR="00954006" w:rsidRDefault="00954006" w:rsidP="005E0E1F">
            <w:pPr>
              <w:suppressAutoHyphens w:val="0"/>
            </w:pPr>
          </w:p>
        </w:tc>
      </w:tr>
    </w:tbl>
    <w:p w14:paraId="6E34F3D9" w14:textId="77777777" w:rsidR="00954006" w:rsidRDefault="00954006" w:rsidP="00F7722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D0A90">
        <w:rPr>
          <w:lang w:val="en-US"/>
        </w:rPr>
        <w:t>Introduction</w:t>
      </w:r>
    </w:p>
    <w:p w14:paraId="007BB75C" w14:textId="49852154" w:rsidR="00954006" w:rsidRPr="00390B49" w:rsidRDefault="00F77224" w:rsidP="00F7722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54006" w:rsidRPr="00390B49">
        <w:rPr>
          <w:lang w:val="en-US"/>
        </w:rPr>
        <w:t xml:space="preserve">ADR 7.1.7.4.7 </w:t>
      </w:r>
    </w:p>
    <w:p w14:paraId="207A1AFE" w14:textId="1B0A9929" w:rsidR="00954006" w:rsidRDefault="00F77224" w:rsidP="00F77224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954006">
        <w:t xml:space="preserve">The </w:t>
      </w:r>
      <w:r>
        <w:t>United Kingdom</w:t>
      </w:r>
      <w:r w:rsidR="00954006">
        <w:t xml:space="preserve"> agrees that there is a need to amend paragraph 7.1.7.4.7, however we consider that the references to containers should be deleted altogether. </w:t>
      </w:r>
    </w:p>
    <w:p w14:paraId="11BADB8F" w14:textId="248961F5" w:rsidR="00954006" w:rsidRDefault="00F77224" w:rsidP="00F77224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954006">
        <w:t xml:space="preserve">Part 9 of the ADR is specifically for requirements concerning the construction and approval of </w:t>
      </w:r>
      <w:r w:rsidR="00954006" w:rsidRPr="004E4020">
        <w:t>vehicles</w:t>
      </w:r>
      <w:r w:rsidR="00954006">
        <w:t xml:space="preserve">. The provisions of 9.6.1 are for “insulated, refrigerated and mechanically-refrigerated </w:t>
      </w:r>
      <w:r w:rsidR="00954006" w:rsidRPr="00390B49">
        <w:t>vehicles”</w:t>
      </w:r>
      <w:r w:rsidR="00954006">
        <w:t xml:space="preserve"> and do not cover containers. It is not appropriate to include provisions for the design and construction of multimodal refrigerated containers in ADR-specific text. Any requirements for these containers (such as the heat transfer coefficient and substance used as refrigerant) </w:t>
      </w:r>
      <w:r w:rsidR="00954006" w:rsidRPr="00390B49">
        <w:t>should be</w:t>
      </w:r>
      <w:r w:rsidR="00954006">
        <w:t xml:space="preserve"> agreed at the appropriate multi-modal meeting and contained within Annex A of the ADR.</w:t>
      </w:r>
    </w:p>
    <w:p w14:paraId="152E25A1" w14:textId="1FC5A6FF" w:rsidR="00954006" w:rsidRPr="00F77224" w:rsidRDefault="00F77224" w:rsidP="00F77224">
      <w:pPr>
        <w:pStyle w:val="H1G"/>
        <w:rPr>
          <w:b w:val="0"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954006" w:rsidRPr="00390B49">
        <w:rPr>
          <w:sz w:val="22"/>
          <w:lang w:val="en-US"/>
        </w:rPr>
        <w:t>ADR 7.1.7.4.5</w:t>
      </w:r>
    </w:p>
    <w:p w14:paraId="26664903" w14:textId="161EC12E" w:rsidR="00954006" w:rsidRDefault="00F77224" w:rsidP="00F77224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954006" w:rsidRPr="004C0144">
        <w:rPr>
          <w:lang w:val="en-US"/>
        </w:rPr>
        <w:t xml:space="preserve">The </w:t>
      </w:r>
      <w:r>
        <w:t>United Kingdom</w:t>
      </w:r>
      <w:r w:rsidRPr="004C0144">
        <w:rPr>
          <w:lang w:val="en-US"/>
        </w:rPr>
        <w:t xml:space="preserve"> </w:t>
      </w:r>
      <w:r w:rsidR="00954006" w:rsidRPr="004C0144">
        <w:rPr>
          <w:lang w:val="en-US"/>
        </w:rPr>
        <w:t xml:space="preserve">agrees that provisions (c), (d) and (e) of 7.1.7.4.5 relate to the thermal insulation of the container or vehicle. </w:t>
      </w:r>
      <w:r w:rsidR="00954006">
        <w:rPr>
          <w:lang w:val="en-US"/>
        </w:rPr>
        <w:t>However, there is an editorial issue with the amendment as proposed in 2020/1. For example, the newly amended sub-section</w:t>
      </w:r>
      <w:r w:rsidR="00954006" w:rsidRPr="004C0144">
        <w:rPr>
          <w:lang w:val="en-US"/>
        </w:rPr>
        <w:t xml:space="preserve"> (c) </w:t>
      </w:r>
      <w:r w:rsidR="00954006">
        <w:rPr>
          <w:lang w:val="en-US"/>
        </w:rPr>
        <w:t>would become</w:t>
      </w:r>
      <w:r w:rsidR="00954006" w:rsidRPr="004C0144">
        <w:rPr>
          <w:lang w:val="en-US"/>
        </w:rPr>
        <w:t>: “</w:t>
      </w:r>
      <w:r w:rsidR="00954006" w:rsidRPr="0001630F">
        <w:rPr>
          <w:i/>
          <w:lang w:val="en-US"/>
        </w:rPr>
        <w:t>Thermal insultation of the transport unit and thermal insulation and single mechanical refrigeration</w:t>
      </w:r>
      <w:r w:rsidR="00954006">
        <w:rPr>
          <w:lang w:val="en-US"/>
        </w:rPr>
        <w:t>…” which does not read correctly</w:t>
      </w:r>
      <w:r w:rsidR="00954006" w:rsidRPr="004C0144">
        <w:rPr>
          <w:lang w:val="en-US"/>
        </w:rPr>
        <w:t>.</w:t>
      </w:r>
    </w:p>
    <w:p w14:paraId="072E63E8" w14:textId="38D06346" w:rsidR="00954006" w:rsidRPr="00390B49" w:rsidRDefault="00F77224" w:rsidP="00F77224">
      <w:pPr>
        <w:pStyle w:val="SingleTxtG"/>
      </w:pPr>
      <w:r>
        <w:rPr>
          <w:lang w:val="en-US"/>
        </w:rPr>
        <w:t>4.</w:t>
      </w:r>
      <w:r>
        <w:rPr>
          <w:lang w:val="en-US"/>
        </w:rPr>
        <w:tab/>
      </w:r>
      <w:r w:rsidR="00954006">
        <w:rPr>
          <w:lang w:val="en-US"/>
        </w:rPr>
        <w:t xml:space="preserve">We also think it is necessary to be specific that it is the </w:t>
      </w:r>
      <w:r w:rsidR="00954006">
        <w:rPr>
          <w:u w:val="single"/>
          <w:lang w:val="en-US"/>
        </w:rPr>
        <w:t>vehicle or container</w:t>
      </w:r>
      <w:r w:rsidR="00954006">
        <w:t xml:space="preserve"> which is thermally insulated, rather than make reference to the transport unit as a whole. </w:t>
      </w:r>
    </w:p>
    <w:p w14:paraId="61234E9E" w14:textId="2A7B0DE8" w:rsidR="00954006" w:rsidRPr="00AC1D1D" w:rsidRDefault="00F77224" w:rsidP="00F77224">
      <w:pPr>
        <w:pStyle w:val="HChG"/>
      </w:pPr>
      <w:r>
        <w:tab/>
      </w:r>
      <w:r>
        <w:tab/>
      </w:r>
      <w:r w:rsidR="00954006" w:rsidRPr="00AC1D1D">
        <w:t xml:space="preserve">Proposals </w:t>
      </w:r>
    </w:p>
    <w:p w14:paraId="6F6A8883" w14:textId="407A6DA6" w:rsidR="00954006" w:rsidRDefault="00F77224" w:rsidP="00F77224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954006">
        <w:rPr>
          <w:lang w:val="en-US"/>
        </w:rPr>
        <w:t xml:space="preserve">Two alternative proposals are offered in place of those included in 2020/1 for consideration by the Working Party. </w:t>
      </w:r>
    </w:p>
    <w:p w14:paraId="663ACB07" w14:textId="35246B2C" w:rsidR="00954006" w:rsidRPr="00390B49" w:rsidRDefault="00F77224" w:rsidP="00F77224">
      <w:pPr>
        <w:pStyle w:val="H1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954006" w:rsidRPr="00390B49">
        <w:rPr>
          <w:lang w:val="en-US"/>
        </w:rPr>
        <w:t>Proposal 1</w:t>
      </w:r>
    </w:p>
    <w:p w14:paraId="21D2C113" w14:textId="2FD4103C" w:rsidR="00954006" w:rsidRDefault="00F77224" w:rsidP="00F77224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954006">
        <w:rPr>
          <w:lang w:val="en-US"/>
        </w:rPr>
        <w:t xml:space="preserve">Amend </w:t>
      </w:r>
      <w:r w:rsidR="00954006" w:rsidRPr="00A059E9">
        <w:rPr>
          <w:lang w:val="en-US"/>
        </w:rPr>
        <w:t>7.1.7.4.</w:t>
      </w:r>
      <w:r w:rsidR="00954006">
        <w:rPr>
          <w:lang w:val="en-US"/>
        </w:rPr>
        <w:t>7</w:t>
      </w:r>
      <w:r w:rsidR="00954006" w:rsidRPr="00A059E9">
        <w:rPr>
          <w:lang w:val="en-US"/>
        </w:rPr>
        <w:t xml:space="preserve"> as follows</w:t>
      </w:r>
      <w:r w:rsidR="00954006">
        <w:rPr>
          <w:lang w:val="en-US"/>
        </w:rPr>
        <w:t xml:space="preserve">: </w:t>
      </w:r>
    </w:p>
    <w:p w14:paraId="64287ABA" w14:textId="77777777" w:rsidR="00954006" w:rsidRDefault="00954006" w:rsidP="00F77224">
      <w:pPr>
        <w:ind w:left="1701" w:right="1134"/>
        <w:jc w:val="both"/>
      </w:pPr>
      <w:r w:rsidRPr="00390B49">
        <w:t>“</w:t>
      </w:r>
      <w:r w:rsidRPr="00390B49">
        <w:rPr>
          <w:strike/>
        </w:rPr>
        <w:t xml:space="preserve">Where substances are required to be carried in insulated, refrigerated or mechanically-refrigerated vehicles or containers, these vehicles or containers </w:t>
      </w:r>
      <w:r>
        <w:rPr>
          <w:b/>
          <w:u w:val="single"/>
        </w:rPr>
        <w:t xml:space="preserve">Vehicles constructed to carry substances in accordance with methods (c), (d) and (e) of 7.1.7.4.5 </w:t>
      </w:r>
      <w:r>
        <w:t>shall satisfy the requirements of Chapter 9.6.”</w:t>
      </w:r>
    </w:p>
    <w:p w14:paraId="11D57A32" w14:textId="2F84DFD0" w:rsidR="00954006" w:rsidRPr="00390B49" w:rsidRDefault="00F77224" w:rsidP="00F77224">
      <w:pPr>
        <w:pStyle w:val="H1G"/>
        <w:rPr>
          <w:b w:val="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54006" w:rsidRPr="00390B49">
        <w:rPr>
          <w:lang w:val="en-US"/>
        </w:rPr>
        <w:t>Proposal 2:</w:t>
      </w:r>
    </w:p>
    <w:p w14:paraId="15725998" w14:textId="5F1386E4" w:rsidR="00954006" w:rsidRDefault="00F77224" w:rsidP="00F77224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954006">
        <w:rPr>
          <w:lang w:val="en-US"/>
        </w:rPr>
        <w:t xml:space="preserve">Amend </w:t>
      </w:r>
      <w:r w:rsidR="00954006" w:rsidRPr="00A059E9">
        <w:rPr>
          <w:lang w:val="en-US"/>
        </w:rPr>
        <w:t>7.1.7.4.</w:t>
      </w:r>
      <w:r w:rsidR="00954006">
        <w:rPr>
          <w:lang w:val="en-US"/>
        </w:rPr>
        <w:t xml:space="preserve">5 inserting </w:t>
      </w:r>
      <w:r w:rsidR="00954006" w:rsidRPr="004C0144">
        <w:rPr>
          <w:lang w:val="en-US"/>
        </w:rPr>
        <w:t xml:space="preserve">the </w:t>
      </w:r>
      <w:r w:rsidR="00954006" w:rsidRPr="00390B49">
        <w:rPr>
          <w:lang w:val="en-US"/>
        </w:rPr>
        <w:t>words “Vehicle or container with” at the s</w:t>
      </w:r>
      <w:r w:rsidR="00954006">
        <w:rPr>
          <w:lang w:val="en-US"/>
        </w:rPr>
        <w:t xml:space="preserve">tart of sub paragraphs (c), (d) and (e): </w:t>
      </w:r>
    </w:p>
    <w:p w14:paraId="65C8E425" w14:textId="77777777" w:rsidR="00954006" w:rsidRDefault="00954006" w:rsidP="00F77224">
      <w:pPr>
        <w:ind w:left="1701" w:right="1134"/>
        <w:jc w:val="both"/>
      </w:pPr>
      <w:bookmarkStart w:id="0" w:name="_GoBack"/>
      <w:bookmarkEnd w:id="0"/>
      <w:r>
        <w:t xml:space="preserve">“Suitable methods for preventing the control temperature being exceeded are, in order of increasing control capability: </w:t>
      </w:r>
    </w:p>
    <w:p w14:paraId="66E53A7A" w14:textId="3B237C4F" w:rsidR="00954006" w:rsidRDefault="00954006" w:rsidP="00F77224">
      <w:pPr>
        <w:spacing w:before="120"/>
        <w:ind w:left="2268" w:right="1134"/>
        <w:jc w:val="both"/>
      </w:pPr>
      <w:r>
        <w:t>(a)</w:t>
      </w:r>
      <w:r w:rsidR="00F77224">
        <w:tab/>
      </w:r>
      <w:r>
        <w:t xml:space="preserve">Thermal insulation provided that the initial temperature of the substance(s) to be carried is sufficiently below the control temperature; </w:t>
      </w:r>
    </w:p>
    <w:p w14:paraId="03014EC3" w14:textId="4F876262" w:rsidR="00954006" w:rsidRDefault="00954006" w:rsidP="00F77224">
      <w:pPr>
        <w:spacing w:before="120"/>
        <w:ind w:left="2268" w:right="1134"/>
        <w:jc w:val="both"/>
      </w:pPr>
      <w:r>
        <w:t>(b)</w:t>
      </w:r>
      <w:r w:rsidR="00F77224">
        <w:tab/>
      </w:r>
      <w:r>
        <w:t xml:space="preserve">Thermal insulation with coolant system provided that: </w:t>
      </w:r>
    </w:p>
    <w:p w14:paraId="64374CA7" w14:textId="0F5C3DBB" w:rsidR="00954006" w:rsidRDefault="00954006" w:rsidP="00F77224">
      <w:pPr>
        <w:spacing w:before="120"/>
        <w:ind w:left="2835" w:right="1134"/>
        <w:jc w:val="both"/>
      </w:pPr>
      <w:r>
        <w:t>(i)</w:t>
      </w:r>
      <w:r w:rsidR="00F77224">
        <w:tab/>
      </w:r>
      <w:r>
        <w:t xml:space="preserve">An adequate quantity of non-flammable coolant (e.g. liquid nitrogen or solid carbon dioxide), allowing a reasonable margin for delay, is carried or a means of replenishment is assured; </w:t>
      </w:r>
    </w:p>
    <w:p w14:paraId="38849D41" w14:textId="321A2D90" w:rsidR="00954006" w:rsidRDefault="00954006" w:rsidP="00F77224">
      <w:pPr>
        <w:spacing w:before="120"/>
        <w:ind w:left="2835" w:right="1134"/>
        <w:jc w:val="both"/>
      </w:pPr>
      <w:r>
        <w:t>(ii)</w:t>
      </w:r>
      <w:r w:rsidR="00F77224">
        <w:tab/>
      </w:r>
      <w:r>
        <w:t xml:space="preserve">Liquid oxygen or air is not used as coolant; </w:t>
      </w:r>
    </w:p>
    <w:p w14:paraId="52919763" w14:textId="50BA48D0" w:rsidR="00954006" w:rsidRDefault="00954006" w:rsidP="00F77224">
      <w:pPr>
        <w:spacing w:before="120"/>
        <w:ind w:left="2835" w:right="1134"/>
        <w:jc w:val="both"/>
      </w:pPr>
      <w:r>
        <w:t>(iii)</w:t>
      </w:r>
      <w:r w:rsidR="00F77224">
        <w:tab/>
      </w:r>
      <w:r>
        <w:t xml:space="preserve">There is a uniform cooling effect even when most of the coolant has been consumed; and </w:t>
      </w:r>
    </w:p>
    <w:p w14:paraId="36698376" w14:textId="243FBA39" w:rsidR="00954006" w:rsidRDefault="00954006" w:rsidP="00F77224">
      <w:pPr>
        <w:spacing w:before="120"/>
        <w:ind w:left="2835" w:right="1134"/>
        <w:jc w:val="both"/>
      </w:pPr>
      <w:r>
        <w:t>(iv)</w:t>
      </w:r>
      <w:r w:rsidR="00F77224">
        <w:tab/>
      </w:r>
      <w:r>
        <w:t xml:space="preserve">The need to ventilate the transport unit before entering is clearly indicated by a warning on the door(s) of the transport unit; </w:t>
      </w:r>
    </w:p>
    <w:p w14:paraId="08E51F2F" w14:textId="61E74668" w:rsidR="00954006" w:rsidRDefault="00954006" w:rsidP="00F77224">
      <w:pPr>
        <w:spacing w:before="120"/>
        <w:ind w:left="2268" w:right="1134"/>
        <w:jc w:val="both"/>
      </w:pPr>
      <w:r>
        <w:t>(c)</w:t>
      </w:r>
      <w:r w:rsidR="00F77224">
        <w:tab/>
      </w:r>
      <w:r>
        <w:rPr>
          <w:b/>
          <w:u w:val="single"/>
        </w:rPr>
        <w:t>Vehicle or container with t</w:t>
      </w:r>
      <w:r w:rsidRPr="00390B49">
        <w:rPr>
          <w:strike/>
        </w:rPr>
        <w:t>T</w:t>
      </w:r>
      <w:r>
        <w:t xml:space="preserve">hermal insulation and single mechanical refrigeration provided that for substance(s) to be carried with a flash point lower than the sum of the emergency temperature plus 5 °C explosion-proof electrical fittings, EEx IIB T3 are used within the cooling compartment to prevent ignition of flammable vapours from the substances; </w:t>
      </w:r>
    </w:p>
    <w:p w14:paraId="58EA1554" w14:textId="08615E75" w:rsidR="00954006" w:rsidRDefault="00954006" w:rsidP="00F77224">
      <w:pPr>
        <w:spacing w:before="120"/>
        <w:ind w:left="2268" w:right="1134"/>
        <w:jc w:val="both"/>
      </w:pPr>
      <w:r>
        <w:t>(d)</w:t>
      </w:r>
      <w:r w:rsidR="00F77224">
        <w:tab/>
      </w:r>
      <w:r>
        <w:rPr>
          <w:b/>
          <w:u w:val="single"/>
        </w:rPr>
        <w:t>Vehicle or container with t</w:t>
      </w:r>
      <w:r w:rsidRPr="00390B49">
        <w:rPr>
          <w:strike/>
        </w:rPr>
        <w:t>T</w:t>
      </w:r>
      <w:r>
        <w:t xml:space="preserve">hermal insulation and combined mechanical refrigeration system with coolant system; provided that: </w:t>
      </w:r>
    </w:p>
    <w:p w14:paraId="27412DC1" w14:textId="0B8F0E70" w:rsidR="00954006" w:rsidRDefault="00954006" w:rsidP="00F77224">
      <w:pPr>
        <w:spacing w:before="120"/>
        <w:ind w:left="2835" w:right="1134"/>
        <w:jc w:val="both"/>
      </w:pPr>
      <w:r>
        <w:t>(i)</w:t>
      </w:r>
      <w:r w:rsidR="00F77224">
        <w:tab/>
      </w:r>
      <w:r>
        <w:t xml:space="preserve">The two systems are independent of one another; </w:t>
      </w:r>
    </w:p>
    <w:p w14:paraId="0A8510B8" w14:textId="43A54298" w:rsidR="00954006" w:rsidRDefault="00954006" w:rsidP="00F77224">
      <w:pPr>
        <w:spacing w:before="120"/>
        <w:ind w:left="2835" w:right="1134"/>
        <w:jc w:val="both"/>
      </w:pPr>
      <w:r>
        <w:t>(ii)</w:t>
      </w:r>
      <w:r w:rsidR="00184068">
        <w:tab/>
      </w:r>
      <w:r>
        <w:t xml:space="preserve">The provisions in (b) and (c) are complied with; </w:t>
      </w:r>
    </w:p>
    <w:p w14:paraId="2DDF20E3" w14:textId="1CB20803" w:rsidR="00954006" w:rsidRDefault="00954006" w:rsidP="00F77224">
      <w:pPr>
        <w:spacing w:before="120"/>
        <w:ind w:left="2268" w:right="1134"/>
        <w:jc w:val="both"/>
      </w:pPr>
      <w:r>
        <w:t>(e)</w:t>
      </w:r>
      <w:r w:rsidR="00184068">
        <w:tab/>
      </w:r>
      <w:r>
        <w:rPr>
          <w:b/>
          <w:u w:val="single"/>
        </w:rPr>
        <w:t>Vehicle or container with t</w:t>
      </w:r>
      <w:r w:rsidRPr="00390B49">
        <w:rPr>
          <w:strike/>
        </w:rPr>
        <w:t>T</w:t>
      </w:r>
      <w:r>
        <w:t xml:space="preserve">hermal insulation and dual mechanical refrigeration system; provided that: </w:t>
      </w:r>
    </w:p>
    <w:p w14:paraId="63FD6739" w14:textId="5559DE86" w:rsidR="00954006" w:rsidRDefault="00954006" w:rsidP="00F77224">
      <w:pPr>
        <w:spacing w:before="120"/>
        <w:ind w:left="2835" w:right="1134"/>
        <w:jc w:val="both"/>
      </w:pPr>
      <w:r>
        <w:t>(i)</w:t>
      </w:r>
      <w:r w:rsidR="00184068">
        <w:tab/>
      </w:r>
      <w:r>
        <w:t xml:space="preserve">Apart from the integral power supply unit, the two systems are independent of one another; </w:t>
      </w:r>
    </w:p>
    <w:p w14:paraId="0B6DEFD8" w14:textId="59397478" w:rsidR="00954006" w:rsidRDefault="00954006" w:rsidP="00F77224">
      <w:pPr>
        <w:spacing w:before="120"/>
        <w:ind w:left="2835" w:right="1134"/>
        <w:jc w:val="both"/>
      </w:pPr>
      <w:r>
        <w:t>(ii)</w:t>
      </w:r>
      <w:r w:rsidR="00184068">
        <w:tab/>
      </w:r>
      <w:r>
        <w:t xml:space="preserve">Each system alone is capable of maintaining adequate temperature control; and </w:t>
      </w:r>
    </w:p>
    <w:p w14:paraId="1396E7CB" w14:textId="60D5F291" w:rsidR="00954006" w:rsidRDefault="00954006" w:rsidP="00F77224">
      <w:pPr>
        <w:spacing w:before="120"/>
        <w:ind w:left="2835" w:right="1134"/>
        <w:jc w:val="both"/>
      </w:pPr>
      <w:r>
        <w:t>(iii)</w:t>
      </w:r>
      <w:r w:rsidR="00184068">
        <w:tab/>
      </w:r>
      <w:r>
        <w:t>For substance(s) to be carried with a flash point lower than the sum of the emergency temperature plus 5 °C explosion-proof electrical fittings, EEx IIB T3, are used within the cooling compartment to prevent ignition of flammable vapours from the substances.”</w:t>
      </w:r>
    </w:p>
    <w:p w14:paraId="0AC7A063" w14:textId="2760A52C" w:rsidR="00184068" w:rsidRPr="00184068" w:rsidRDefault="00184068" w:rsidP="0018406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4068" w:rsidRPr="00184068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3D4" w14:textId="77777777" w:rsidR="00655695" w:rsidRDefault="00655695"/>
  </w:endnote>
  <w:endnote w:type="continuationSeparator" w:id="0">
    <w:p w14:paraId="46DF0BAE" w14:textId="77777777" w:rsidR="00655695" w:rsidRDefault="00655695"/>
  </w:endnote>
  <w:endnote w:type="continuationNotice" w:id="1">
    <w:p w14:paraId="430A49A2" w14:textId="77777777" w:rsidR="00655695" w:rsidRDefault="00655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66CE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8D6D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3BE8" w14:textId="77777777" w:rsidR="00655695" w:rsidRPr="000B175B" w:rsidRDefault="0065569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B060BC" w14:textId="77777777" w:rsidR="00655695" w:rsidRPr="00FC68B7" w:rsidRDefault="0065569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36EF15" w14:textId="77777777" w:rsidR="00655695" w:rsidRDefault="00655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4F66" w14:textId="4589476D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F77224">
      <w:rPr>
        <w:lang w:val="fr-CH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31D9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1390" w14:textId="7738A318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243711">
      <w:rPr>
        <w:sz w:val="28"/>
        <w:szCs w:val="28"/>
        <w:lang w:val="fr-CH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41F2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84068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3711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113C"/>
    <w:rsid w:val="00504B2D"/>
    <w:rsid w:val="0052136D"/>
    <w:rsid w:val="00522680"/>
    <w:rsid w:val="0052775E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55695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4C17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851CB"/>
    <w:rsid w:val="007931F7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271F"/>
    <w:rsid w:val="008C2ACB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4006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6B04"/>
    <w:rsid w:val="009E076B"/>
    <w:rsid w:val="009E5596"/>
    <w:rsid w:val="009E7286"/>
    <w:rsid w:val="00A00697"/>
    <w:rsid w:val="00A00A3F"/>
    <w:rsid w:val="00A01489"/>
    <w:rsid w:val="00A046A3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77224"/>
    <w:rsid w:val="00F8066F"/>
    <w:rsid w:val="00F87036"/>
    <w:rsid w:val="00F93781"/>
    <w:rsid w:val="00F95073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90A10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uiPriority w:val="99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H1GChar">
    <w:name w:val="_ H_1_G Char"/>
    <w:link w:val="H1G"/>
    <w:uiPriority w:val="99"/>
    <w:rsid w:val="0095400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607F-4881-4D75-8561-270C49337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D7C8A-26A7-4C07-9933-FF181EC07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EF28B-5C83-4D5A-8484-18020852B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6388C-90AC-441A-B7E5-02D00C0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6</cp:revision>
  <cp:lastPrinted>2018-05-09T09:23:00Z</cp:lastPrinted>
  <dcterms:created xsi:type="dcterms:W3CDTF">2020-11-03T14:02:00Z</dcterms:created>
  <dcterms:modified xsi:type="dcterms:W3CDTF">2020-11-03T14:10:00Z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12754200</vt:r8>
  </property>
</Properties>
</file>