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4768CC" w14:paraId="56F665EB" w14:textId="77777777" w:rsidTr="00FA63B2">
        <w:trPr>
          <w:cantSplit/>
          <w:trHeight w:hRule="exact" w:val="851"/>
        </w:trPr>
        <w:tc>
          <w:tcPr>
            <w:tcW w:w="9072" w:type="dxa"/>
            <w:tcBorders>
              <w:bottom w:val="single" w:sz="4" w:space="0" w:color="auto"/>
            </w:tcBorders>
            <w:vAlign w:val="bottom"/>
          </w:tcPr>
          <w:p w14:paraId="5DBDD738" w14:textId="2765C888" w:rsidR="00717408" w:rsidRPr="004768CC" w:rsidRDefault="00FA63B2" w:rsidP="00D660CB">
            <w:pPr>
              <w:jc w:val="right"/>
              <w:rPr>
                <w:b/>
                <w:sz w:val="40"/>
                <w:szCs w:val="40"/>
              </w:rPr>
            </w:pPr>
            <w:bookmarkStart w:id="0" w:name="_Hlk54004357"/>
            <w:r w:rsidRPr="004768CC">
              <w:rPr>
                <w:b/>
                <w:sz w:val="40"/>
                <w:szCs w:val="40"/>
              </w:rPr>
              <w:t>UN/SCEGHS/</w:t>
            </w:r>
            <w:r w:rsidR="000B6ACF" w:rsidRPr="004768CC">
              <w:rPr>
                <w:b/>
                <w:sz w:val="40"/>
                <w:szCs w:val="40"/>
              </w:rPr>
              <w:t>39</w:t>
            </w:r>
            <w:r w:rsidRPr="004768CC">
              <w:rPr>
                <w:b/>
                <w:sz w:val="40"/>
                <w:szCs w:val="40"/>
              </w:rPr>
              <w:t>/INF.</w:t>
            </w:r>
            <w:r w:rsidR="0041217C">
              <w:rPr>
                <w:b/>
                <w:sz w:val="40"/>
                <w:szCs w:val="40"/>
              </w:rPr>
              <w:t>22</w:t>
            </w:r>
            <w:bookmarkEnd w:id="0"/>
          </w:p>
        </w:tc>
      </w:tr>
      <w:tr w:rsidR="00717408" w14:paraId="5A401C9D" w14:textId="77777777" w:rsidTr="00FA63B2">
        <w:trPr>
          <w:cantSplit/>
          <w:trHeight w:hRule="exact" w:val="3114"/>
        </w:trPr>
        <w:tc>
          <w:tcPr>
            <w:tcW w:w="9072" w:type="dxa"/>
            <w:tcBorders>
              <w:top w:val="single" w:sz="4" w:space="0" w:color="auto"/>
            </w:tcBorders>
          </w:tcPr>
          <w:p w14:paraId="45B0DBC3" w14:textId="77777777" w:rsidR="00717408" w:rsidRPr="00AD0D70" w:rsidRDefault="00717408" w:rsidP="00FA63B2">
            <w:pPr>
              <w:spacing w:before="120"/>
              <w:rPr>
                <w:b/>
                <w:sz w:val="24"/>
                <w:szCs w:val="24"/>
              </w:rPr>
            </w:pPr>
            <w:r w:rsidRPr="00AD0D70">
              <w:rPr>
                <w:b/>
                <w:sz w:val="24"/>
                <w:szCs w:val="24"/>
              </w:rPr>
              <w:t>Committee of Experts on the Transport of Dangerous Goods</w:t>
            </w:r>
            <w:r w:rsidRPr="00AD0D70">
              <w:rPr>
                <w:b/>
                <w:sz w:val="24"/>
                <w:szCs w:val="24"/>
              </w:rPr>
              <w:br/>
              <w:t>and on the Globally Harmonized System of Classification</w:t>
            </w:r>
            <w:r w:rsidRPr="00AD0D70">
              <w:rPr>
                <w:b/>
                <w:sz w:val="24"/>
                <w:szCs w:val="24"/>
              </w:rPr>
              <w:br/>
              <w:t>and Labelling of Chemicals</w:t>
            </w:r>
          </w:p>
          <w:p w14:paraId="2CEB9731" w14:textId="0813B4CE" w:rsidR="00717408" w:rsidRPr="00AD0D70" w:rsidRDefault="00FA63B2" w:rsidP="00E60B62">
            <w:pPr>
              <w:tabs>
                <w:tab w:val="right" w:pos="9072"/>
              </w:tabs>
              <w:spacing w:before="120"/>
            </w:pPr>
            <w:r w:rsidRPr="00AD0D70">
              <w:rPr>
                <w:b/>
                <w:lang w:val="en-US"/>
              </w:rPr>
              <w:t>Sub-Committee of Experts on the Globally Harmonized</w:t>
            </w:r>
            <w:r w:rsidRPr="00AD0D70">
              <w:rPr>
                <w:b/>
                <w:lang w:val="en-US"/>
              </w:rPr>
              <w:br/>
              <w:t>System of Classification and Labelling of Chemicals</w:t>
            </w:r>
            <w:r w:rsidRPr="00AD0D70">
              <w:t xml:space="preserve"> </w:t>
            </w:r>
            <w:r w:rsidR="00717408" w:rsidRPr="00AD0D70">
              <w:tab/>
            </w:r>
            <w:r w:rsidR="00D76CC6" w:rsidRPr="0041217C">
              <w:rPr>
                <w:b/>
                <w:bCs/>
              </w:rPr>
              <w:t>0</w:t>
            </w:r>
            <w:r w:rsidR="002C129C" w:rsidRPr="0041217C">
              <w:rPr>
                <w:b/>
                <w:bCs/>
              </w:rPr>
              <w:t>6</w:t>
            </w:r>
            <w:r w:rsidR="00D76CC6" w:rsidRPr="0041217C">
              <w:rPr>
                <w:b/>
                <w:bCs/>
              </w:rPr>
              <w:t xml:space="preserve"> November</w:t>
            </w:r>
            <w:r w:rsidR="00EF6381" w:rsidRPr="0041217C">
              <w:rPr>
                <w:b/>
                <w:bCs/>
              </w:rPr>
              <w:t xml:space="preserve"> </w:t>
            </w:r>
            <w:r w:rsidR="000B6ACF" w:rsidRPr="0041217C">
              <w:rPr>
                <w:b/>
                <w:bCs/>
              </w:rPr>
              <w:t>2020</w:t>
            </w:r>
          </w:p>
          <w:p w14:paraId="6513F3FD" w14:textId="77777777" w:rsidR="000B6ACF" w:rsidRPr="00AD0D70" w:rsidRDefault="000B6ACF" w:rsidP="000B6ACF">
            <w:pPr>
              <w:spacing w:before="120"/>
              <w:rPr>
                <w:b/>
              </w:rPr>
            </w:pPr>
            <w:bookmarkStart w:id="1" w:name="_Hlk35441056"/>
            <w:r w:rsidRPr="00AD0D70">
              <w:rPr>
                <w:b/>
              </w:rPr>
              <w:t>Thirty-ninth session</w:t>
            </w:r>
          </w:p>
          <w:bookmarkEnd w:id="1"/>
          <w:p w14:paraId="49840BCC" w14:textId="0F1A0060" w:rsidR="000B6ACF" w:rsidRPr="00AD0D70" w:rsidRDefault="000B6ACF" w:rsidP="000B6ACF">
            <w:r w:rsidRPr="00AD0D70">
              <w:t xml:space="preserve">Geneva, </w:t>
            </w:r>
            <w:r w:rsidR="00E60B62">
              <w:t>9</w:t>
            </w:r>
            <w:r w:rsidRPr="00AD0D70">
              <w:t>-1</w:t>
            </w:r>
            <w:r w:rsidR="00E60B62">
              <w:t>1</w:t>
            </w:r>
            <w:r w:rsidRPr="00AD0D70">
              <w:t xml:space="preserve"> </w:t>
            </w:r>
            <w:r w:rsidR="00E60B62">
              <w:t>December</w:t>
            </w:r>
            <w:r w:rsidRPr="00AD0D70">
              <w:t xml:space="preserve"> 2020 </w:t>
            </w:r>
          </w:p>
          <w:p w14:paraId="1C41EB2C" w14:textId="081B6191" w:rsidR="00EF6381" w:rsidRDefault="00EF6381" w:rsidP="00EF6381">
            <w:r>
              <w:t xml:space="preserve">Item </w:t>
            </w:r>
            <w:r w:rsidR="00E60B62">
              <w:t>3</w:t>
            </w:r>
            <w:r>
              <w:t xml:space="preserve"> (</w:t>
            </w:r>
            <w:r w:rsidR="00E60B62">
              <w:t>b</w:t>
            </w:r>
            <w:r>
              <w:t>) of the provisional agenda</w:t>
            </w:r>
          </w:p>
          <w:p w14:paraId="27E7A884" w14:textId="307CB98F" w:rsidR="00EF6381" w:rsidRDefault="00E60B62" w:rsidP="00EF6381">
            <w:pPr>
              <w:rPr>
                <w:b/>
                <w:bCs/>
              </w:rPr>
            </w:pPr>
            <w:r w:rsidRPr="00E60B62">
              <w:rPr>
                <w:b/>
                <w:bCs/>
              </w:rPr>
              <w:t>Classification criteria and related hazard communication</w:t>
            </w:r>
            <w:r>
              <w:rPr>
                <w:b/>
                <w:bCs/>
              </w:rPr>
              <w:t>:</w:t>
            </w:r>
            <w:r>
              <w:rPr>
                <w:b/>
                <w:bCs/>
              </w:rPr>
              <w:br/>
            </w:r>
            <w:r w:rsidR="0041217C">
              <w:rPr>
                <w:b/>
                <w:bCs/>
              </w:rPr>
              <w:t>r</w:t>
            </w:r>
            <w:r>
              <w:rPr>
                <w:b/>
                <w:bCs/>
              </w:rPr>
              <w:t>eview of Chapter 2.1</w:t>
            </w:r>
          </w:p>
          <w:p w14:paraId="7893D430" w14:textId="552C36DF" w:rsidR="00717408" w:rsidRDefault="00717408" w:rsidP="000B6ACF">
            <w:pPr>
              <w:spacing w:line="240" w:lineRule="exact"/>
            </w:pPr>
          </w:p>
        </w:tc>
      </w:tr>
    </w:tbl>
    <w:p w14:paraId="68969185" w14:textId="6C01A5F3" w:rsidR="004768CC" w:rsidRPr="00EF6381" w:rsidRDefault="00760F29" w:rsidP="004768CC">
      <w:pPr>
        <w:pStyle w:val="HChG"/>
      </w:pPr>
      <w:r w:rsidRPr="009E7ABD">
        <w:rPr>
          <w:rFonts w:eastAsia="MS Mincho"/>
          <w:lang w:val="en-US" w:eastAsia="ja-JP"/>
        </w:rPr>
        <w:tab/>
      </w:r>
      <w:r>
        <w:rPr>
          <w:rFonts w:eastAsia="MS Mincho"/>
          <w:lang w:val="en-US" w:eastAsia="ja-JP"/>
        </w:rPr>
        <w:tab/>
      </w:r>
      <w:r w:rsidR="005B7F28">
        <w:rPr>
          <w:rFonts w:eastAsia="MS Mincho"/>
          <w:lang w:val="en-US" w:eastAsia="ja-JP"/>
        </w:rPr>
        <w:t>A</w:t>
      </w:r>
      <w:r w:rsidR="00E60B62">
        <w:rPr>
          <w:rFonts w:eastAsia="MS Mincho"/>
          <w:lang w:val="en-US" w:eastAsia="ja-JP"/>
        </w:rPr>
        <w:t xml:space="preserve">mendments </w:t>
      </w:r>
      <w:r w:rsidR="005B7F28">
        <w:rPr>
          <w:rFonts w:eastAsia="MS Mincho"/>
          <w:lang w:val="en-US" w:eastAsia="ja-JP"/>
        </w:rPr>
        <w:t>to</w:t>
      </w:r>
      <w:r w:rsidR="00E60B62">
        <w:rPr>
          <w:rFonts w:eastAsia="MS Mincho"/>
          <w:lang w:val="en-US" w:eastAsia="ja-JP"/>
        </w:rPr>
        <w:t xml:space="preserve"> the decision logics for explosives </w:t>
      </w:r>
      <w:r w:rsidR="005B7F28">
        <w:rPr>
          <w:rFonts w:eastAsia="MS Mincho"/>
          <w:lang w:val="en-US" w:eastAsia="ja-JP"/>
        </w:rPr>
        <w:t xml:space="preserve">in Chapter 2.1 as proposed in </w:t>
      </w:r>
      <w:r w:rsidR="005B7F28" w:rsidRPr="005B7F28">
        <w:rPr>
          <w:rFonts w:eastAsia="MS Mincho"/>
          <w:lang w:val="en-US" w:eastAsia="ja-JP"/>
        </w:rPr>
        <w:t>ST/SG/AC.10/C.4/2020/18</w:t>
      </w:r>
    </w:p>
    <w:p w14:paraId="73597707" w14:textId="25894045" w:rsidR="004768CC" w:rsidRDefault="004768CC" w:rsidP="004768CC">
      <w:pPr>
        <w:pStyle w:val="H1G"/>
      </w:pPr>
      <w:r>
        <w:tab/>
      </w:r>
      <w:r>
        <w:tab/>
      </w:r>
      <w:r w:rsidR="009F772D">
        <w:t>Transmitted by the expert from Germany</w:t>
      </w:r>
    </w:p>
    <w:p w14:paraId="03467960" w14:textId="0A6F6A07" w:rsidR="005B7F28" w:rsidRDefault="006E06F4" w:rsidP="006E06F4">
      <w:pPr>
        <w:pStyle w:val="SingleTxtG"/>
      </w:pPr>
      <w:r>
        <w:t>1.</w:t>
      </w:r>
      <w:r>
        <w:tab/>
      </w:r>
      <w:r w:rsidR="00710C2E">
        <w:t xml:space="preserve">The expert from Germany would like to thank the expert from Sweden </w:t>
      </w:r>
      <w:r w:rsidR="002C129C">
        <w:t xml:space="preserve">for the good work on chapter 2.1 and for having finalized also </w:t>
      </w:r>
      <w:r w:rsidR="00710C2E">
        <w:t xml:space="preserve">the working document for the decision logics in chapter 2.1 in time. </w:t>
      </w:r>
      <w:r w:rsidR="005B7F28">
        <w:t>According to our evaluation the decision logics as proposed in working document ST/SG/AC.10/C.4/2020/18</w:t>
      </w:r>
      <w:r w:rsidR="00F551CC">
        <w:rPr>
          <w:rStyle w:val="FootnoteReference"/>
        </w:rPr>
        <w:footnoteReference w:id="1"/>
      </w:r>
      <w:r w:rsidR="005B7F28">
        <w:t xml:space="preserve"> are correctly reflecting the criteria. However, we would like to propose two (small) changes to the decision logics 2.1 (a) and (b) concerning the order of </w:t>
      </w:r>
      <w:r w:rsidR="00E14A90">
        <w:t>two</w:t>
      </w:r>
      <w:r w:rsidR="002C129C">
        <w:t xml:space="preserve"> </w:t>
      </w:r>
      <w:r w:rsidR="005B7F28">
        <w:t>boxes</w:t>
      </w:r>
      <w:r w:rsidR="00E14A90">
        <w:t>, respectively</w:t>
      </w:r>
      <w:r w:rsidR="005B7F28">
        <w:t>.</w:t>
      </w:r>
    </w:p>
    <w:p w14:paraId="41AB0043" w14:textId="5072A739" w:rsidR="005B7F28" w:rsidRDefault="005B7F28" w:rsidP="005B7F28">
      <w:pPr>
        <w:pStyle w:val="H1G"/>
      </w:pPr>
      <w:r>
        <w:tab/>
      </w:r>
      <w:r>
        <w:tab/>
      </w:r>
      <w:r>
        <w:tab/>
      </w:r>
      <w:r w:rsidRPr="005B7F28">
        <w:rPr>
          <w:rFonts w:eastAsia="SimSun"/>
          <w:lang w:val="en-US" w:eastAsia="zh-CN"/>
        </w:rPr>
        <w:t>Decision logic 2.1 (a): Order of boxes 2B and 3B</w:t>
      </w:r>
    </w:p>
    <w:p w14:paraId="5A9D3777" w14:textId="56D6DB60" w:rsidR="00710C2E" w:rsidRDefault="005B7F28" w:rsidP="007A5114">
      <w:pPr>
        <w:pStyle w:val="SingleTxtG"/>
      </w:pPr>
      <w:r>
        <w:tab/>
      </w:r>
      <w:r w:rsidR="007A5114">
        <w:t>2.</w:t>
      </w:r>
      <w:r w:rsidR="007A5114">
        <w:tab/>
      </w:r>
      <w:r w:rsidR="00710C2E">
        <w:t>W</w:t>
      </w:r>
      <w:r>
        <w:t xml:space="preserve">e propose to switch the order of the boxes 2B and 3B in decision logic 2.1 (a) as shown in </w:t>
      </w:r>
      <w:r w:rsidR="00A829F9">
        <w:t xml:space="preserve">the decision logic in </w:t>
      </w:r>
      <w:r w:rsidR="00643FEE">
        <w:t xml:space="preserve">paragraph </w:t>
      </w:r>
      <w:r w:rsidR="002227DA">
        <w:t>5</w:t>
      </w:r>
      <w:r w:rsidR="002C129C">
        <w:t xml:space="preserve"> below</w:t>
      </w:r>
      <w:r>
        <w:t>.</w:t>
      </w:r>
    </w:p>
    <w:p w14:paraId="746F54AA" w14:textId="3649CFA1" w:rsidR="00710C2E" w:rsidRDefault="007A5114" w:rsidP="007A5114">
      <w:pPr>
        <w:pStyle w:val="SingleTxtG"/>
      </w:pPr>
      <w:r>
        <w:tab/>
        <w:t>3.</w:t>
      </w:r>
      <w:r w:rsidR="00710C2E">
        <w:tab/>
      </w:r>
      <w:r w:rsidR="005B7F28">
        <w:t xml:space="preserve">The advantage would </w:t>
      </w:r>
      <w:r w:rsidR="00710C2E">
        <w:t>be</w:t>
      </w:r>
      <w:r w:rsidR="00A829F9">
        <w:t>:</w:t>
      </w:r>
    </w:p>
    <w:p w14:paraId="06892FCA" w14:textId="27F6EFBD" w:rsidR="00710C2E" w:rsidRDefault="007A5114" w:rsidP="007A5114">
      <w:pPr>
        <w:pStyle w:val="SingleTxtG"/>
        <w:ind w:left="1701"/>
      </w:pPr>
      <w:r>
        <w:tab/>
        <w:t>(a)</w:t>
      </w:r>
      <w:r>
        <w:tab/>
      </w:r>
      <w:r w:rsidR="00710C2E">
        <w:t xml:space="preserve">The </w:t>
      </w:r>
      <w:r w:rsidR="002227DA">
        <w:t xml:space="preserve">order of the </w:t>
      </w:r>
      <w:r w:rsidR="00710C2E">
        <w:t>boxes</w:t>
      </w:r>
      <w:r w:rsidR="00A829F9">
        <w:t xml:space="preserve"> </w:t>
      </w:r>
      <w:r w:rsidR="00710C2E">
        <w:t>would be in line with the order of the criteria in the criteria table (see Annex II of ST/SG/AC.10/C.3/2020/20/Add.1</w:t>
      </w:r>
      <w:r w:rsidR="002227DA">
        <w:t>‒</w:t>
      </w:r>
      <w:r w:rsidR="00710C2E">
        <w:t>ST/SG/AC.10/C.4/2020/5/Add.1).</w:t>
      </w:r>
    </w:p>
    <w:p w14:paraId="5835E082" w14:textId="0443B2EA" w:rsidR="005B7F28" w:rsidRDefault="007A5114" w:rsidP="007A5114">
      <w:pPr>
        <w:pStyle w:val="SingleTxtG"/>
        <w:ind w:left="1701"/>
      </w:pPr>
      <w:r>
        <w:tab/>
        <w:t>(b)</w:t>
      </w:r>
      <w:r>
        <w:tab/>
      </w:r>
      <w:r w:rsidR="00710C2E">
        <w:t>Th</w:t>
      </w:r>
      <w:r w:rsidR="002227DA">
        <w:t xml:space="preserve">e more general </w:t>
      </w:r>
      <w:r w:rsidR="005B7F28">
        <w:t xml:space="preserve">question </w:t>
      </w:r>
      <w:r w:rsidR="002227DA">
        <w:t xml:space="preserve">that </w:t>
      </w:r>
      <w:r w:rsidR="005B7F28">
        <w:t xml:space="preserve">concerns </w:t>
      </w:r>
      <w:r w:rsidR="002C129C">
        <w:t>also</w:t>
      </w:r>
      <w:r w:rsidR="00A829F9">
        <w:t xml:space="preserve"> </w:t>
      </w:r>
      <w:r w:rsidR="005B7F28">
        <w:t>substances</w:t>
      </w:r>
      <w:r w:rsidR="00A829F9">
        <w:t xml:space="preserve"> and</w:t>
      </w:r>
      <w:r w:rsidR="005B7F28">
        <w:t xml:space="preserve"> mixtures </w:t>
      </w:r>
      <w:r w:rsidR="00710C2E">
        <w:t xml:space="preserve">would be asked </w:t>
      </w:r>
      <w:r w:rsidR="002C129C">
        <w:t>before the specific one relating only to articles</w:t>
      </w:r>
      <w:r w:rsidR="00710C2E">
        <w:t xml:space="preserve">. The current order could be confusing because the reader might not understand (immediately) that </w:t>
      </w:r>
      <w:r w:rsidR="00643FEE">
        <w:t xml:space="preserve">the question </w:t>
      </w:r>
      <w:r w:rsidR="00A829F9">
        <w:t xml:space="preserve">in </w:t>
      </w:r>
      <w:r w:rsidR="00E14A90">
        <w:t>b</w:t>
      </w:r>
      <w:r w:rsidR="00A829F9">
        <w:t xml:space="preserve">ox 3B </w:t>
      </w:r>
      <w:r w:rsidR="00643FEE">
        <w:t xml:space="preserve">in </w:t>
      </w:r>
      <w:r w:rsidR="002227DA" w:rsidRPr="005B7F28">
        <w:rPr>
          <w:rFonts w:eastAsia="MS Mincho"/>
          <w:lang w:val="en-US" w:eastAsia="ja-JP"/>
        </w:rPr>
        <w:t>ST/SG/AC.10/C.4/2020/18</w:t>
      </w:r>
      <w:r w:rsidR="002227DA">
        <w:rPr>
          <w:rFonts w:eastAsia="MS Mincho"/>
          <w:lang w:val="en-US" w:eastAsia="ja-JP"/>
        </w:rPr>
        <w:t xml:space="preserve"> </w:t>
      </w:r>
      <w:r w:rsidR="00643FEE">
        <w:t>refers not only to articles but to substances and mixtures as well</w:t>
      </w:r>
      <w:r w:rsidR="002227DA">
        <w:t xml:space="preserve"> because it </w:t>
      </w:r>
      <w:r w:rsidR="00AC365D">
        <w:t>comes</w:t>
      </w:r>
      <w:r w:rsidR="002227DA">
        <w:t xml:space="preserve"> after a box that </w:t>
      </w:r>
      <w:r w:rsidR="00643FEE">
        <w:t>relates to some special articles only.</w:t>
      </w:r>
    </w:p>
    <w:p w14:paraId="42857982" w14:textId="623347EC" w:rsidR="00643FEE" w:rsidRDefault="007A5114" w:rsidP="007A5114">
      <w:pPr>
        <w:pStyle w:val="SingleTxtG"/>
      </w:pPr>
      <w:r>
        <w:tab/>
        <w:t>4.</w:t>
      </w:r>
      <w:r w:rsidR="00643FEE">
        <w:tab/>
        <w:t xml:space="preserve">In order to avoid possible confusion about articles that do not have a primary packaging, it is proposed to slightly amend the wording in box </w:t>
      </w:r>
      <w:r w:rsidR="00A829F9">
        <w:t>2B’ (shown in the decision logic</w:t>
      </w:r>
      <w:r w:rsidR="00AC365D">
        <w:t xml:space="preserve"> in paragraph 5 below</w:t>
      </w:r>
      <w:r w:rsidR="00A829F9">
        <w:t xml:space="preserve">) and in </w:t>
      </w:r>
      <w:r w:rsidR="00643FEE">
        <w:t>3B’ as follows:</w:t>
      </w:r>
    </w:p>
    <w:p w14:paraId="568EDC0A" w14:textId="4B49F1E0" w:rsidR="00643FEE" w:rsidRDefault="005577A5" w:rsidP="005577A5">
      <w:pPr>
        <w:pStyle w:val="SingleTxtG"/>
        <w:ind w:left="1701"/>
      </w:pPr>
      <w:r>
        <w:tab/>
        <w:t>(a)</w:t>
      </w:r>
      <w:r>
        <w:tab/>
      </w:r>
      <w:r w:rsidR="00B50220">
        <w:t>Current wording</w:t>
      </w:r>
      <w:r w:rsidR="00A829F9">
        <w:t xml:space="preserve"> in 2B</w:t>
      </w:r>
      <w:r w:rsidR="00B50220">
        <w:t>: “</w:t>
      </w:r>
      <w:r w:rsidR="00643FEE">
        <w:t>Is it an explosive article assigned to a division without a primary packaging or in a primary packaging</w:t>
      </w:r>
      <w:r w:rsidR="00B50220">
        <w:t xml:space="preserve"> that does not attenuate the explosive effect?”</w:t>
      </w:r>
    </w:p>
    <w:p w14:paraId="38FDE1B0" w14:textId="37E41485" w:rsidR="00B50220" w:rsidRDefault="005577A5" w:rsidP="005577A5">
      <w:pPr>
        <w:pStyle w:val="SingleTxtG"/>
        <w:ind w:left="1701"/>
      </w:pPr>
      <w:r>
        <w:tab/>
        <w:t>(b)</w:t>
      </w:r>
      <w:r>
        <w:tab/>
      </w:r>
      <w:r w:rsidR="00B50220">
        <w:t xml:space="preserve">Proposed wording </w:t>
      </w:r>
      <w:r w:rsidR="00A829F9">
        <w:t xml:space="preserve">for 3B’: </w:t>
      </w:r>
      <w:r w:rsidR="00B50220">
        <w:t>“</w:t>
      </w:r>
      <w:r w:rsidR="00B50220" w:rsidRPr="00B50220">
        <w:t xml:space="preserve">Is it an explosive article </w:t>
      </w:r>
      <w:r w:rsidR="00B50220">
        <w:t xml:space="preserve">where the division has been assigned </w:t>
      </w:r>
      <w:r w:rsidR="00B50220" w:rsidRPr="00B50220">
        <w:t>(</w:t>
      </w:r>
      <w:proofErr w:type="spellStart"/>
      <w:r w:rsidR="00B50220" w:rsidRPr="00B50220">
        <w:t>i</w:t>
      </w:r>
      <w:proofErr w:type="spellEnd"/>
      <w:r w:rsidR="00B50220" w:rsidRPr="00B50220">
        <w:t>) in a primary packaging that does not attenuate the explosive effect or (ii) without a primary packaging?</w:t>
      </w:r>
      <w:r w:rsidR="00B50220">
        <w:t>”</w:t>
      </w:r>
    </w:p>
    <w:p w14:paraId="30FA8AA8" w14:textId="09F64DCE" w:rsidR="00B50220" w:rsidRDefault="00B50220" w:rsidP="004648F9">
      <w:pPr>
        <w:pStyle w:val="SingleTxtG"/>
      </w:pPr>
      <w:r>
        <w:lastRenderedPageBreak/>
        <w:t xml:space="preserve">The proposed wording </w:t>
      </w:r>
      <w:r w:rsidR="002227DA">
        <w:t>aims at clarifying</w:t>
      </w:r>
      <w:r>
        <w:t xml:space="preserve"> that</w:t>
      </w:r>
      <w:r w:rsidR="0079253D">
        <w:t xml:space="preserve">, </w:t>
      </w:r>
      <w:r>
        <w:t>for the answer to this question</w:t>
      </w:r>
      <w:r w:rsidR="0079253D">
        <w:t>,</w:t>
      </w:r>
      <w:r>
        <w:t xml:space="preserve"> it is not rel</w:t>
      </w:r>
      <w:r w:rsidR="004648F9">
        <w:t>e</w:t>
      </w:r>
      <w:r>
        <w:t xml:space="preserve">vant whether the article </w:t>
      </w:r>
      <w:proofErr w:type="gramStart"/>
      <w:r w:rsidR="004648F9">
        <w:t>actually is</w:t>
      </w:r>
      <w:proofErr w:type="gramEnd"/>
      <w:r w:rsidR="004648F9">
        <w:t xml:space="preserve"> in a primary packaging. The primary packaging is considered only </w:t>
      </w:r>
      <w:proofErr w:type="gramStart"/>
      <w:r w:rsidR="0079253D">
        <w:t>with regard to</w:t>
      </w:r>
      <w:proofErr w:type="gramEnd"/>
      <w:r w:rsidR="0079253D">
        <w:t xml:space="preserve"> </w:t>
      </w:r>
      <w:r w:rsidR="004648F9">
        <w:t>its role in the division assignment.</w:t>
      </w:r>
    </w:p>
    <w:p w14:paraId="5827F16D" w14:textId="67A6753C" w:rsidR="004648F9" w:rsidRDefault="00CE0742" w:rsidP="00CE0742">
      <w:pPr>
        <w:pStyle w:val="SingleTxtG"/>
      </w:pPr>
      <w:r>
        <w:tab/>
        <w:t>5.</w:t>
      </w:r>
      <w:r>
        <w:tab/>
      </w:r>
      <w:r w:rsidR="004648F9">
        <w:t>The amended decision logic 2.1 (a) is shown in the following:</w:t>
      </w:r>
    </w:p>
    <w:p w14:paraId="25F2C7BA" w14:textId="5CC35888" w:rsidR="005B7F28" w:rsidRPr="00B62B16" w:rsidRDefault="004F528D" w:rsidP="005B7F28">
      <w:pPr>
        <w:pStyle w:val="SingleTxtG"/>
        <w:kinsoku w:val="0"/>
        <w:overflowPunct w:val="0"/>
        <w:autoSpaceDE w:val="0"/>
        <w:autoSpaceDN w:val="0"/>
        <w:adjustRightInd w:val="0"/>
        <w:snapToGrid w:val="0"/>
        <w:rPr>
          <w:lang w:val="de-DE"/>
        </w:rPr>
      </w:pPr>
      <w:r>
        <w:object w:dxaOrig="8043" w:dyaOrig="7119" w14:anchorId="3542BF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57pt" o:ole="">
            <v:imagedata r:id="rId11" o:title=""/>
          </v:shape>
          <o:OLEObject Type="Embed" ProgID="Visio.Drawing.15" ShapeID="_x0000_i1025" DrawAspect="Content" ObjectID="_1666181839" r:id="rId12"/>
        </w:object>
      </w:r>
    </w:p>
    <w:p w14:paraId="6DE4DEA5" w14:textId="00857A03" w:rsidR="005B7F28" w:rsidRPr="00B62B16" w:rsidRDefault="005B7F28" w:rsidP="005B7F28">
      <w:pPr>
        <w:pStyle w:val="SingleTxtG"/>
        <w:kinsoku w:val="0"/>
        <w:overflowPunct w:val="0"/>
        <w:autoSpaceDE w:val="0"/>
        <w:autoSpaceDN w:val="0"/>
        <w:adjustRightInd w:val="0"/>
        <w:snapToGrid w:val="0"/>
        <w:rPr>
          <w:lang w:val="de-DE"/>
        </w:rPr>
      </w:pPr>
    </w:p>
    <w:p w14:paraId="003E4300" w14:textId="3E037AEB" w:rsidR="005B7F28" w:rsidRDefault="005B7F28" w:rsidP="005B7F28">
      <w:pPr>
        <w:pStyle w:val="H1G"/>
      </w:pPr>
      <w:r w:rsidRPr="00B62B16">
        <w:rPr>
          <w:lang w:val="de-DE"/>
        </w:rPr>
        <w:tab/>
      </w:r>
      <w:r w:rsidRPr="00B62B16">
        <w:rPr>
          <w:lang w:val="de-DE"/>
        </w:rPr>
        <w:tab/>
      </w:r>
      <w:r w:rsidRPr="00B62B16">
        <w:rPr>
          <w:lang w:val="de-DE"/>
        </w:rPr>
        <w:tab/>
      </w:r>
      <w:r>
        <w:t>Decision logic 2.1 (b): Order of the boxes 4A and 5A</w:t>
      </w:r>
    </w:p>
    <w:p w14:paraId="4E00673D" w14:textId="6F434430" w:rsidR="00E94E82" w:rsidRDefault="005E535E" w:rsidP="005E535E">
      <w:pPr>
        <w:pStyle w:val="SingleTxtG"/>
      </w:pPr>
      <w:r>
        <w:t>6.</w:t>
      </w:r>
      <w:r>
        <w:tab/>
      </w:r>
      <w:r w:rsidR="00E94E82">
        <w:t xml:space="preserve">We propose to switch the order of the boxes </w:t>
      </w:r>
      <w:r w:rsidR="00AC365D">
        <w:t>4A</w:t>
      </w:r>
      <w:r w:rsidR="00E94E82">
        <w:t xml:space="preserve"> and </w:t>
      </w:r>
      <w:r w:rsidR="00AC365D">
        <w:t>5A</w:t>
      </w:r>
      <w:r w:rsidR="00E94E82">
        <w:t xml:space="preserve"> in decision logic 2.1 (</w:t>
      </w:r>
      <w:r w:rsidR="00A829F9">
        <w:t>b</w:t>
      </w:r>
      <w:r w:rsidR="00E94E82">
        <w:t xml:space="preserve">) as shown in paragraph </w:t>
      </w:r>
      <w:r w:rsidR="00755D6F">
        <w:t>10</w:t>
      </w:r>
      <w:r w:rsidR="00AC365D">
        <w:t xml:space="preserve"> below</w:t>
      </w:r>
      <w:r w:rsidR="00E94E82">
        <w:t>.</w:t>
      </w:r>
    </w:p>
    <w:p w14:paraId="6F9D0F91" w14:textId="6788A601" w:rsidR="005B7F28" w:rsidRDefault="005E535E" w:rsidP="005E535E">
      <w:pPr>
        <w:pStyle w:val="SingleTxtG"/>
      </w:pPr>
      <w:r>
        <w:tab/>
        <w:t>7.</w:t>
      </w:r>
      <w:r>
        <w:tab/>
      </w:r>
      <w:r w:rsidR="009D2752">
        <w:t>Th</w:t>
      </w:r>
      <w:r w:rsidR="00931EBA">
        <w:t>is would have the following advantage</w:t>
      </w:r>
      <w:r w:rsidR="009D2752">
        <w:t>:</w:t>
      </w:r>
      <w:r w:rsidR="00931EBA">
        <w:t xml:space="preserve"> </w:t>
      </w:r>
      <w:r w:rsidR="005B7F28">
        <w:t xml:space="preserve">It is easier to decide whether attenuating features of the packaging are present than to find out whether there was a high hazard event in test 6 (a) or 6 (b) (which </w:t>
      </w:r>
      <w:r w:rsidR="00AC365D">
        <w:t>appears to</w:t>
      </w:r>
      <w:r w:rsidR="005B7F28">
        <w:t xml:space="preserve"> require digging out old test reports). Thus, we think that the question about attenuating features should be asked first. If they are present, it is not necessary to look at test 6 results for the purposes of sub-category assignment at all.</w:t>
      </w:r>
    </w:p>
    <w:p w14:paraId="776B3332" w14:textId="67210A78" w:rsidR="005B7F28" w:rsidRDefault="005E535E" w:rsidP="005E535E">
      <w:pPr>
        <w:pStyle w:val="SingleTxtG"/>
      </w:pPr>
      <w:r>
        <w:tab/>
        <w:t>8.</w:t>
      </w:r>
      <w:r>
        <w:tab/>
      </w:r>
      <w:r w:rsidR="005B7F28">
        <w:t>In order to avoid reference to test 6 (a) or 6 (b) in the new box 4A</w:t>
      </w:r>
      <w:r w:rsidR="00E14A90">
        <w:t>’</w:t>
      </w:r>
      <w:r w:rsidR="00755D6F">
        <w:t xml:space="preserve"> (because it then is before the box on test 6 (a) and (b)</w:t>
      </w:r>
      <w:r w:rsidR="00AC365D">
        <w:t>)</w:t>
      </w:r>
      <w:r w:rsidR="005B7F28">
        <w:t xml:space="preserve">, we also propose a slight rewording of that box, as shown in </w:t>
      </w:r>
      <w:r w:rsidR="00AC365D">
        <w:t>paragraph 9 below</w:t>
      </w:r>
      <w:r w:rsidR="005B7F28">
        <w:t>.</w:t>
      </w:r>
      <w:r w:rsidR="009D2752">
        <w:t xml:space="preserve"> The wording then would also be in line with the one in box 3B’ in the above decision logic and thus also with the wording proposed in </w:t>
      </w:r>
      <w:r w:rsidR="009D2752" w:rsidRPr="005B7F28">
        <w:rPr>
          <w:rFonts w:eastAsia="MS Mincho"/>
          <w:lang w:val="en-US" w:eastAsia="ja-JP"/>
        </w:rPr>
        <w:t>ST/SG/AC.10/C.4/2020/18</w:t>
      </w:r>
      <w:r w:rsidR="005C7DA2">
        <w:rPr>
          <w:rFonts w:eastAsia="MS Mincho"/>
          <w:lang w:val="en-US" w:eastAsia="ja-JP"/>
        </w:rPr>
        <w:t xml:space="preserve"> (see </w:t>
      </w:r>
      <w:r w:rsidR="005C7DA2">
        <w:t>box 2B of decision logic 2.1 (a)</w:t>
      </w:r>
      <w:r w:rsidR="00AA1847">
        <w:t xml:space="preserve"> in that document</w:t>
      </w:r>
      <w:r w:rsidR="005C7DA2">
        <w:t>)</w:t>
      </w:r>
      <w:r w:rsidR="009D2752">
        <w:rPr>
          <w:rFonts w:eastAsia="MS Mincho"/>
          <w:lang w:val="en-US" w:eastAsia="ja-JP"/>
        </w:rPr>
        <w:t>.</w:t>
      </w:r>
      <w:r w:rsidR="00931EBA">
        <w:rPr>
          <w:rFonts w:eastAsia="MS Mincho"/>
          <w:lang w:val="en-US" w:eastAsia="ja-JP"/>
        </w:rPr>
        <w:t xml:space="preserve"> </w:t>
      </w:r>
      <w:r w:rsidR="005C7DA2">
        <w:rPr>
          <w:rFonts w:eastAsia="MS Mincho"/>
          <w:lang w:val="en-US" w:eastAsia="ja-JP"/>
        </w:rPr>
        <w:t>In decision logic 2.1 (a)</w:t>
      </w:r>
      <w:r w:rsidR="00931EBA">
        <w:rPr>
          <w:rFonts w:eastAsia="MS Mincho"/>
          <w:lang w:val="en-US" w:eastAsia="ja-JP"/>
        </w:rPr>
        <w:t xml:space="preserve"> the packaging is supposed to be assessed with regard to attenuation of explosive effects (which can be assesse</w:t>
      </w:r>
      <w:r w:rsidR="00C770F2">
        <w:rPr>
          <w:rFonts w:eastAsia="MS Mincho"/>
          <w:lang w:val="en-US" w:eastAsia="ja-JP"/>
        </w:rPr>
        <w:t>d</w:t>
      </w:r>
      <w:r w:rsidR="00931EBA">
        <w:rPr>
          <w:rFonts w:eastAsia="MS Mincho"/>
          <w:lang w:val="en-US" w:eastAsia="ja-JP"/>
        </w:rPr>
        <w:t xml:space="preserve"> based on expert judgement) but not with regard to the specific potential to mitigate a high hazard event in test 6 (a) or (b) (which </w:t>
      </w:r>
      <w:r w:rsidR="00C770F2">
        <w:rPr>
          <w:rFonts w:eastAsia="MS Mincho"/>
          <w:lang w:val="en-US" w:eastAsia="ja-JP"/>
        </w:rPr>
        <w:t xml:space="preserve">rather </w:t>
      </w:r>
      <w:r w:rsidR="00931EBA">
        <w:rPr>
          <w:rFonts w:eastAsia="MS Mincho"/>
          <w:lang w:val="en-US" w:eastAsia="ja-JP"/>
        </w:rPr>
        <w:t>would be guess work).</w:t>
      </w:r>
      <w:bookmarkStart w:id="2" w:name="_GoBack"/>
      <w:bookmarkEnd w:id="2"/>
    </w:p>
    <w:p w14:paraId="05E75F8D" w14:textId="77777777" w:rsidR="00DD1704" w:rsidRDefault="00DD1704">
      <w:pPr>
        <w:suppressAutoHyphens w:val="0"/>
        <w:spacing w:line="240" w:lineRule="auto"/>
      </w:pPr>
      <w:r>
        <w:br w:type="page"/>
      </w:r>
    </w:p>
    <w:p w14:paraId="7FC46A9C" w14:textId="306DF89D" w:rsidR="00C770F2" w:rsidRDefault="005E535E" w:rsidP="005E535E">
      <w:pPr>
        <w:pStyle w:val="SingleTxtG"/>
      </w:pPr>
      <w:r>
        <w:t>9.</w:t>
      </w:r>
      <w:r>
        <w:tab/>
      </w:r>
      <w:r w:rsidR="00C770F2">
        <w:t xml:space="preserve">The wording in </w:t>
      </w:r>
      <w:r w:rsidR="006C208E">
        <w:t xml:space="preserve">box 4A’ </w:t>
      </w:r>
      <w:r w:rsidR="00C770F2">
        <w:t>thus is proposed to be amended as follows:</w:t>
      </w:r>
    </w:p>
    <w:p w14:paraId="2D3ACF2B" w14:textId="23ED3E9C" w:rsidR="00C770F2" w:rsidRDefault="005E535E" w:rsidP="005E535E">
      <w:pPr>
        <w:pStyle w:val="SingleTxtG"/>
        <w:ind w:left="1701"/>
      </w:pPr>
      <w:r>
        <w:tab/>
        <w:t>(a)</w:t>
      </w:r>
      <w:r>
        <w:tab/>
      </w:r>
      <w:r w:rsidR="00C770F2">
        <w:t>Current wording in 5A: “Is a high hazard event mitigated by attenuating features, other than which may be provided by a primary packaging?”</w:t>
      </w:r>
    </w:p>
    <w:p w14:paraId="442A7F0F" w14:textId="27D42742" w:rsidR="00C770F2" w:rsidRDefault="005E535E" w:rsidP="005E535E">
      <w:pPr>
        <w:pStyle w:val="SingleTxtG"/>
        <w:ind w:left="1701"/>
      </w:pPr>
      <w:r>
        <w:tab/>
        <w:t>(b)</w:t>
      </w:r>
      <w:r>
        <w:tab/>
      </w:r>
      <w:r w:rsidR="00C770F2">
        <w:t>Proposed wording for 4</w:t>
      </w:r>
      <w:r w:rsidR="006C208E">
        <w:t>A</w:t>
      </w:r>
      <w:r w:rsidR="00C770F2">
        <w:t>’: “</w:t>
      </w:r>
      <w:r w:rsidR="00BF10BD" w:rsidRPr="00BF10BD">
        <w:t>Are explosive effects mitigated by attenuating features, other than those which may be provided by a primary packaging?</w:t>
      </w:r>
      <w:r w:rsidR="00C770F2">
        <w:t>”</w:t>
      </w:r>
    </w:p>
    <w:p w14:paraId="6698079D" w14:textId="746A9800" w:rsidR="005B7F28" w:rsidRDefault="005E535E" w:rsidP="005E535E">
      <w:pPr>
        <w:pStyle w:val="SingleTxtG"/>
      </w:pPr>
      <w:r>
        <w:tab/>
      </w:r>
      <w:r w:rsidR="00327F99">
        <w:t>10.</w:t>
      </w:r>
      <w:r w:rsidR="00CA58F1" w:rsidRPr="00CA58F1">
        <w:tab/>
        <w:t>The amended decision logic 2.1 (</w:t>
      </w:r>
      <w:r w:rsidR="00CA58F1">
        <w:t>b</w:t>
      </w:r>
      <w:r w:rsidR="00CA58F1" w:rsidRPr="00CA58F1">
        <w:t>) is shown in the following:</w:t>
      </w:r>
    </w:p>
    <w:p w14:paraId="747E3C8C" w14:textId="58060B7D" w:rsidR="00CA58F1" w:rsidRDefault="004F528D" w:rsidP="00CA58F1">
      <w:pPr>
        <w:pStyle w:val="SingleTxtG"/>
        <w:kinsoku w:val="0"/>
        <w:overflowPunct w:val="0"/>
        <w:autoSpaceDE w:val="0"/>
        <w:autoSpaceDN w:val="0"/>
        <w:adjustRightInd w:val="0"/>
        <w:snapToGrid w:val="0"/>
      </w:pPr>
      <w:r>
        <w:object w:dxaOrig="5815" w:dyaOrig="8613" w14:anchorId="3152FECF">
          <v:shape id="_x0000_i1026" type="#_x0000_t75" style="width:291pt;height:430.5pt" o:ole="">
            <v:imagedata r:id="rId13" o:title=""/>
          </v:shape>
          <o:OLEObject Type="Embed" ProgID="Visio.Drawing.15" ShapeID="_x0000_i1026" DrawAspect="Content" ObjectID="_1666181840" r:id="rId14"/>
        </w:object>
      </w:r>
    </w:p>
    <w:p w14:paraId="64FE35B7" w14:textId="475B022F" w:rsidR="00CA58F1" w:rsidRDefault="00327F99" w:rsidP="00327F99">
      <w:pPr>
        <w:pStyle w:val="SingleTxtG"/>
      </w:pPr>
      <w:r>
        <w:tab/>
        <w:t>11.</w:t>
      </w:r>
      <w:r>
        <w:tab/>
      </w:r>
      <w:r w:rsidR="00755D6F">
        <w:t xml:space="preserve">We are aware that experts </w:t>
      </w:r>
      <w:r w:rsidR="00CA58F1">
        <w:t xml:space="preserve">in </w:t>
      </w:r>
      <w:r w:rsidR="00BF10BD">
        <w:t xml:space="preserve">the field of </w:t>
      </w:r>
      <w:r w:rsidR="00CA58F1">
        <w:t xml:space="preserve">explosives classification </w:t>
      </w:r>
      <w:r w:rsidR="00755D6F">
        <w:t>might/</w:t>
      </w:r>
      <w:r w:rsidR="00CA58F1">
        <w:t>would follow th</w:t>
      </w:r>
      <w:r w:rsidR="00AA48BE">
        <w:t>e proposed</w:t>
      </w:r>
      <w:r w:rsidR="00CA58F1">
        <w:t xml:space="preserve"> order anyway </w:t>
      </w:r>
      <w:r w:rsidR="00755D6F">
        <w:t>and thus it could</w:t>
      </w:r>
      <w:r w:rsidR="00CA58F1">
        <w:t xml:space="preserve"> be argued that a change of the decision logic to reflect that would be not necessary</w:t>
      </w:r>
      <w:r w:rsidR="00755D6F">
        <w:t>. However,</w:t>
      </w:r>
      <w:r w:rsidR="00CA58F1">
        <w:t xml:space="preserve"> we think it is important to reflect best practice as good as possible also in the decision logics. The GHS addresses not only experts but is supposed t</w:t>
      </w:r>
      <w:r w:rsidR="00AA48BE">
        <w:t>o serve also countries/jurisdictions who do not have (yet) sophisticated classification systems and are in the process of building the respective expertise.</w:t>
      </w:r>
    </w:p>
    <w:p w14:paraId="7168F503" w14:textId="446FD685" w:rsidR="005B7F28" w:rsidRDefault="005B7F28" w:rsidP="005B7F28">
      <w:pPr>
        <w:pStyle w:val="H1G"/>
      </w:pPr>
      <w:r>
        <w:tab/>
      </w:r>
      <w:r>
        <w:tab/>
        <w:t>“Consequential” amendment to the order of the respective criteria</w:t>
      </w:r>
    </w:p>
    <w:p w14:paraId="628C7244" w14:textId="1E27EC84" w:rsidR="005B7F28" w:rsidRDefault="00327F99" w:rsidP="00327F99">
      <w:pPr>
        <w:pStyle w:val="SingleTxtG"/>
      </w:pPr>
      <w:r>
        <w:tab/>
        <w:t>12.</w:t>
      </w:r>
      <w:r>
        <w:tab/>
      </w:r>
      <w:r w:rsidR="005B7F28">
        <w:t xml:space="preserve">Furthermore, we propose to switch the order of the respective criteria in the same way as proposed for decision logic 2.1 (b). Strictly speaking, this would not be necessary because the respective criteria </w:t>
      </w:r>
      <w:proofErr w:type="gramStart"/>
      <w:r w:rsidR="005B7F28">
        <w:t>are connected with</w:t>
      </w:r>
      <w:proofErr w:type="gramEnd"/>
      <w:r w:rsidR="005B7F28">
        <w:t xml:space="preserve"> an “and” and all conditions have to be fulfilled equally</w:t>
      </w:r>
      <w:r w:rsidR="00BF10BD">
        <w:t>. B</w:t>
      </w:r>
      <w:r w:rsidR="005B7F28">
        <w:t>ut for the sake of consistency, it would be preferable to have the same order in the criteria table as in the decision logic. The result would be as shown in the following (only the relevant lines for category 2 of the table in Annex II to working document ST/SG/AC.10/C.3/2020/20/Add.1−ST/SG/AC.10/C.4/2020/5/Add.1 are shown):</w:t>
      </w:r>
    </w:p>
    <w:tbl>
      <w:tblPr>
        <w:tblStyle w:val="Tabellrutnt1"/>
        <w:tblW w:w="0" w:type="auto"/>
        <w:jc w:val="center"/>
        <w:tblInd w:w="0" w:type="dxa"/>
        <w:tblCellMar>
          <w:top w:w="57" w:type="dxa"/>
          <w:left w:w="57" w:type="dxa"/>
          <w:bottom w:w="57" w:type="dxa"/>
          <w:right w:w="57" w:type="dxa"/>
        </w:tblCellMar>
        <w:tblLook w:val="04A0" w:firstRow="1" w:lastRow="0" w:firstColumn="1" w:lastColumn="0" w:noHBand="0" w:noVBand="1"/>
      </w:tblPr>
      <w:tblGrid>
        <w:gridCol w:w="903"/>
        <w:gridCol w:w="850"/>
        <w:gridCol w:w="5949"/>
      </w:tblGrid>
      <w:tr w:rsidR="00AA48BE" w:rsidRPr="00AA48BE" w14:paraId="64D41C34" w14:textId="77777777" w:rsidTr="00AA48BE">
        <w:trPr>
          <w:cantSplit/>
          <w:jc w:val="center"/>
        </w:trPr>
        <w:tc>
          <w:tcPr>
            <w:tcW w:w="903" w:type="dxa"/>
            <w:vMerge w:val="restart"/>
            <w:tcBorders>
              <w:top w:val="single" w:sz="4" w:space="0" w:color="auto"/>
              <w:left w:val="single" w:sz="4" w:space="0" w:color="auto"/>
              <w:bottom w:val="single" w:sz="4" w:space="0" w:color="auto"/>
              <w:right w:val="single" w:sz="4" w:space="0" w:color="auto"/>
            </w:tcBorders>
            <w:hideMark/>
          </w:tcPr>
          <w:p w14:paraId="7D887DD2" w14:textId="77777777" w:rsidR="00AA48BE" w:rsidRPr="00AA48BE" w:rsidRDefault="00AA48BE" w:rsidP="00AA48BE">
            <w:pPr>
              <w:kinsoku w:val="0"/>
              <w:overflowPunct w:val="0"/>
              <w:autoSpaceDE w:val="0"/>
              <w:autoSpaceDN w:val="0"/>
              <w:adjustRightInd w:val="0"/>
              <w:snapToGrid w:val="0"/>
              <w:jc w:val="center"/>
              <w:rPr>
                <w:rFonts w:ascii="Times New Roman" w:eastAsia="Garamond" w:hAnsi="Times New Roman"/>
                <w:b/>
                <w:sz w:val="20"/>
              </w:rPr>
            </w:pPr>
            <w:r w:rsidRPr="00AA48BE">
              <w:rPr>
                <w:rFonts w:ascii="Times New Roman" w:eastAsia="Garamond" w:hAnsi="Times New Roman"/>
                <w:b/>
                <w:sz w:val="20"/>
              </w:rPr>
              <w:t>2</w:t>
            </w:r>
          </w:p>
        </w:tc>
        <w:tc>
          <w:tcPr>
            <w:tcW w:w="850" w:type="dxa"/>
            <w:tcBorders>
              <w:top w:val="single" w:sz="4" w:space="0" w:color="auto"/>
              <w:left w:val="single" w:sz="4" w:space="0" w:color="auto"/>
              <w:bottom w:val="single" w:sz="4" w:space="0" w:color="auto"/>
              <w:right w:val="single" w:sz="4" w:space="0" w:color="auto"/>
            </w:tcBorders>
            <w:hideMark/>
          </w:tcPr>
          <w:p w14:paraId="784FD32D" w14:textId="77777777" w:rsidR="00AA48BE" w:rsidRPr="00AA48BE" w:rsidRDefault="00AA48BE" w:rsidP="00AA48BE">
            <w:pPr>
              <w:kinsoku w:val="0"/>
              <w:overflowPunct w:val="0"/>
              <w:autoSpaceDE w:val="0"/>
              <w:autoSpaceDN w:val="0"/>
              <w:adjustRightInd w:val="0"/>
              <w:snapToGrid w:val="0"/>
              <w:jc w:val="center"/>
              <w:rPr>
                <w:rFonts w:ascii="Times New Roman" w:eastAsia="Garamond" w:hAnsi="Times New Roman"/>
                <w:b/>
                <w:sz w:val="20"/>
              </w:rPr>
            </w:pPr>
            <w:r w:rsidRPr="00AA48BE">
              <w:rPr>
                <w:rFonts w:ascii="Times New Roman" w:eastAsia="Garamond" w:hAnsi="Times New Roman"/>
                <w:b/>
                <w:sz w:val="20"/>
              </w:rPr>
              <w:t>2A</w:t>
            </w:r>
          </w:p>
        </w:tc>
        <w:tc>
          <w:tcPr>
            <w:tcW w:w="5949" w:type="dxa"/>
            <w:tcBorders>
              <w:top w:val="single" w:sz="4" w:space="0" w:color="auto"/>
              <w:left w:val="single" w:sz="4" w:space="0" w:color="auto"/>
              <w:bottom w:val="single" w:sz="4" w:space="0" w:color="auto"/>
              <w:right w:val="single" w:sz="4" w:space="0" w:color="auto"/>
            </w:tcBorders>
          </w:tcPr>
          <w:p w14:paraId="29656926" w14:textId="77777777" w:rsidR="00AA48BE" w:rsidRPr="00AA48BE" w:rsidRDefault="00AA48BE" w:rsidP="00AA48BE">
            <w:pPr>
              <w:tabs>
                <w:tab w:val="left" w:pos="196"/>
                <w:tab w:val="left" w:pos="466"/>
              </w:tabs>
              <w:kinsoku w:val="0"/>
              <w:overflowPunct w:val="0"/>
              <w:autoSpaceDE w:val="0"/>
              <w:autoSpaceDN w:val="0"/>
              <w:adjustRightInd w:val="0"/>
              <w:snapToGrid w:val="0"/>
              <w:rPr>
                <w:rFonts w:ascii="Times New Roman" w:eastAsia="Garamond" w:hAnsi="Times New Roman"/>
                <w:sz w:val="20"/>
              </w:rPr>
            </w:pPr>
            <w:r w:rsidRPr="00AA48BE">
              <w:rPr>
                <w:rFonts w:ascii="Times New Roman" w:eastAsia="Garamond" w:hAnsi="Times New Roman"/>
                <w:sz w:val="20"/>
              </w:rPr>
              <w:t>Explosive substances, mixtures and articles which have been assigned</w:t>
            </w:r>
            <w:r w:rsidRPr="00AA48BE">
              <w:rPr>
                <w:rFonts w:ascii="Times New Roman" w:eastAsia="Garamond" w:hAnsi="Times New Roman"/>
                <w:sz w:val="20"/>
              </w:rPr>
              <w:br/>
              <w:t xml:space="preserve">(a) </w:t>
            </w:r>
            <w:r w:rsidRPr="00AA48BE">
              <w:rPr>
                <w:rFonts w:ascii="Times New Roman" w:eastAsia="Garamond" w:hAnsi="Times New Roman"/>
                <w:sz w:val="20"/>
              </w:rPr>
              <w:tab/>
              <w:t>Division 1.1, 1.2, 1.3, 1.5 or 1.6; or</w:t>
            </w:r>
          </w:p>
          <w:p w14:paraId="327F9DC3" w14:textId="77777777" w:rsidR="00AA48BE" w:rsidRPr="00AA48BE" w:rsidRDefault="00AA48BE" w:rsidP="00AA48BE">
            <w:pPr>
              <w:tabs>
                <w:tab w:val="left" w:pos="196"/>
              </w:tabs>
              <w:kinsoku w:val="0"/>
              <w:overflowPunct w:val="0"/>
              <w:autoSpaceDE w:val="0"/>
              <w:autoSpaceDN w:val="0"/>
              <w:adjustRightInd w:val="0"/>
              <w:snapToGrid w:val="0"/>
              <w:ind w:left="463" w:hanging="463"/>
              <w:rPr>
                <w:rFonts w:ascii="Times New Roman" w:eastAsia="Garamond" w:hAnsi="Times New Roman"/>
                <w:sz w:val="20"/>
              </w:rPr>
            </w:pPr>
            <w:r w:rsidRPr="00AA48BE">
              <w:rPr>
                <w:rFonts w:ascii="Times New Roman" w:eastAsia="Garamond" w:hAnsi="Times New Roman"/>
                <w:sz w:val="20"/>
              </w:rPr>
              <w:t xml:space="preserve">(b) </w:t>
            </w:r>
            <w:r w:rsidRPr="00AA48BE">
              <w:rPr>
                <w:rFonts w:ascii="Times New Roman" w:eastAsia="Garamond" w:hAnsi="Times New Roman"/>
                <w:sz w:val="20"/>
              </w:rPr>
              <w:tab/>
              <w:t>Division 1.4 and are not meeting the criteria for sub-category 2B or 2C.</w:t>
            </w:r>
            <w:r w:rsidRPr="00AA48BE">
              <w:rPr>
                <w:rFonts w:ascii="Times New Roman" w:eastAsia="Garamond" w:hAnsi="Times New Roman"/>
                <w:i/>
                <w:iCs/>
                <w:sz w:val="20"/>
                <w:vertAlign w:val="superscript"/>
              </w:rPr>
              <w:t>b</w:t>
            </w:r>
            <w:r w:rsidRPr="00AA48BE">
              <w:rPr>
                <w:rFonts w:ascii="Times New Roman" w:eastAsia="Garamond" w:hAnsi="Times New Roman"/>
                <w:i/>
                <w:iCs/>
                <w:sz w:val="20"/>
              </w:rPr>
              <w:t xml:space="preserve"> </w:t>
            </w:r>
          </w:p>
        </w:tc>
      </w:tr>
      <w:tr w:rsidR="00AA48BE" w:rsidRPr="00AA48BE" w14:paraId="564EDF24" w14:textId="77777777" w:rsidTr="00AA48BE">
        <w:trPr>
          <w:cantSplit/>
          <w:jc w:val="center"/>
        </w:trPr>
        <w:tc>
          <w:tcPr>
            <w:tcW w:w="0" w:type="auto"/>
            <w:vMerge/>
            <w:tcBorders>
              <w:top w:val="single" w:sz="4" w:space="0" w:color="auto"/>
              <w:left w:val="single" w:sz="4" w:space="0" w:color="auto"/>
              <w:bottom w:val="single" w:sz="4" w:space="0" w:color="auto"/>
              <w:right w:val="single" w:sz="4" w:space="0" w:color="auto"/>
            </w:tcBorders>
            <w:hideMark/>
          </w:tcPr>
          <w:p w14:paraId="384AD2FA" w14:textId="77777777" w:rsidR="00AA48BE" w:rsidRPr="00AA48BE" w:rsidRDefault="00AA48BE" w:rsidP="00AA48BE">
            <w:pPr>
              <w:suppressAutoHyphens w:val="0"/>
              <w:kinsoku w:val="0"/>
              <w:overflowPunct w:val="0"/>
              <w:autoSpaceDE w:val="0"/>
              <w:autoSpaceDN w:val="0"/>
              <w:adjustRightInd w:val="0"/>
              <w:snapToGrid w:val="0"/>
              <w:spacing w:line="256" w:lineRule="auto"/>
              <w:rPr>
                <w:rFonts w:ascii="Times New Roman" w:eastAsia="Garamond" w:hAnsi="Times New Roman"/>
                <w:b/>
                <w:sz w:val="20"/>
              </w:rPr>
            </w:pPr>
          </w:p>
        </w:tc>
        <w:tc>
          <w:tcPr>
            <w:tcW w:w="850" w:type="dxa"/>
            <w:tcBorders>
              <w:top w:val="single" w:sz="4" w:space="0" w:color="auto"/>
              <w:left w:val="single" w:sz="4" w:space="0" w:color="auto"/>
              <w:bottom w:val="single" w:sz="4" w:space="0" w:color="auto"/>
              <w:right w:val="single" w:sz="4" w:space="0" w:color="auto"/>
            </w:tcBorders>
            <w:hideMark/>
          </w:tcPr>
          <w:p w14:paraId="298CA3BA" w14:textId="77777777" w:rsidR="00AA48BE" w:rsidRPr="00AA48BE" w:rsidRDefault="00AA48BE" w:rsidP="00AA48BE">
            <w:pPr>
              <w:kinsoku w:val="0"/>
              <w:overflowPunct w:val="0"/>
              <w:autoSpaceDE w:val="0"/>
              <w:autoSpaceDN w:val="0"/>
              <w:adjustRightInd w:val="0"/>
              <w:snapToGrid w:val="0"/>
              <w:jc w:val="center"/>
              <w:rPr>
                <w:rFonts w:ascii="Times New Roman" w:eastAsia="Garamond" w:hAnsi="Times New Roman"/>
                <w:b/>
                <w:sz w:val="20"/>
              </w:rPr>
            </w:pPr>
            <w:r w:rsidRPr="00AA48BE">
              <w:rPr>
                <w:rFonts w:ascii="Times New Roman" w:eastAsia="Garamond" w:hAnsi="Times New Roman"/>
                <w:b/>
                <w:sz w:val="20"/>
              </w:rPr>
              <w:t>2B</w:t>
            </w:r>
          </w:p>
        </w:tc>
        <w:tc>
          <w:tcPr>
            <w:tcW w:w="5949" w:type="dxa"/>
            <w:tcBorders>
              <w:top w:val="single" w:sz="4" w:space="0" w:color="auto"/>
              <w:left w:val="single" w:sz="4" w:space="0" w:color="auto"/>
              <w:bottom w:val="single" w:sz="4" w:space="0" w:color="auto"/>
              <w:right w:val="single" w:sz="4" w:space="0" w:color="auto"/>
            </w:tcBorders>
            <w:hideMark/>
          </w:tcPr>
          <w:p w14:paraId="1371E76C" w14:textId="77777777" w:rsidR="00AA48BE" w:rsidRPr="00AA48BE" w:rsidRDefault="00AA48BE" w:rsidP="00AA48BE">
            <w:pPr>
              <w:suppressAutoHyphens w:val="0"/>
              <w:kinsoku w:val="0"/>
              <w:overflowPunct w:val="0"/>
              <w:autoSpaceDE w:val="0"/>
              <w:autoSpaceDN w:val="0"/>
              <w:adjustRightInd w:val="0"/>
              <w:snapToGrid w:val="0"/>
              <w:spacing w:line="240" w:lineRule="auto"/>
              <w:rPr>
                <w:rFonts w:ascii="Times New Roman" w:eastAsia="Garamond" w:hAnsi="Times New Roman"/>
                <w:color w:val="000000"/>
                <w:sz w:val="20"/>
                <w:lang w:eastAsia="sv-SE"/>
              </w:rPr>
            </w:pPr>
            <w:r w:rsidRPr="00AA48BE">
              <w:rPr>
                <w:rFonts w:ascii="Times New Roman" w:eastAsia="Garamond" w:hAnsi="Times New Roman"/>
                <w:color w:val="000000"/>
                <w:sz w:val="20"/>
                <w:lang w:eastAsia="sv-SE"/>
              </w:rPr>
              <w:t xml:space="preserve">Explosive substances, mixtures and articles which have been assigned to Division 1.4 and a compatibility group other than S, and which: </w:t>
            </w:r>
          </w:p>
          <w:p w14:paraId="13C7CD57" w14:textId="77777777" w:rsidR="00AA48BE" w:rsidRPr="00AA48BE" w:rsidRDefault="00AA48BE" w:rsidP="00AA48BE">
            <w:pPr>
              <w:suppressAutoHyphens w:val="0"/>
              <w:kinsoku w:val="0"/>
              <w:overflowPunct w:val="0"/>
              <w:autoSpaceDE w:val="0"/>
              <w:autoSpaceDN w:val="0"/>
              <w:adjustRightInd w:val="0"/>
              <w:snapToGrid w:val="0"/>
              <w:spacing w:line="240" w:lineRule="auto"/>
              <w:ind w:left="463" w:hanging="463"/>
              <w:rPr>
                <w:rFonts w:ascii="Times New Roman" w:eastAsia="Garamond" w:hAnsi="Times New Roman"/>
                <w:color w:val="000000"/>
                <w:sz w:val="20"/>
                <w:lang w:eastAsia="sv-SE"/>
              </w:rPr>
            </w:pPr>
            <w:r w:rsidRPr="00AA48BE">
              <w:rPr>
                <w:rFonts w:ascii="Times New Roman" w:eastAsia="Garamond" w:hAnsi="Times New Roman"/>
                <w:color w:val="000000"/>
                <w:sz w:val="20"/>
                <w:lang w:eastAsia="sv-SE"/>
              </w:rPr>
              <w:t xml:space="preserve">(a) </w:t>
            </w:r>
            <w:r w:rsidRPr="00AA48BE">
              <w:rPr>
                <w:rFonts w:ascii="Times New Roman" w:eastAsia="Garamond" w:hAnsi="Times New Roman"/>
                <w:color w:val="000000"/>
                <w:sz w:val="20"/>
                <w:lang w:eastAsia="sv-SE"/>
              </w:rPr>
              <w:tab/>
              <w:t xml:space="preserve">do not detonate and disintegrate when functioned as intended; and </w:t>
            </w:r>
          </w:p>
          <w:p w14:paraId="731D316F" w14:textId="61F7B73F" w:rsidR="00AA48BE" w:rsidRPr="00AA48BE" w:rsidRDefault="00AA48BE" w:rsidP="00AA48BE">
            <w:pPr>
              <w:suppressAutoHyphens w:val="0"/>
              <w:kinsoku w:val="0"/>
              <w:overflowPunct w:val="0"/>
              <w:autoSpaceDE w:val="0"/>
              <w:autoSpaceDN w:val="0"/>
              <w:adjustRightInd w:val="0"/>
              <w:snapToGrid w:val="0"/>
              <w:spacing w:line="240" w:lineRule="auto"/>
              <w:ind w:left="463" w:hanging="463"/>
              <w:rPr>
                <w:rFonts w:ascii="Times New Roman" w:eastAsia="Garamond" w:hAnsi="Times New Roman"/>
                <w:color w:val="000000"/>
                <w:sz w:val="20"/>
                <w:lang w:eastAsia="sv-SE"/>
              </w:rPr>
            </w:pPr>
            <w:r w:rsidRPr="00AA48BE">
              <w:rPr>
                <w:rFonts w:ascii="Times New Roman" w:eastAsia="Garamond" w:hAnsi="Times New Roman"/>
                <w:color w:val="000000"/>
                <w:sz w:val="20"/>
                <w:lang w:eastAsia="sv-SE"/>
              </w:rPr>
              <w:t xml:space="preserve">(b) </w:t>
            </w:r>
            <w:r w:rsidRPr="00AA48BE">
              <w:rPr>
                <w:rFonts w:ascii="Times New Roman" w:eastAsia="Garamond" w:hAnsi="Times New Roman"/>
                <w:color w:val="000000"/>
                <w:sz w:val="20"/>
                <w:lang w:eastAsia="sv-SE"/>
              </w:rPr>
              <w:tab/>
            </w:r>
            <w:r w:rsidRPr="00AA48BE">
              <w:rPr>
                <w:rFonts w:ascii="Times New Roman" w:eastAsia="Garamond" w:hAnsi="Times New Roman"/>
                <w:b/>
                <w:bCs/>
                <w:sz w:val="20"/>
                <w:u w:val="single"/>
                <w:lang w:eastAsia="sv-SE"/>
              </w:rPr>
              <w:t xml:space="preserve">do not </w:t>
            </w:r>
            <w:r w:rsidR="005B2FD2" w:rsidRPr="00BF10BD">
              <w:rPr>
                <w:rFonts w:ascii="Times New Roman" w:eastAsia="Garamond" w:hAnsi="Times New Roman"/>
                <w:b/>
                <w:bCs/>
                <w:sz w:val="20"/>
                <w:u w:val="single"/>
                <w:lang w:eastAsia="sv-SE"/>
              </w:rPr>
              <w:t xml:space="preserve">require attentuating features, other than those which may be provided by a primary packaging, to mitigate explosive </w:t>
            </w:r>
            <w:r w:rsidRPr="00AA48BE">
              <w:rPr>
                <w:rFonts w:ascii="Times New Roman" w:eastAsia="Garamond" w:hAnsi="Times New Roman"/>
                <w:b/>
                <w:bCs/>
                <w:sz w:val="20"/>
                <w:u w:val="single"/>
                <w:lang w:eastAsia="sv-SE"/>
              </w:rPr>
              <w:t>effects</w:t>
            </w:r>
            <w:r w:rsidRPr="00AA48BE">
              <w:rPr>
                <w:rFonts w:ascii="Times New Roman" w:eastAsia="Garamond" w:hAnsi="Times New Roman"/>
                <w:strike/>
                <w:sz w:val="20"/>
                <w:lang w:eastAsia="sv-SE"/>
              </w:rPr>
              <w:t xml:space="preserve"> exhibit no high hazard event</w:t>
            </w:r>
            <w:r w:rsidRPr="00AA48BE">
              <w:rPr>
                <w:rFonts w:ascii="Times New Roman" w:eastAsia="Garamond" w:hAnsi="Times New Roman"/>
                <w:strike/>
                <w:sz w:val="20"/>
                <w:vertAlign w:val="superscript"/>
                <w:lang w:eastAsia="sv-SE"/>
              </w:rPr>
              <w:t>c</w:t>
            </w:r>
            <w:r w:rsidRPr="00AA48BE">
              <w:rPr>
                <w:rFonts w:ascii="Times New Roman" w:eastAsia="Garamond" w:hAnsi="Times New Roman"/>
                <w:strike/>
                <w:sz w:val="20"/>
                <w:lang w:eastAsia="sv-SE"/>
              </w:rPr>
              <w:t xml:space="preserve"> in test 6(a) or 6(b) of the </w:t>
            </w:r>
            <w:r w:rsidRPr="00AA48BE">
              <w:rPr>
                <w:rFonts w:ascii="Times New Roman" w:eastAsia="Garamond" w:hAnsi="Times New Roman"/>
                <w:i/>
                <w:iCs/>
                <w:strike/>
                <w:sz w:val="20"/>
                <w:lang w:eastAsia="sv-SE"/>
              </w:rPr>
              <w:t>Manual of Tests and Criteria</w:t>
            </w:r>
            <w:r w:rsidRPr="00AA48BE">
              <w:rPr>
                <w:rFonts w:ascii="Times New Roman" w:eastAsia="Garamond" w:hAnsi="Times New Roman"/>
                <w:color w:val="000000"/>
                <w:sz w:val="20"/>
                <w:lang w:eastAsia="sv-SE"/>
              </w:rPr>
              <w:t xml:space="preserve">; and </w:t>
            </w:r>
          </w:p>
          <w:p w14:paraId="41FE5D52" w14:textId="77777777" w:rsidR="00AA48BE" w:rsidRPr="00AA48BE" w:rsidRDefault="00AA48BE" w:rsidP="00AA48BE">
            <w:pPr>
              <w:kinsoku w:val="0"/>
              <w:overflowPunct w:val="0"/>
              <w:autoSpaceDE w:val="0"/>
              <w:autoSpaceDN w:val="0"/>
              <w:adjustRightInd w:val="0"/>
              <w:snapToGrid w:val="0"/>
              <w:ind w:left="463" w:hanging="463"/>
              <w:rPr>
                <w:rFonts w:ascii="Times New Roman" w:eastAsia="Garamond" w:hAnsi="Times New Roman"/>
                <w:sz w:val="20"/>
              </w:rPr>
            </w:pPr>
            <w:r w:rsidRPr="00AA48BE">
              <w:rPr>
                <w:rFonts w:ascii="Times New Roman" w:eastAsia="Garamond" w:hAnsi="Times New Roman"/>
                <w:sz w:val="20"/>
              </w:rPr>
              <w:t xml:space="preserve">(c) </w:t>
            </w:r>
            <w:r w:rsidRPr="00AA48BE">
              <w:rPr>
                <w:rFonts w:ascii="Times New Roman" w:eastAsia="Garamond" w:hAnsi="Times New Roman"/>
                <w:sz w:val="20"/>
              </w:rPr>
              <w:tab/>
            </w:r>
            <w:r w:rsidRPr="00AA48BE">
              <w:rPr>
                <w:rFonts w:ascii="Times New Roman" w:eastAsia="Garamond" w:hAnsi="Times New Roman"/>
                <w:b/>
                <w:bCs/>
                <w:sz w:val="20"/>
                <w:u w:val="single"/>
                <w:lang w:eastAsia="sv-SE"/>
              </w:rPr>
              <w:t>exhibit no high hazard event</w:t>
            </w:r>
            <w:r w:rsidRPr="00AA48BE">
              <w:rPr>
                <w:rFonts w:ascii="Times New Roman" w:eastAsia="Garamond" w:hAnsi="Times New Roman"/>
                <w:b/>
                <w:bCs/>
                <w:sz w:val="20"/>
                <w:u w:val="single"/>
                <w:vertAlign w:val="superscript"/>
                <w:lang w:eastAsia="sv-SE"/>
              </w:rPr>
              <w:t>c</w:t>
            </w:r>
            <w:r w:rsidRPr="00AA48BE">
              <w:rPr>
                <w:rFonts w:ascii="Times New Roman" w:eastAsia="Garamond" w:hAnsi="Times New Roman"/>
                <w:b/>
                <w:bCs/>
                <w:sz w:val="20"/>
                <w:u w:val="single"/>
                <w:lang w:eastAsia="sv-SE"/>
              </w:rPr>
              <w:t xml:space="preserve"> in test 6(a) or 6(b) of the </w:t>
            </w:r>
            <w:r w:rsidRPr="00AA48BE">
              <w:rPr>
                <w:rFonts w:ascii="Times New Roman" w:eastAsia="Garamond" w:hAnsi="Times New Roman"/>
                <w:b/>
                <w:bCs/>
                <w:i/>
                <w:iCs/>
                <w:sz w:val="20"/>
                <w:u w:val="single"/>
                <w:lang w:eastAsia="sv-SE"/>
              </w:rPr>
              <w:t>Manual of Tests and Criteria</w:t>
            </w:r>
            <w:r w:rsidRPr="00AA48BE">
              <w:rPr>
                <w:rFonts w:ascii="Times New Roman" w:eastAsia="Garamond" w:hAnsi="Times New Roman"/>
                <w:strike/>
                <w:sz w:val="20"/>
              </w:rPr>
              <w:t xml:space="preserve"> do not require attenuating features, other than that which may be provided by a primary packaging, to mitigate a high hazard event</w:t>
            </w:r>
            <w:r w:rsidRPr="00AA48BE">
              <w:rPr>
                <w:rFonts w:ascii="Times New Roman" w:eastAsia="Garamond" w:hAnsi="Times New Roman"/>
                <w:strike/>
                <w:sz w:val="20"/>
                <w:vertAlign w:val="superscript"/>
              </w:rPr>
              <w:t>c</w:t>
            </w:r>
            <w:r w:rsidRPr="00AA48BE">
              <w:rPr>
                <w:rFonts w:ascii="Times New Roman" w:eastAsia="Garamond" w:hAnsi="Times New Roman"/>
                <w:sz w:val="20"/>
              </w:rPr>
              <w:t>.</w:t>
            </w:r>
          </w:p>
        </w:tc>
      </w:tr>
      <w:tr w:rsidR="00AA48BE" w:rsidRPr="00AA48BE" w14:paraId="0A301959" w14:textId="77777777" w:rsidTr="00AA48BE">
        <w:trPr>
          <w:cantSplit/>
          <w:jc w:val="center"/>
        </w:trPr>
        <w:tc>
          <w:tcPr>
            <w:tcW w:w="0" w:type="auto"/>
            <w:vMerge/>
            <w:tcBorders>
              <w:top w:val="single" w:sz="4" w:space="0" w:color="auto"/>
              <w:left w:val="single" w:sz="4" w:space="0" w:color="auto"/>
              <w:bottom w:val="single" w:sz="4" w:space="0" w:color="auto"/>
              <w:right w:val="single" w:sz="4" w:space="0" w:color="auto"/>
            </w:tcBorders>
            <w:hideMark/>
          </w:tcPr>
          <w:p w14:paraId="2AD34571" w14:textId="77777777" w:rsidR="00AA48BE" w:rsidRPr="00AA48BE" w:rsidRDefault="00AA48BE" w:rsidP="00AA48BE">
            <w:pPr>
              <w:suppressAutoHyphens w:val="0"/>
              <w:kinsoku w:val="0"/>
              <w:overflowPunct w:val="0"/>
              <w:autoSpaceDE w:val="0"/>
              <w:autoSpaceDN w:val="0"/>
              <w:adjustRightInd w:val="0"/>
              <w:snapToGrid w:val="0"/>
              <w:spacing w:line="256" w:lineRule="auto"/>
              <w:rPr>
                <w:rFonts w:ascii="Times New Roman" w:eastAsia="Garamond" w:hAnsi="Times New Roman"/>
                <w:b/>
                <w:sz w:val="20"/>
              </w:rPr>
            </w:pPr>
          </w:p>
        </w:tc>
        <w:tc>
          <w:tcPr>
            <w:tcW w:w="850" w:type="dxa"/>
            <w:tcBorders>
              <w:top w:val="single" w:sz="4" w:space="0" w:color="auto"/>
              <w:left w:val="single" w:sz="4" w:space="0" w:color="auto"/>
              <w:bottom w:val="single" w:sz="4" w:space="0" w:color="auto"/>
              <w:right w:val="single" w:sz="4" w:space="0" w:color="auto"/>
            </w:tcBorders>
            <w:hideMark/>
          </w:tcPr>
          <w:p w14:paraId="061BBFF8" w14:textId="77777777" w:rsidR="00AA48BE" w:rsidRPr="00AA48BE" w:rsidRDefault="00AA48BE" w:rsidP="00AA48BE">
            <w:pPr>
              <w:kinsoku w:val="0"/>
              <w:overflowPunct w:val="0"/>
              <w:autoSpaceDE w:val="0"/>
              <w:autoSpaceDN w:val="0"/>
              <w:adjustRightInd w:val="0"/>
              <w:snapToGrid w:val="0"/>
              <w:jc w:val="center"/>
              <w:rPr>
                <w:rFonts w:ascii="Times New Roman" w:eastAsia="Garamond" w:hAnsi="Times New Roman"/>
                <w:b/>
                <w:sz w:val="20"/>
              </w:rPr>
            </w:pPr>
            <w:r w:rsidRPr="00AA48BE">
              <w:rPr>
                <w:rFonts w:ascii="Times New Roman" w:eastAsia="Garamond" w:hAnsi="Times New Roman"/>
                <w:b/>
                <w:sz w:val="20"/>
              </w:rPr>
              <w:t>2C</w:t>
            </w:r>
          </w:p>
        </w:tc>
        <w:tc>
          <w:tcPr>
            <w:tcW w:w="5949" w:type="dxa"/>
            <w:tcBorders>
              <w:top w:val="single" w:sz="4" w:space="0" w:color="auto"/>
              <w:left w:val="single" w:sz="4" w:space="0" w:color="auto"/>
              <w:bottom w:val="single" w:sz="4" w:space="0" w:color="auto"/>
              <w:right w:val="single" w:sz="4" w:space="0" w:color="auto"/>
            </w:tcBorders>
            <w:hideMark/>
          </w:tcPr>
          <w:p w14:paraId="71A03E3E" w14:textId="77777777" w:rsidR="00AA48BE" w:rsidRPr="00AA48BE" w:rsidRDefault="00AA48BE" w:rsidP="00AA48BE">
            <w:pPr>
              <w:suppressAutoHyphens w:val="0"/>
              <w:kinsoku w:val="0"/>
              <w:overflowPunct w:val="0"/>
              <w:autoSpaceDE w:val="0"/>
              <w:autoSpaceDN w:val="0"/>
              <w:adjustRightInd w:val="0"/>
              <w:snapToGrid w:val="0"/>
              <w:spacing w:line="240" w:lineRule="auto"/>
              <w:rPr>
                <w:rFonts w:ascii="Times New Roman" w:eastAsia="Garamond" w:hAnsi="Times New Roman"/>
                <w:color w:val="000000"/>
                <w:sz w:val="20"/>
                <w:lang w:eastAsia="sv-SE"/>
              </w:rPr>
            </w:pPr>
            <w:r w:rsidRPr="00AA48BE">
              <w:rPr>
                <w:rFonts w:ascii="Times New Roman" w:eastAsia="Garamond" w:hAnsi="Times New Roman"/>
                <w:color w:val="000000"/>
                <w:sz w:val="20"/>
                <w:lang w:eastAsia="sv-SE"/>
              </w:rPr>
              <w:t xml:space="preserve">Explosive substances, mixtures and articles which have been assigned to Division 1.4 compatibility group S, and which: </w:t>
            </w:r>
          </w:p>
          <w:p w14:paraId="2B80D6B9" w14:textId="77777777" w:rsidR="00AA48BE" w:rsidRPr="00AA48BE" w:rsidRDefault="00AA48BE" w:rsidP="00AA48BE">
            <w:pPr>
              <w:suppressAutoHyphens w:val="0"/>
              <w:kinsoku w:val="0"/>
              <w:overflowPunct w:val="0"/>
              <w:autoSpaceDE w:val="0"/>
              <w:autoSpaceDN w:val="0"/>
              <w:adjustRightInd w:val="0"/>
              <w:snapToGrid w:val="0"/>
              <w:spacing w:line="240" w:lineRule="auto"/>
              <w:ind w:left="463" w:hanging="463"/>
              <w:rPr>
                <w:rFonts w:ascii="Times New Roman" w:eastAsia="Garamond" w:hAnsi="Times New Roman"/>
                <w:color w:val="000000"/>
                <w:sz w:val="20"/>
                <w:lang w:eastAsia="sv-SE"/>
              </w:rPr>
            </w:pPr>
            <w:r w:rsidRPr="00AA48BE">
              <w:rPr>
                <w:rFonts w:ascii="Times New Roman" w:eastAsia="Garamond" w:hAnsi="Times New Roman"/>
                <w:color w:val="000000"/>
                <w:sz w:val="20"/>
                <w:lang w:eastAsia="sv-SE"/>
              </w:rPr>
              <w:t xml:space="preserve">(a) </w:t>
            </w:r>
            <w:r w:rsidRPr="00AA48BE">
              <w:rPr>
                <w:rFonts w:ascii="Times New Roman" w:eastAsia="Garamond" w:hAnsi="Times New Roman"/>
                <w:color w:val="000000"/>
                <w:sz w:val="20"/>
                <w:lang w:eastAsia="sv-SE"/>
              </w:rPr>
              <w:tab/>
              <w:t>do not detonate and disintegrate when functioned as intended; and</w:t>
            </w:r>
          </w:p>
          <w:p w14:paraId="08BA36FA" w14:textId="78EFFA01" w:rsidR="00AA48BE" w:rsidRPr="00AA48BE" w:rsidRDefault="00AA48BE" w:rsidP="00AA48BE">
            <w:pPr>
              <w:suppressAutoHyphens w:val="0"/>
              <w:kinsoku w:val="0"/>
              <w:overflowPunct w:val="0"/>
              <w:autoSpaceDE w:val="0"/>
              <w:autoSpaceDN w:val="0"/>
              <w:adjustRightInd w:val="0"/>
              <w:snapToGrid w:val="0"/>
              <w:spacing w:line="240" w:lineRule="auto"/>
              <w:ind w:left="463" w:hanging="463"/>
              <w:rPr>
                <w:rFonts w:ascii="Times New Roman" w:eastAsia="Garamond" w:hAnsi="Times New Roman"/>
                <w:sz w:val="20"/>
                <w:lang w:eastAsia="sv-SE"/>
              </w:rPr>
            </w:pPr>
            <w:r w:rsidRPr="00AA48BE">
              <w:rPr>
                <w:rFonts w:ascii="Times New Roman" w:eastAsia="Garamond" w:hAnsi="Times New Roman"/>
                <w:color w:val="000000"/>
                <w:sz w:val="20"/>
                <w:lang w:eastAsia="sv-SE"/>
              </w:rPr>
              <w:t xml:space="preserve">(b) </w:t>
            </w:r>
            <w:r w:rsidRPr="00AA48BE">
              <w:rPr>
                <w:rFonts w:ascii="Times New Roman" w:eastAsia="Garamond" w:hAnsi="Times New Roman"/>
                <w:color w:val="000000"/>
                <w:sz w:val="20"/>
                <w:lang w:eastAsia="sv-SE"/>
              </w:rPr>
              <w:tab/>
            </w:r>
            <w:r w:rsidRPr="00AA48BE">
              <w:rPr>
                <w:rFonts w:ascii="Times New Roman" w:eastAsia="Garamond" w:hAnsi="Times New Roman"/>
                <w:b/>
                <w:bCs/>
                <w:sz w:val="20"/>
                <w:u w:val="single"/>
                <w:lang w:eastAsia="sv-SE"/>
              </w:rPr>
              <w:t xml:space="preserve">do not </w:t>
            </w:r>
            <w:r w:rsidR="00BF10BD" w:rsidRPr="003B5028">
              <w:rPr>
                <w:rFonts w:ascii="Times New Roman" w:eastAsia="Garamond" w:hAnsi="Times New Roman"/>
                <w:b/>
                <w:bCs/>
                <w:sz w:val="20"/>
                <w:u w:val="single"/>
                <w:lang w:eastAsia="sv-SE"/>
              </w:rPr>
              <w:t xml:space="preserve">require attentuating features, other than those which may be provided by a primary packaging, to mitigate explosive </w:t>
            </w:r>
            <w:r w:rsidR="00BF10BD" w:rsidRPr="00AA48BE">
              <w:rPr>
                <w:rFonts w:ascii="Times New Roman" w:eastAsia="Garamond" w:hAnsi="Times New Roman"/>
                <w:b/>
                <w:bCs/>
                <w:sz w:val="20"/>
                <w:u w:val="single"/>
                <w:lang w:eastAsia="sv-SE"/>
              </w:rPr>
              <w:t>effects</w:t>
            </w:r>
            <w:r w:rsidR="00BF10BD" w:rsidRPr="00AA48BE">
              <w:rPr>
                <w:rFonts w:ascii="Times New Roman" w:eastAsia="Garamond" w:hAnsi="Times New Roman"/>
                <w:strike/>
                <w:sz w:val="20"/>
                <w:lang w:eastAsia="sv-SE"/>
              </w:rPr>
              <w:t xml:space="preserve"> </w:t>
            </w:r>
            <w:r w:rsidRPr="00AA48BE">
              <w:rPr>
                <w:rFonts w:ascii="Times New Roman" w:eastAsia="Garamond" w:hAnsi="Times New Roman"/>
                <w:strike/>
                <w:sz w:val="20"/>
                <w:lang w:eastAsia="sv-SE"/>
              </w:rPr>
              <w:t>exhibit no high hazard event</w:t>
            </w:r>
            <w:r w:rsidRPr="00AA48BE">
              <w:rPr>
                <w:rFonts w:ascii="Times New Roman" w:eastAsia="Garamond" w:hAnsi="Times New Roman"/>
                <w:strike/>
                <w:sz w:val="20"/>
                <w:vertAlign w:val="superscript"/>
                <w:lang w:eastAsia="sv-SE"/>
              </w:rPr>
              <w:t>c</w:t>
            </w:r>
            <w:r w:rsidRPr="00AA48BE">
              <w:rPr>
                <w:rFonts w:ascii="Times New Roman" w:eastAsia="Garamond" w:hAnsi="Times New Roman"/>
                <w:strike/>
                <w:sz w:val="20"/>
                <w:lang w:eastAsia="sv-SE"/>
              </w:rPr>
              <w:t xml:space="preserve"> in test 6(a) or 6(b), or in the absence of these test results, similar results in test 6(d) of the </w:t>
            </w:r>
            <w:r w:rsidRPr="00AA48BE">
              <w:rPr>
                <w:rFonts w:ascii="Times New Roman" w:eastAsia="Garamond" w:hAnsi="Times New Roman"/>
                <w:i/>
                <w:iCs/>
                <w:strike/>
                <w:sz w:val="20"/>
                <w:lang w:eastAsia="sv-SE"/>
              </w:rPr>
              <w:t>Manual of Tests and Criteria</w:t>
            </w:r>
            <w:r w:rsidRPr="00AA48BE">
              <w:rPr>
                <w:rFonts w:ascii="Times New Roman" w:eastAsia="Garamond" w:hAnsi="Times New Roman"/>
                <w:sz w:val="20"/>
                <w:lang w:eastAsia="sv-SE"/>
              </w:rPr>
              <w:t xml:space="preserve">; and </w:t>
            </w:r>
          </w:p>
          <w:p w14:paraId="6ADBB809" w14:textId="77777777" w:rsidR="00AA48BE" w:rsidRPr="00AA48BE" w:rsidRDefault="00AA48BE" w:rsidP="00AA48BE">
            <w:pPr>
              <w:suppressAutoHyphens w:val="0"/>
              <w:kinsoku w:val="0"/>
              <w:overflowPunct w:val="0"/>
              <w:autoSpaceDE w:val="0"/>
              <w:autoSpaceDN w:val="0"/>
              <w:adjustRightInd w:val="0"/>
              <w:snapToGrid w:val="0"/>
              <w:spacing w:line="240" w:lineRule="auto"/>
              <w:ind w:left="463" w:hanging="463"/>
              <w:rPr>
                <w:rFonts w:ascii="Times New Roman" w:eastAsia="Garamond" w:hAnsi="Times New Roman"/>
                <w:sz w:val="20"/>
              </w:rPr>
            </w:pPr>
            <w:r w:rsidRPr="00AA48BE">
              <w:rPr>
                <w:rFonts w:ascii="Times New Roman" w:eastAsia="Garamond" w:hAnsi="Times New Roman"/>
                <w:sz w:val="20"/>
              </w:rPr>
              <w:t xml:space="preserve">(c) </w:t>
            </w:r>
            <w:r w:rsidRPr="00AA48BE">
              <w:rPr>
                <w:rFonts w:ascii="Times New Roman" w:eastAsia="Garamond" w:hAnsi="Times New Roman"/>
                <w:sz w:val="20"/>
              </w:rPr>
              <w:tab/>
            </w:r>
            <w:r w:rsidRPr="00AA48BE">
              <w:rPr>
                <w:rFonts w:ascii="Times New Roman" w:eastAsia="Garamond" w:hAnsi="Times New Roman"/>
                <w:b/>
                <w:bCs/>
                <w:sz w:val="20"/>
                <w:u w:val="single"/>
                <w:lang w:eastAsia="sv-SE"/>
              </w:rPr>
              <w:t>exhibit no high hazard event</w:t>
            </w:r>
            <w:r w:rsidRPr="00AA48BE">
              <w:rPr>
                <w:rFonts w:ascii="Times New Roman" w:eastAsia="Garamond" w:hAnsi="Times New Roman"/>
                <w:b/>
                <w:bCs/>
                <w:sz w:val="20"/>
                <w:u w:val="single"/>
                <w:vertAlign w:val="superscript"/>
                <w:lang w:eastAsia="sv-SE"/>
              </w:rPr>
              <w:t>c</w:t>
            </w:r>
            <w:r w:rsidRPr="00AA48BE">
              <w:rPr>
                <w:rFonts w:ascii="Times New Roman" w:eastAsia="Garamond" w:hAnsi="Times New Roman"/>
                <w:b/>
                <w:bCs/>
                <w:sz w:val="20"/>
                <w:u w:val="single"/>
                <w:lang w:eastAsia="sv-SE"/>
              </w:rPr>
              <w:t xml:space="preserve"> in test 6(a) or 6(b), or in the absence of these test results, similar results in test 6(d) of the </w:t>
            </w:r>
            <w:r w:rsidRPr="00AA48BE">
              <w:rPr>
                <w:rFonts w:ascii="Times New Roman" w:eastAsia="Garamond" w:hAnsi="Times New Roman"/>
                <w:b/>
                <w:bCs/>
                <w:i/>
                <w:iCs/>
                <w:sz w:val="20"/>
                <w:u w:val="single"/>
                <w:lang w:eastAsia="sv-SE"/>
              </w:rPr>
              <w:t>Manual of Tests and Criteria</w:t>
            </w:r>
            <w:r w:rsidRPr="00AA48BE">
              <w:rPr>
                <w:rFonts w:ascii="Times New Roman" w:eastAsia="Garamond" w:hAnsi="Times New Roman"/>
                <w:strike/>
                <w:sz w:val="20"/>
              </w:rPr>
              <w:t xml:space="preserve"> do not require attenuating features, other than that which may be provided by a primary packaging, to mitigate a high hazard event</w:t>
            </w:r>
            <w:r w:rsidRPr="00AA48BE">
              <w:rPr>
                <w:rFonts w:ascii="Times New Roman" w:eastAsia="Garamond" w:hAnsi="Times New Roman"/>
                <w:strike/>
                <w:sz w:val="20"/>
                <w:vertAlign w:val="superscript"/>
              </w:rPr>
              <w:t>c</w:t>
            </w:r>
            <w:r w:rsidRPr="00AA48BE">
              <w:rPr>
                <w:rFonts w:ascii="Times New Roman" w:eastAsia="Garamond" w:hAnsi="Times New Roman"/>
                <w:sz w:val="20"/>
              </w:rPr>
              <w:t>.</w:t>
            </w:r>
          </w:p>
        </w:tc>
      </w:tr>
    </w:tbl>
    <w:p w14:paraId="3BA4CFAA" w14:textId="5F34B7EB" w:rsidR="003B5028" w:rsidRDefault="003B5028" w:rsidP="003B5028">
      <w:pPr>
        <w:pStyle w:val="H1G"/>
        <w:rPr>
          <w:lang w:val="en-US"/>
        </w:rPr>
      </w:pPr>
      <w:r>
        <w:rPr>
          <w:lang w:val="en-US"/>
        </w:rPr>
        <w:tab/>
      </w:r>
      <w:r>
        <w:rPr>
          <w:lang w:val="en-US"/>
        </w:rPr>
        <w:tab/>
        <w:t>Request to the Sub-Committee</w:t>
      </w:r>
    </w:p>
    <w:p w14:paraId="11C346B4" w14:textId="6F8DE31D" w:rsidR="003B5028" w:rsidRPr="00AA48BE" w:rsidRDefault="003A00C9" w:rsidP="003A00C9">
      <w:pPr>
        <w:pStyle w:val="SingleTxtG"/>
        <w:rPr>
          <w:lang w:val="en-US"/>
        </w:rPr>
      </w:pPr>
      <w:r>
        <w:rPr>
          <w:lang w:val="en-US"/>
        </w:rPr>
        <w:tab/>
        <w:t>13.</w:t>
      </w:r>
      <w:r>
        <w:rPr>
          <w:lang w:val="en-US"/>
        </w:rPr>
        <w:tab/>
      </w:r>
      <w:r w:rsidR="003B5028">
        <w:rPr>
          <w:lang w:val="en-US"/>
        </w:rPr>
        <w:t xml:space="preserve">The Sub-Committee is </w:t>
      </w:r>
      <w:r w:rsidR="00B01098">
        <w:rPr>
          <w:lang w:val="en-US"/>
        </w:rPr>
        <w:t xml:space="preserve">invited </w:t>
      </w:r>
      <w:r w:rsidR="003B5028">
        <w:rPr>
          <w:lang w:val="en-US"/>
        </w:rPr>
        <w:t xml:space="preserve">to consider the proposal. </w:t>
      </w:r>
      <w:r w:rsidR="00CD7C45">
        <w:rPr>
          <w:lang w:val="en-US"/>
        </w:rPr>
        <w:t xml:space="preserve">As </w:t>
      </w:r>
      <w:r w:rsidR="00BA123E">
        <w:rPr>
          <w:lang w:val="en-US"/>
        </w:rPr>
        <w:t xml:space="preserve">the new chapter 2.1 </w:t>
      </w:r>
      <w:r w:rsidR="00ED0D5E">
        <w:rPr>
          <w:lang w:val="en-US"/>
        </w:rPr>
        <w:t xml:space="preserve">of the GHS </w:t>
      </w:r>
      <w:r w:rsidR="00BA123E">
        <w:rPr>
          <w:lang w:val="en-US"/>
        </w:rPr>
        <w:t>is expected to be adopted during th</w:t>
      </w:r>
      <w:r w:rsidR="00FB4DA4">
        <w:rPr>
          <w:lang w:val="en-US"/>
        </w:rPr>
        <w:t>e</w:t>
      </w:r>
      <w:r w:rsidR="00BA123E">
        <w:rPr>
          <w:lang w:val="en-US"/>
        </w:rPr>
        <w:t xml:space="preserve"> December </w:t>
      </w:r>
      <w:r w:rsidR="00803188">
        <w:rPr>
          <w:lang w:val="en-US"/>
        </w:rPr>
        <w:t xml:space="preserve">2020 </w:t>
      </w:r>
      <w:r w:rsidR="00BA123E">
        <w:rPr>
          <w:lang w:val="en-US"/>
        </w:rPr>
        <w:t xml:space="preserve">meeting </w:t>
      </w:r>
      <w:r w:rsidR="00FB4DA4">
        <w:rPr>
          <w:lang w:val="en-US"/>
        </w:rPr>
        <w:t>and given the special circumstances of th</w:t>
      </w:r>
      <w:r w:rsidR="00803188">
        <w:rPr>
          <w:lang w:val="en-US"/>
        </w:rPr>
        <w:t>at</w:t>
      </w:r>
      <w:r w:rsidR="00A475EC">
        <w:rPr>
          <w:lang w:val="en-US"/>
        </w:rPr>
        <w:t xml:space="preserve"> meeting, </w:t>
      </w:r>
      <w:r w:rsidR="00BA123E">
        <w:rPr>
          <w:lang w:val="en-US"/>
        </w:rPr>
        <w:t xml:space="preserve">the expert from Germany </w:t>
      </w:r>
      <w:r w:rsidR="00FB4DA4">
        <w:rPr>
          <w:lang w:val="en-US"/>
        </w:rPr>
        <w:t xml:space="preserve">would like to </w:t>
      </w:r>
      <w:r w:rsidR="00A475EC">
        <w:rPr>
          <w:lang w:val="en-US"/>
        </w:rPr>
        <w:t>do preparatory work as far as possible. Therefore, we would appreciate to receive feedback in advance, either on the commenting platform or via e-mail and would try to coordinate comments</w:t>
      </w:r>
      <w:r w:rsidR="00803188">
        <w:rPr>
          <w:lang w:val="en-US"/>
        </w:rPr>
        <w:t>, suggestions and proposals for amendments in advance of the Sub-Committee meeting.</w:t>
      </w:r>
    </w:p>
    <w:p w14:paraId="7FBCDBE1" w14:textId="70891001" w:rsidR="00EF6381" w:rsidRDefault="00EF6381" w:rsidP="001E2D63">
      <w:pPr>
        <w:pStyle w:val="SingleTxtG"/>
        <w:jc w:val="center"/>
        <w:rPr>
          <w:u w:val="single"/>
        </w:rPr>
      </w:pPr>
      <w:r>
        <w:rPr>
          <w:u w:val="single"/>
        </w:rPr>
        <w:tab/>
      </w:r>
      <w:r w:rsidR="001E2D63">
        <w:rPr>
          <w:u w:val="single"/>
        </w:rPr>
        <w:tab/>
      </w:r>
      <w:r w:rsidR="00FF014B">
        <w:rPr>
          <w:u w:val="single"/>
        </w:rPr>
        <w:tab/>
      </w:r>
      <w:r>
        <w:rPr>
          <w:u w:val="single"/>
        </w:rPr>
        <w:tab/>
      </w:r>
    </w:p>
    <w:sectPr w:rsidR="00EF6381" w:rsidSect="00FF014B">
      <w:headerReference w:type="even" r:id="rId15"/>
      <w:headerReference w:type="default" r:id="rId16"/>
      <w:footerReference w:type="even" r:id="rId17"/>
      <w:footerReference w:type="default" r:id="rId18"/>
      <w:headerReference w:type="first" r:id="rId19"/>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B520D" w14:textId="77777777" w:rsidR="00D52E0C" w:rsidRDefault="00D52E0C" w:rsidP="00760F29">
      <w:pPr>
        <w:spacing w:line="240" w:lineRule="auto"/>
      </w:pPr>
      <w:r>
        <w:separator/>
      </w:r>
    </w:p>
  </w:endnote>
  <w:endnote w:type="continuationSeparator" w:id="0">
    <w:p w14:paraId="6A34476B" w14:textId="77777777" w:rsidR="00D52E0C" w:rsidRDefault="00D52E0C"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841143"/>
      <w:docPartObj>
        <w:docPartGallery w:val="Page Numbers (Bottom of Page)"/>
        <w:docPartUnique/>
      </w:docPartObj>
    </w:sdtPr>
    <w:sdtEndPr>
      <w:rPr>
        <w:b/>
        <w:noProof/>
        <w:sz w:val="18"/>
      </w:rPr>
    </w:sdtEndPr>
    <w:sdtContent>
      <w:p w14:paraId="71999A95" w14:textId="084CCCAF" w:rsidR="00430A54" w:rsidRPr="00836133" w:rsidRDefault="00C83965" w:rsidP="00836133">
        <w:pPr>
          <w:pStyle w:val="Footer"/>
          <w:tabs>
            <w:tab w:val="right" w:pos="9638"/>
          </w:tabs>
        </w:pPr>
        <w:r w:rsidRPr="0095385C">
          <w:rPr>
            <w:b/>
            <w:sz w:val="18"/>
          </w:rPr>
          <w:fldChar w:fldCharType="begin"/>
        </w:r>
        <w:r w:rsidRPr="0095385C">
          <w:rPr>
            <w:b/>
            <w:sz w:val="18"/>
          </w:rPr>
          <w:instrText xml:space="preserve"> PAGE  \* MERGEFORMAT </w:instrText>
        </w:r>
        <w:r w:rsidRPr="0095385C">
          <w:rPr>
            <w:b/>
            <w:sz w:val="18"/>
          </w:rPr>
          <w:fldChar w:fldCharType="separate"/>
        </w:r>
        <w:r w:rsidR="00990142">
          <w:rPr>
            <w:b/>
            <w:noProof/>
            <w:sz w:val="18"/>
          </w:rPr>
          <w:t>4</w:t>
        </w:r>
        <w:r w:rsidRPr="0095385C">
          <w:rPr>
            <w:b/>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527124"/>
      <w:docPartObj>
        <w:docPartGallery w:val="Page Numbers (Bottom of Page)"/>
        <w:docPartUnique/>
      </w:docPartObj>
    </w:sdtPr>
    <w:sdtEndPr>
      <w:rPr>
        <w:b/>
        <w:noProof/>
        <w:sz w:val="18"/>
      </w:rPr>
    </w:sdtEndPr>
    <w:sdtContent>
      <w:p w14:paraId="3054A36D" w14:textId="19AA360B" w:rsidR="00430A54" w:rsidRPr="00AA3D2B" w:rsidRDefault="00430A54">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990142">
          <w:rPr>
            <w:b/>
            <w:noProof/>
            <w:sz w:val="18"/>
          </w:rPr>
          <w:t>3</w:t>
        </w:r>
        <w:r w:rsidRPr="00AA3D2B">
          <w:rPr>
            <w:b/>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80A9D" w14:textId="77777777" w:rsidR="00D52E0C" w:rsidRDefault="00D52E0C" w:rsidP="00760F29">
      <w:pPr>
        <w:spacing w:line="240" w:lineRule="auto"/>
      </w:pPr>
      <w:r>
        <w:separator/>
      </w:r>
    </w:p>
  </w:footnote>
  <w:footnote w:type="continuationSeparator" w:id="0">
    <w:p w14:paraId="1903EC4F" w14:textId="77777777" w:rsidR="00D52E0C" w:rsidRDefault="00D52E0C" w:rsidP="00760F29">
      <w:pPr>
        <w:spacing w:line="240" w:lineRule="auto"/>
      </w:pPr>
      <w:r>
        <w:continuationSeparator/>
      </w:r>
    </w:p>
  </w:footnote>
  <w:footnote w:id="1">
    <w:p w14:paraId="13A8DD42" w14:textId="1F5605D9" w:rsidR="00F551CC" w:rsidRPr="00F551CC" w:rsidRDefault="0030695E" w:rsidP="0030695E">
      <w:pPr>
        <w:pStyle w:val="FootnoteText"/>
        <w:tabs>
          <w:tab w:val="clear" w:pos="1021"/>
          <w:tab w:val="left" w:pos="1134"/>
        </w:tabs>
        <w:ind w:left="1418" w:hanging="1418"/>
        <w:rPr>
          <w:lang w:val="en-US"/>
        </w:rPr>
      </w:pPr>
      <w:r>
        <w:tab/>
      </w:r>
      <w:r w:rsidR="00F551CC">
        <w:rPr>
          <w:rStyle w:val="FootnoteReference"/>
        </w:rPr>
        <w:footnoteRef/>
      </w:r>
      <w:r w:rsidR="00F551CC" w:rsidRPr="00F551CC">
        <w:rPr>
          <w:lang w:val="en-US"/>
        </w:rPr>
        <w:tab/>
        <w:t>The SCE TDG was made a</w:t>
      </w:r>
      <w:r w:rsidR="00F551CC">
        <w:rPr>
          <w:lang w:val="en-US"/>
        </w:rPr>
        <w:t xml:space="preserve">ware of this document through informal document </w:t>
      </w:r>
      <w:r w:rsidR="00F551CC" w:rsidRPr="00F551CC">
        <w:rPr>
          <w:lang w:val="en-US"/>
        </w:rPr>
        <w:t>UN/SCETDG/57/INF.23</w:t>
      </w:r>
      <w:r w:rsidR="00F551CC">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F824A" w14:textId="72C30000" w:rsidR="00C83965" w:rsidRPr="0095385C" w:rsidRDefault="00836133" w:rsidP="00C83965">
    <w:pPr>
      <w:pStyle w:val="Header"/>
    </w:pPr>
    <w:bookmarkStart w:id="3" w:name="_Hlk42246861"/>
    <w:r w:rsidRPr="00836133">
      <w:t>UN/SCEGHS/39/INF.</w:t>
    </w:r>
    <w:r w:rsidR="00D54BF3">
      <w:t>22</w:t>
    </w:r>
  </w:p>
  <w:bookmarkEnd w:i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052D" w14:textId="4AD360E8" w:rsidR="000B008D" w:rsidRPr="0095385C" w:rsidRDefault="000B008D" w:rsidP="000B008D">
    <w:pPr>
      <w:pStyle w:val="Header"/>
      <w:jc w:val="right"/>
    </w:pPr>
    <w:r w:rsidRPr="00836133">
      <w:t>UN/SCEGHS/39/INF.</w:t>
    </w:r>
    <w:r w:rsidR="00D54BF3">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7F59E" w14:textId="77777777" w:rsidR="00C83965" w:rsidRPr="00C83965" w:rsidRDefault="00C83965" w:rsidP="00C8396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149E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627A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3852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DAC6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2A47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CAA9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9A37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28C2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740D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02EF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5AB6AEB"/>
    <w:multiLevelType w:val="hybridMultilevel"/>
    <w:tmpl w:val="F202D3BE"/>
    <w:lvl w:ilvl="0" w:tplc="25EC557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AF631FB"/>
    <w:multiLevelType w:val="multilevel"/>
    <w:tmpl w:val="5FD60F10"/>
    <w:lvl w:ilvl="0">
      <w:start w:val="1"/>
      <w:numFmt w:val="lowerLetter"/>
      <w:pStyle w:val="Bullet1G"/>
      <w:lvlText w:val="%1."/>
      <w:lvlJc w:val="left"/>
      <w:pPr>
        <w:tabs>
          <w:tab w:val="num" w:pos="1701"/>
        </w:tabs>
        <w:ind w:left="1701" w:hanging="283"/>
      </w:pPr>
      <w:rPr>
        <w:rFonts w:hint="default"/>
      </w:rPr>
    </w:lvl>
    <w:lvl w:ilvl="1">
      <w:start w:val="1"/>
      <w:numFmt w:val="lowerLetter"/>
      <w:lvlText w:val="%2."/>
      <w:lvlJc w:val="left"/>
      <w:pPr>
        <w:ind w:left="2971" w:hanging="360"/>
      </w:pPr>
      <w:rPr>
        <w:rFonts w:hint="default"/>
      </w:rPr>
    </w:lvl>
    <w:lvl w:ilvl="2">
      <w:start w:val="1"/>
      <w:numFmt w:val="lowerLetter"/>
      <w:lvlText w:val="%3."/>
      <w:lvlJc w:val="left"/>
      <w:pPr>
        <w:ind w:left="3691" w:hanging="180"/>
      </w:pPr>
      <w:rPr>
        <w:rFonts w:hint="default"/>
      </w:rPr>
    </w:lvl>
    <w:lvl w:ilvl="3">
      <w:start w:val="1"/>
      <w:numFmt w:val="decimal"/>
      <w:lvlText w:val="%4."/>
      <w:lvlJc w:val="left"/>
      <w:pPr>
        <w:ind w:left="4411" w:hanging="360"/>
      </w:pPr>
      <w:rPr>
        <w:rFonts w:hint="default"/>
      </w:rPr>
    </w:lvl>
    <w:lvl w:ilvl="4">
      <w:start w:val="1"/>
      <w:numFmt w:val="lowerLetter"/>
      <w:lvlText w:val="%5."/>
      <w:lvlJc w:val="left"/>
      <w:pPr>
        <w:ind w:left="5131" w:hanging="360"/>
      </w:pPr>
      <w:rPr>
        <w:rFonts w:hint="default"/>
      </w:rPr>
    </w:lvl>
    <w:lvl w:ilvl="5">
      <w:start w:val="1"/>
      <w:numFmt w:val="lowerRoman"/>
      <w:lvlText w:val="%6."/>
      <w:lvlJc w:val="right"/>
      <w:pPr>
        <w:ind w:left="5851" w:hanging="180"/>
      </w:pPr>
      <w:rPr>
        <w:rFonts w:hint="default"/>
      </w:rPr>
    </w:lvl>
    <w:lvl w:ilvl="6">
      <w:start w:val="1"/>
      <w:numFmt w:val="decimal"/>
      <w:lvlText w:val="%7."/>
      <w:lvlJc w:val="left"/>
      <w:pPr>
        <w:ind w:left="6571" w:hanging="360"/>
      </w:pPr>
      <w:rPr>
        <w:rFonts w:hint="default"/>
      </w:rPr>
    </w:lvl>
    <w:lvl w:ilvl="7">
      <w:start w:val="1"/>
      <w:numFmt w:val="lowerLetter"/>
      <w:lvlText w:val="%8."/>
      <w:lvlJc w:val="left"/>
      <w:pPr>
        <w:ind w:left="7291" w:hanging="360"/>
      </w:pPr>
      <w:rPr>
        <w:rFonts w:hint="default"/>
      </w:rPr>
    </w:lvl>
    <w:lvl w:ilvl="8">
      <w:start w:val="1"/>
      <w:numFmt w:val="lowerRoman"/>
      <w:lvlText w:val="%9."/>
      <w:lvlJc w:val="right"/>
      <w:pPr>
        <w:ind w:left="8011" w:hanging="180"/>
      </w:pPr>
      <w:rPr>
        <w:rFont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15"/>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08"/>
    <w:rsid w:val="00015354"/>
    <w:rsid w:val="000214BC"/>
    <w:rsid w:val="00021CD4"/>
    <w:rsid w:val="0003079A"/>
    <w:rsid w:val="00031773"/>
    <w:rsid w:val="0005632F"/>
    <w:rsid w:val="0006039D"/>
    <w:rsid w:val="000733F5"/>
    <w:rsid w:val="00084774"/>
    <w:rsid w:val="000A7964"/>
    <w:rsid w:val="000B008D"/>
    <w:rsid w:val="000B6ACF"/>
    <w:rsid w:val="000F3FA0"/>
    <w:rsid w:val="000F6040"/>
    <w:rsid w:val="0010166A"/>
    <w:rsid w:val="0010328E"/>
    <w:rsid w:val="00106393"/>
    <w:rsid w:val="00113712"/>
    <w:rsid w:val="00115A69"/>
    <w:rsid w:val="0011752B"/>
    <w:rsid w:val="00155CC8"/>
    <w:rsid w:val="0015677A"/>
    <w:rsid w:val="001568BC"/>
    <w:rsid w:val="001777A8"/>
    <w:rsid w:val="001B17E7"/>
    <w:rsid w:val="001C3663"/>
    <w:rsid w:val="001C5FE4"/>
    <w:rsid w:val="001E2D63"/>
    <w:rsid w:val="001F4343"/>
    <w:rsid w:val="00221BCF"/>
    <w:rsid w:val="002227DA"/>
    <w:rsid w:val="00223F9F"/>
    <w:rsid w:val="00225747"/>
    <w:rsid w:val="00226CEA"/>
    <w:rsid w:val="00230534"/>
    <w:rsid w:val="00232A53"/>
    <w:rsid w:val="00234884"/>
    <w:rsid w:val="00236385"/>
    <w:rsid w:val="00250B75"/>
    <w:rsid w:val="00272194"/>
    <w:rsid w:val="002B4FBB"/>
    <w:rsid w:val="002C129C"/>
    <w:rsid w:val="002F1D5D"/>
    <w:rsid w:val="0030695E"/>
    <w:rsid w:val="003074CA"/>
    <w:rsid w:val="00325B51"/>
    <w:rsid w:val="0032727C"/>
    <w:rsid w:val="00327F99"/>
    <w:rsid w:val="0033144A"/>
    <w:rsid w:val="00332163"/>
    <w:rsid w:val="00342D20"/>
    <w:rsid w:val="003450F7"/>
    <w:rsid w:val="00363E88"/>
    <w:rsid w:val="00370E42"/>
    <w:rsid w:val="00371089"/>
    <w:rsid w:val="00374AAB"/>
    <w:rsid w:val="003763A4"/>
    <w:rsid w:val="003A00C9"/>
    <w:rsid w:val="003A2A96"/>
    <w:rsid w:val="003A3245"/>
    <w:rsid w:val="003A3AA3"/>
    <w:rsid w:val="003B24CA"/>
    <w:rsid w:val="003B2653"/>
    <w:rsid w:val="003B5028"/>
    <w:rsid w:val="003C10B9"/>
    <w:rsid w:val="003C27B2"/>
    <w:rsid w:val="003E64B9"/>
    <w:rsid w:val="003F0577"/>
    <w:rsid w:val="0040348E"/>
    <w:rsid w:val="00403FAA"/>
    <w:rsid w:val="00406A6B"/>
    <w:rsid w:val="00410440"/>
    <w:rsid w:val="0041217C"/>
    <w:rsid w:val="00414970"/>
    <w:rsid w:val="00430A54"/>
    <w:rsid w:val="00437F3A"/>
    <w:rsid w:val="004648F9"/>
    <w:rsid w:val="0046607C"/>
    <w:rsid w:val="00467F8E"/>
    <w:rsid w:val="004768CC"/>
    <w:rsid w:val="004822ED"/>
    <w:rsid w:val="004852BE"/>
    <w:rsid w:val="004B5A77"/>
    <w:rsid w:val="004C2384"/>
    <w:rsid w:val="004D2031"/>
    <w:rsid w:val="004E7435"/>
    <w:rsid w:val="004F528D"/>
    <w:rsid w:val="004F6CB2"/>
    <w:rsid w:val="00500B5E"/>
    <w:rsid w:val="00522D72"/>
    <w:rsid w:val="0052612D"/>
    <w:rsid w:val="005338FF"/>
    <w:rsid w:val="005577A5"/>
    <w:rsid w:val="00574027"/>
    <w:rsid w:val="0058501B"/>
    <w:rsid w:val="00592369"/>
    <w:rsid w:val="00593E76"/>
    <w:rsid w:val="005B2FD2"/>
    <w:rsid w:val="005B7F28"/>
    <w:rsid w:val="005C0B65"/>
    <w:rsid w:val="005C4E09"/>
    <w:rsid w:val="005C7DA2"/>
    <w:rsid w:val="005D6230"/>
    <w:rsid w:val="005E535E"/>
    <w:rsid w:val="005E79BB"/>
    <w:rsid w:val="005F7AE9"/>
    <w:rsid w:val="0062617C"/>
    <w:rsid w:val="00630265"/>
    <w:rsid w:val="00633F54"/>
    <w:rsid w:val="0063675F"/>
    <w:rsid w:val="00643FEE"/>
    <w:rsid w:val="006443C2"/>
    <w:rsid w:val="00652926"/>
    <w:rsid w:val="00664E01"/>
    <w:rsid w:val="00686B73"/>
    <w:rsid w:val="0069387B"/>
    <w:rsid w:val="006A2C7D"/>
    <w:rsid w:val="006A7D7A"/>
    <w:rsid w:val="006C208E"/>
    <w:rsid w:val="006D3E76"/>
    <w:rsid w:val="006E06F4"/>
    <w:rsid w:val="00710C2E"/>
    <w:rsid w:val="00717408"/>
    <w:rsid w:val="0073032A"/>
    <w:rsid w:val="00755D6F"/>
    <w:rsid w:val="00760F29"/>
    <w:rsid w:val="00765933"/>
    <w:rsid w:val="00780F9F"/>
    <w:rsid w:val="0079253D"/>
    <w:rsid w:val="0079353F"/>
    <w:rsid w:val="0079466E"/>
    <w:rsid w:val="00797D49"/>
    <w:rsid w:val="007A0A9C"/>
    <w:rsid w:val="007A5031"/>
    <w:rsid w:val="007A5114"/>
    <w:rsid w:val="007B54F1"/>
    <w:rsid w:val="007C0763"/>
    <w:rsid w:val="007C1E4D"/>
    <w:rsid w:val="007C61DB"/>
    <w:rsid w:val="007C7B45"/>
    <w:rsid w:val="007D43A4"/>
    <w:rsid w:val="007E1FA7"/>
    <w:rsid w:val="007F00AB"/>
    <w:rsid w:val="007F1D3F"/>
    <w:rsid w:val="00803188"/>
    <w:rsid w:val="00806928"/>
    <w:rsid w:val="0081065C"/>
    <w:rsid w:val="00812E01"/>
    <w:rsid w:val="00820189"/>
    <w:rsid w:val="008203A6"/>
    <w:rsid w:val="00822F3B"/>
    <w:rsid w:val="0082308E"/>
    <w:rsid w:val="00823C8C"/>
    <w:rsid w:val="00827EB5"/>
    <w:rsid w:val="00836133"/>
    <w:rsid w:val="00845DD3"/>
    <w:rsid w:val="00854053"/>
    <w:rsid w:val="0087351F"/>
    <w:rsid w:val="00892DA1"/>
    <w:rsid w:val="008C20B8"/>
    <w:rsid w:val="008C506B"/>
    <w:rsid w:val="008D732A"/>
    <w:rsid w:val="008E45C8"/>
    <w:rsid w:val="008E4E2E"/>
    <w:rsid w:val="00903E1A"/>
    <w:rsid w:val="009079AB"/>
    <w:rsid w:val="009172EA"/>
    <w:rsid w:val="00923089"/>
    <w:rsid w:val="009260AB"/>
    <w:rsid w:val="00930F93"/>
    <w:rsid w:val="00931EBA"/>
    <w:rsid w:val="00937A9A"/>
    <w:rsid w:val="0094551F"/>
    <w:rsid w:val="00981D79"/>
    <w:rsid w:val="009843D6"/>
    <w:rsid w:val="009855D0"/>
    <w:rsid w:val="00990142"/>
    <w:rsid w:val="009960AE"/>
    <w:rsid w:val="009B2C62"/>
    <w:rsid w:val="009D2752"/>
    <w:rsid w:val="009E1F11"/>
    <w:rsid w:val="009E245E"/>
    <w:rsid w:val="009E42E4"/>
    <w:rsid w:val="009F54A4"/>
    <w:rsid w:val="009F772D"/>
    <w:rsid w:val="00A03283"/>
    <w:rsid w:val="00A228F3"/>
    <w:rsid w:val="00A40763"/>
    <w:rsid w:val="00A44539"/>
    <w:rsid w:val="00A475EC"/>
    <w:rsid w:val="00A55A91"/>
    <w:rsid w:val="00A55BFD"/>
    <w:rsid w:val="00A57ACB"/>
    <w:rsid w:val="00A610DC"/>
    <w:rsid w:val="00A61C9D"/>
    <w:rsid w:val="00A829F9"/>
    <w:rsid w:val="00A83A4A"/>
    <w:rsid w:val="00A84E18"/>
    <w:rsid w:val="00A87A85"/>
    <w:rsid w:val="00A9061F"/>
    <w:rsid w:val="00A91B52"/>
    <w:rsid w:val="00A92A54"/>
    <w:rsid w:val="00AA1315"/>
    <w:rsid w:val="00AA1847"/>
    <w:rsid w:val="00AA3D2B"/>
    <w:rsid w:val="00AA48BE"/>
    <w:rsid w:val="00AC365D"/>
    <w:rsid w:val="00AD0D70"/>
    <w:rsid w:val="00AE7491"/>
    <w:rsid w:val="00AF3680"/>
    <w:rsid w:val="00B01098"/>
    <w:rsid w:val="00B0659B"/>
    <w:rsid w:val="00B13C02"/>
    <w:rsid w:val="00B14403"/>
    <w:rsid w:val="00B23268"/>
    <w:rsid w:val="00B23A0E"/>
    <w:rsid w:val="00B50220"/>
    <w:rsid w:val="00B51183"/>
    <w:rsid w:val="00B62B16"/>
    <w:rsid w:val="00B64854"/>
    <w:rsid w:val="00B64CDA"/>
    <w:rsid w:val="00B77E3D"/>
    <w:rsid w:val="00B85035"/>
    <w:rsid w:val="00BA0687"/>
    <w:rsid w:val="00BA123E"/>
    <w:rsid w:val="00BA5A58"/>
    <w:rsid w:val="00BC2FF2"/>
    <w:rsid w:val="00BF0E50"/>
    <w:rsid w:val="00BF10BD"/>
    <w:rsid w:val="00C13576"/>
    <w:rsid w:val="00C13F89"/>
    <w:rsid w:val="00C40788"/>
    <w:rsid w:val="00C60AE5"/>
    <w:rsid w:val="00C64CCA"/>
    <w:rsid w:val="00C65283"/>
    <w:rsid w:val="00C75AA5"/>
    <w:rsid w:val="00C770F2"/>
    <w:rsid w:val="00C83965"/>
    <w:rsid w:val="00C945F6"/>
    <w:rsid w:val="00CA28D8"/>
    <w:rsid w:val="00CA5128"/>
    <w:rsid w:val="00CA58F1"/>
    <w:rsid w:val="00CB0413"/>
    <w:rsid w:val="00CD22D8"/>
    <w:rsid w:val="00CD7C45"/>
    <w:rsid w:val="00CE031D"/>
    <w:rsid w:val="00CE0742"/>
    <w:rsid w:val="00CF4E69"/>
    <w:rsid w:val="00D0604F"/>
    <w:rsid w:val="00D31A3B"/>
    <w:rsid w:val="00D35432"/>
    <w:rsid w:val="00D52E0C"/>
    <w:rsid w:val="00D54BF3"/>
    <w:rsid w:val="00D603F2"/>
    <w:rsid w:val="00D64A37"/>
    <w:rsid w:val="00D652F5"/>
    <w:rsid w:val="00D660CB"/>
    <w:rsid w:val="00D66E77"/>
    <w:rsid w:val="00D76CC6"/>
    <w:rsid w:val="00D841B8"/>
    <w:rsid w:val="00D95BAC"/>
    <w:rsid w:val="00DB521F"/>
    <w:rsid w:val="00DD1704"/>
    <w:rsid w:val="00DD396E"/>
    <w:rsid w:val="00DE542A"/>
    <w:rsid w:val="00DF6C66"/>
    <w:rsid w:val="00E0409C"/>
    <w:rsid w:val="00E14A90"/>
    <w:rsid w:val="00E15AE8"/>
    <w:rsid w:val="00E1727E"/>
    <w:rsid w:val="00E33A1A"/>
    <w:rsid w:val="00E362FE"/>
    <w:rsid w:val="00E60B62"/>
    <w:rsid w:val="00E94E82"/>
    <w:rsid w:val="00E952B4"/>
    <w:rsid w:val="00EA3F81"/>
    <w:rsid w:val="00EA5B52"/>
    <w:rsid w:val="00EB5D49"/>
    <w:rsid w:val="00ED0D5E"/>
    <w:rsid w:val="00ED21C3"/>
    <w:rsid w:val="00EF176A"/>
    <w:rsid w:val="00EF6381"/>
    <w:rsid w:val="00F025BA"/>
    <w:rsid w:val="00F03FE9"/>
    <w:rsid w:val="00F15ECD"/>
    <w:rsid w:val="00F22714"/>
    <w:rsid w:val="00F27F2C"/>
    <w:rsid w:val="00F41826"/>
    <w:rsid w:val="00F41B6B"/>
    <w:rsid w:val="00F551CC"/>
    <w:rsid w:val="00F62A01"/>
    <w:rsid w:val="00F6363A"/>
    <w:rsid w:val="00F645F9"/>
    <w:rsid w:val="00F648DE"/>
    <w:rsid w:val="00F66383"/>
    <w:rsid w:val="00F6640C"/>
    <w:rsid w:val="00F81305"/>
    <w:rsid w:val="00F81DC5"/>
    <w:rsid w:val="00F83795"/>
    <w:rsid w:val="00F84D75"/>
    <w:rsid w:val="00F91612"/>
    <w:rsid w:val="00FA63B2"/>
    <w:rsid w:val="00FB4DA4"/>
    <w:rsid w:val="00FD5578"/>
    <w:rsid w:val="00FE179E"/>
    <w:rsid w:val="00FF01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0DB45"/>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5"/>
      </w:numPr>
      <w:spacing w:after="120"/>
      <w:ind w:right="1134"/>
      <w:jc w:val="both"/>
    </w:pPr>
  </w:style>
  <w:style w:type="paragraph" w:customStyle="1" w:styleId="Bullet2G">
    <w:name w:val="_Bullet 2_G"/>
    <w:basedOn w:val="Normal"/>
    <w:qFormat/>
    <w:rsid w:val="00930F93"/>
    <w:pPr>
      <w:numPr>
        <w:numId w:val="1"/>
      </w:numPr>
      <w:spacing w:after="120"/>
      <w:ind w:right="1134"/>
      <w:jc w:val="both"/>
    </w:pPr>
  </w:style>
  <w:style w:type="character" w:styleId="EndnoteReference">
    <w:name w:val="endnote reference"/>
    <w:aliases w:val="1_G"/>
    <w:basedOn w:val="FootnoteReference"/>
    <w:qFormat/>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rsid w:val="00930F93"/>
    <w:rPr>
      <w:color w:val="auto"/>
      <w:u w:val="none"/>
    </w:rPr>
  </w:style>
  <w:style w:type="paragraph" w:styleId="Footer">
    <w:name w:val="footer"/>
    <w:aliases w:val="3_G"/>
    <w:basedOn w:val="Normal"/>
    <w:link w:val="FooterChar"/>
    <w:qFormat/>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paragraph" w:customStyle="1" w:styleId="ParNoG">
    <w:name w:val="_ParNo_G"/>
    <w:basedOn w:val="SingleTxtG"/>
    <w:qFormat/>
    <w:rsid w:val="004768CC"/>
    <w:pPr>
      <w:numPr>
        <w:numId w:val="4"/>
      </w:numPr>
      <w:suppressAutoHyphens w:val="0"/>
    </w:pPr>
    <w:rPr>
      <w:lang w:eastAsia="zh-CN"/>
    </w:rPr>
  </w:style>
  <w:style w:type="numbering" w:styleId="111111">
    <w:name w:val="Outline List 2"/>
    <w:basedOn w:val="NoList"/>
    <w:semiHidden/>
    <w:rsid w:val="004768CC"/>
    <w:pPr>
      <w:numPr>
        <w:numId w:val="2"/>
      </w:numPr>
    </w:pPr>
  </w:style>
  <w:style w:type="numbering" w:styleId="1ai">
    <w:name w:val="Outline List 1"/>
    <w:basedOn w:val="NoList"/>
    <w:semiHidden/>
    <w:rsid w:val="004768CC"/>
    <w:pPr>
      <w:numPr>
        <w:numId w:val="3"/>
      </w:numPr>
    </w:pPr>
  </w:style>
  <w:style w:type="paragraph" w:styleId="ListParagraph">
    <w:name w:val="List Paragraph"/>
    <w:basedOn w:val="Normal"/>
    <w:uiPriority w:val="34"/>
    <w:qFormat/>
    <w:rsid w:val="004768CC"/>
    <w:pPr>
      <w:suppressAutoHyphens w:val="0"/>
      <w:spacing w:line="240" w:lineRule="auto"/>
      <w:ind w:left="720"/>
    </w:pPr>
    <w:rPr>
      <w:rFonts w:ascii="Calibri" w:eastAsiaTheme="minorHAnsi" w:hAnsi="Calibri" w:cs="Calibri"/>
      <w:sz w:val="22"/>
      <w:szCs w:val="22"/>
    </w:rPr>
  </w:style>
  <w:style w:type="character" w:customStyle="1" w:styleId="StyleBold">
    <w:name w:val="Style Bold"/>
    <w:semiHidden/>
    <w:rsid w:val="004768CC"/>
    <w:rPr>
      <w:rFonts w:ascii="Times New Roman" w:hAnsi="Times New Roman" w:cs="Times New Roman" w:hint="default"/>
      <w:b/>
      <w:bCs/>
    </w:rPr>
  </w:style>
  <w:style w:type="character" w:customStyle="1" w:styleId="StyleItalic">
    <w:name w:val="Style Italic"/>
    <w:semiHidden/>
    <w:rsid w:val="004768CC"/>
    <w:rPr>
      <w:rFonts w:ascii="Times New Roman" w:hAnsi="Times New Roman"/>
      <w:i/>
      <w:iCs/>
    </w:rPr>
  </w:style>
  <w:style w:type="paragraph" w:customStyle="1" w:styleId="Style1">
    <w:name w:val="Style1"/>
    <w:basedOn w:val="Normal"/>
    <w:rsid w:val="004768CC"/>
    <w:pPr>
      <w:widowControl w:val="0"/>
      <w:suppressAutoHyphens w:val="0"/>
      <w:spacing w:line="240" w:lineRule="auto"/>
      <w:jc w:val="both"/>
    </w:pPr>
    <w:rPr>
      <w:snapToGrid w:val="0"/>
      <w:sz w:val="24"/>
      <w:lang w:val="en-US"/>
    </w:rPr>
  </w:style>
  <w:style w:type="paragraph" w:customStyle="1" w:styleId="GHSBodyText">
    <w:name w:val="GHSBody Text"/>
    <w:basedOn w:val="BodyText"/>
    <w:link w:val="GHSBodyTextChar"/>
    <w:rsid w:val="004768CC"/>
    <w:pPr>
      <w:tabs>
        <w:tab w:val="left" w:pos="1418"/>
        <w:tab w:val="left" w:pos="1985"/>
        <w:tab w:val="left" w:pos="2552"/>
        <w:tab w:val="left" w:pos="3119"/>
        <w:tab w:val="left" w:pos="3686"/>
      </w:tabs>
      <w:suppressAutoHyphens w:val="0"/>
      <w:kinsoku/>
      <w:overflowPunct/>
      <w:snapToGrid/>
      <w:spacing w:after="240" w:line="240" w:lineRule="auto"/>
      <w:jc w:val="both"/>
    </w:pPr>
    <w:rPr>
      <w:rFonts w:eastAsia="Times New Roman"/>
      <w:sz w:val="22"/>
      <w:lang w:eastAsia="en-US"/>
    </w:rPr>
  </w:style>
  <w:style w:type="character" w:customStyle="1" w:styleId="GHSBodyTextChar">
    <w:name w:val="GHSBody Text Char"/>
    <w:link w:val="GHSBodyText"/>
    <w:rsid w:val="004768CC"/>
    <w:rPr>
      <w:rFonts w:eastAsia="Times New Roman"/>
      <w:sz w:val="22"/>
      <w:lang w:eastAsia="en-US"/>
    </w:rPr>
  </w:style>
  <w:style w:type="paragraph" w:styleId="BodyText">
    <w:name w:val="Body Text"/>
    <w:basedOn w:val="Normal"/>
    <w:link w:val="BodyTextChar"/>
    <w:uiPriority w:val="99"/>
    <w:semiHidden/>
    <w:unhideWhenUsed/>
    <w:rsid w:val="004768CC"/>
    <w:pPr>
      <w:kinsoku w:val="0"/>
      <w:overflowPunct w:val="0"/>
      <w:autoSpaceDE w:val="0"/>
      <w:autoSpaceDN w:val="0"/>
      <w:adjustRightInd w:val="0"/>
      <w:snapToGrid w:val="0"/>
      <w:spacing w:after="120"/>
    </w:pPr>
    <w:rPr>
      <w:rFonts w:eastAsia="SimSun"/>
      <w:lang w:eastAsia="zh-CN"/>
    </w:rPr>
  </w:style>
  <w:style w:type="character" w:customStyle="1" w:styleId="BodyTextChar">
    <w:name w:val="Body Text Char"/>
    <w:basedOn w:val="DefaultParagraphFont"/>
    <w:link w:val="BodyText"/>
    <w:uiPriority w:val="99"/>
    <w:semiHidden/>
    <w:rsid w:val="004768CC"/>
    <w:rPr>
      <w:rFonts w:eastAsia="SimSun"/>
    </w:rPr>
  </w:style>
  <w:style w:type="character" w:styleId="CommentReference">
    <w:name w:val="annotation reference"/>
    <w:basedOn w:val="DefaultParagraphFont"/>
    <w:uiPriority w:val="99"/>
    <w:semiHidden/>
    <w:unhideWhenUsed/>
    <w:rsid w:val="008C20B8"/>
    <w:rPr>
      <w:sz w:val="16"/>
      <w:szCs w:val="16"/>
    </w:rPr>
  </w:style>
  <w:style w:type="paragraph" w:styleId="CommentText">
    <w:name w:val="annotation text"/>
    <w:basedOn w:val="Normal"/>
    <w:link w:val="CommentTextChar"/>
    <w:uiPriority w:val="99"/>
    <w:unhideWhenUsed/>
    <w:rsid w:val="008C20B8"/>
    <w:pPr>
      <w:spacing w:line="240" w:lineRule="auto"/>
    </w:pPr>
  </w:style>
  <w:style w:type="character" w:customStyle="1" w:styleId="CommentTextChar">
    <w:name w:val="Comment Text Char"/>
    <w:basedOn w:val="DefaultParagraphFont"/>
    <w:link w:val="CommentText"/>
    <w:uiPriority w:val="99"/>
    <w:rsid w:val="008C20B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8C20B8"/>
    <w:rPr>
      <w:b/>
      <w:bCs/>
    </w:rPr>
  </w:style>
  <w:style w:type="character" w:customStyle="1" w:styleId="CommentSubjectChar">
    <w:name w:val="Comment Subject Char"/>
    <w:basedOn w:val="CommentTextChar"/>
    <w:link w:val="CommentSubject"/>
    <w:uiPriority w:val="99"/>
    <w:semiHidden/>
    <w:rsid w:val="008C20B8"/>
    <w:rPr>
      <w:rFonts w:eastAsia="Times New Roman"/>
      <w:b/>
      <w:bCs/>
      <w:lang w:eastAsia="en-US"/>
    </w:rPr>
  </w:style>
  <w:style w:type="character" w:customStyle="1" w:styleId="H1GChar">
    <w:name w:val="_ H_1_G Char"/>
    <w:link w:val="H1G"/>
    <w:rsid w:val="0015677A"/>
    <w:rPr>
      <w:rFonts w:eastAsia="Times New Roman"/>
      <w:b/>
      <w:sz w:val="24"/>
      <w:lang w:eastAsia="en-US"/>
    </w:rPr>
  </w:style>
  <w:style w:type="table" w:customStyle="1" w:styleId="Tabellrutnt1">
    <w:name w:val="Tabellrutnät1"/>
    <w:basedOn w:val="TableNormal"/>
    <w:uiPriority w:val="39"/>
    <w:rsid w:val="00AA48BE"/>
    <w:pPr>
      <w:spacing w:line="256" w:lineRule="auto"/>
    </w:pPr>
    <w:rPr>
      <w:rFonts w:ascii="Arial" w:eastAsia="Garamond" w:hAnsi="Arial"/>
      <w:sz w:val="18"/>
      <w:szCs w:val="23"/>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E58E4-CEC4-4F91-91D3-23BBDB542341}">
  <ds:schemaRefs>
    <ds:schemaRef ds:uri="http://schemas.microsoft.com/sharepoint/v3/contenttype/forms"/>
  </ds:schemaRefs>
</ds:datastoreItem>
</file>

<file path=customXml/itemProps2.xml><?xml version="1.0" encoding="utf-8"?>
<ds:datastoreItem xmlns:ds="http://schemas.openxmlformats.org/officeDocument/2006/customXml" ds:itemID="{0F0CC99C-CEDB-44E6-B43A-F06826D0E4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8A6C43-2F1F-4769-A644-DD831A780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78A6B1-B8E2-456E-A393-01D89DD5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1202</Words>
  <Characters>6915</Characters>
  <Application>Microsoft Office Word</Application>
  <DocSecurity>0</DocSecurity>
  <Lines>115</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ECE-ISU</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Garcia-Couto</dc:creator>
  <cp:lastModifiedBy>Rosa</cp:lastModifiedBy>
  <cp:revision>14</cp:revision>
  <cp:lastPrinted>2020-11-06T12:38:00Z</cp:lastPrinted>
  <dcterms:created xsi:type="dcterms:W3CDTF">2020-11-06T12:42:00Z</dcterms:created>
  <dcterms:modified xsi:type="dcterms:W3CDTF">2020-11-06T14:31:00Z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