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DF6055" w:rsidRPr="00ED773C" w14:paraId="2F635E2B" w14:textId="77777777" w:rsidTr="000216CC">
        <w:trPr>
          <w:trHeight w:val="851"/>
        </w:trPr>
        <w:tc>
          <w:tcPr>
            <w:tcW w:w="1259" w:type="dxa"/>
            <w:tcBorders>
              <w:top w:val="nil"/>
              <w:left w:val="nil"/>
              <w:bottom w:val="single" w:sz="4" w:space="0" w:color="auto"/>
              <w:right w:val="nil"/>
            </w:tcBorders>
            <w:shd w:val="clear" w:color="auto" w:fill="auto"/>
          </w:tcPr>
          <w:p w14:paraId="17D9D754" w14:textId="77777777" w:rsidR="003003A7" w:rsidRPr="00DF6055" w:rsidRDefault="003003A7" w:rsidP="003003A7">
            <w:pPr>
              <w:spacing w:after="80" w:line="340" w:lineRule="exact"/>
            </w:pPr>
            <w:bookmarkStart w:id="0" w:name="_GoBack"/>
            <w:bookmarkEnd w:id="0"/>
          </w:p>
        </w:tc>
        <w:tc>
          <w:tcPr>
            <w:tcW w:w="2236" w:type="dxa"/>
            <w:tcBorders>
              <w:top w:val="nil"/>
              <w:left w:val="nil"/>
              <w:bottom w:val="single" w:sz="4" w:space="0" w:color="auto"/>
              <w:right w:val="nil"/>
            </w:tcBorders>
            <w:shd w:val="clear" w:color="auto" w:fill="auto"/>
            <w:vAlign w:val="bottom"/>
          </w:tcPr>
          <w:p w14:paraId="1B268031" w14:textId="77777777" w:rsidR="003003A7" w:rsidRPr="00DF6055" w:rsidRDefault="003003A7" w:rsidP="003003A7">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2F10A700" w14:textId="545BAA82" w:rsidR="003003A7" w:rsidRPr="00DF6055" w:rsidRDefault="003003A7" w:rsidP="003003A7">
            <w:pPr>
              <w:jc w:val="right"/>
              <w:rPr>
                <w:b/>
                <w:sz w:val="40"/>
                <w:szCs w:val="40"/>
                <w:lang w:val="fr-FR"/>
              </w:rPr>
            </w:pPr>
            <w:r w:rsidRPr="00DF6055">
              <w:rPr>
                <w:b/>
                <w:sz w:val="40"/>
                <w:szCs w:val="40"/>
                <w:lang w:val="fr-FR"/>
              </w:rPr>
              <w:t>UN/SCE</w:t>
            </w:r>
            <w:r w:rsidR="009E7EDE" w:rsidRPr="00DF6055">
              <w:rPr>
                <w:b/>
                <w:sz w:val="40"/>
                <w:szCs w:val="40"/>
                <w:lang w:val="fr-FR"/>
              </w:rPr>
              <w:t>TDG</w:t>
            </w:r>
            <w:r w:rsidRPr="00DF6055">
              <w:rPr>
                <w:b/>
                <w:sz w:val="40"/>
                <w:szCs w:val="40"/>
                <w:lang w:val="fr-FR"/>
              </w:rPr>
              <w:t>/</w:t>
            </w:r>
            <w:r w:rsidR="009E7EDE" w:rsidRPr="00DF6055">
              <w:rPr>
                <w:b/>
                <w:sz w:val="40"/>
                <w:szCs w:val="40"/>
                <w:lang w:val="fr-FR"/>
              </w:rPr>
              <w:t>57</w:t>
            </w:r>
            <w:r w:rsidRPr="00DF6055">
              <w:rPr>
                <w:b/>
                <w:sz w:val="40"/>
                <w:szCs w:val="40"/>
                <w:lang w:val="fr-FR"/>
              </w:rPr>
              <w:t>/INF.</w:t>
            </w:r>
            <w:r w:rsidR="00C252A7">
              <w:rPr>
                <w:b/>
                <w:sz w:val="40"/>
                <w:szCs w:val="40"/>
                <w:lang w:val="fr-FR"/>
              </w:rPr>
              <w:t>16</w:t>
            </w:r>
          </w:p>
          <w:p w14:paraId="6A44E22F" w14:textId="357215AA" w:rsidR="009E7EDE" w:rsidRPr="00DF6055" w:rsidRDefault="009E7EDE" w:rsidP="003003A7">
            <w:pPr>
              <w:jc w:val="right"/>
              <w:rPr>
                <w:b/>
                <w:sz w:val="40"/>
                <w:szCs w:val="40"/>
                <w:lang w:val="fr-FR"/>
              </w:rPr>
            </w:pPr>
            <w:r w:rsidRPr="00DF6055">
              <w:rPr>
                <w:b/>
                <w:sz w:val="40"/>
                <w:szCs w:val="40"/>
                <w:lang w:val="fr-FR"/>
              </w:rPr>
              <w:t>UN/SCEGHS/39/INF.</w:t>
            </w:r>
            <w:r w:rsidR="00C252A7">
              <w:rPr>
                <w:b/>
                <w:sz w:val="40"/>
                <w:szCs w:val="40"/>
                <w:lang w:val="fr-FR"/>
              </w:rPr>
              <w:t>13</w:t>
            </w:r>
          </w:p>
          <w:p w14:paraId="2CE3849E" w14:textId="77777777" w:rsidR="003003A7" w:rsidRPr="00DF6055" w:rsidRDefault="003003A7" w:rsidP="003003A7">
            <w:pPr>
              <w:jc w:val="right"/>
              <w:rPr>
                <w:lang w:val="fr-FR"/>
              </w:rPr>
            </w:pPr>
          </w:p>
        </w:tc>
      </w:tr>
    </w:tbl>
    <w:tbl>
      <w:tblPr>
        <w:tblW w:w="9645" w:type="dxa"/>
        <w:tblInd w:w="108" w:type="dxa"/>
        <w:tblLayout w:type="fixed"/>
        <w:tblLook w:val="04A0" w:firstRow="1" w:lastRow="0" w:firstColumn="1" w:lastColumn="0" w:noHBand="0" w:noVBand="1"/>
      </w:tblPr>
      <w:tblGrid>
        <w:gridCol w:w="4652"/>
        <w:gridCol w:w="4993"/>
      </w:tblGrid>
      <w:tr w:rsidR="00DF6055" w:rsidRPr="00DF6055" w14:paraId="45A25DD4" w14:textId="77777777" w:rsidTr="00360D5D">
        <w:tc>
          <w:tcPr>
            <w:tcW w:w="9645" w:type="dxa"/>
            <w:gridSpan w:val="2"/>
            <w:tcMar>
              <w:top w:w="142" w:type="dxa"/>
              <w:left w:w="108" w:type="dxa"/>
              <w:bottom w:w="142" w:type="dxa"/>
              <w:right w:w="108" w:type="dxa"/>
            </w:tcMar>
          </w:tcPr>
          <w:p w14:paraId="15CBC71D" w14:textId="19ACD452" w:rsidR="0039115F" w:rsidRPr="00DF6055" w:rsidRDefault="0039115F" w:rsidP="00AB3FD7">
            <w:pPr>
              <w:tabs>
                <w:tab w:val="right" w:pos="9214"/>
              </w:tabs>
            </w:pPr>
            <w:r w:rsidRPr="00DF6055">
              <w:rPr>
                <w:b/>
                <w:sz w:val="24"/>
                <w:szCs w:val="24"/>
              </w:rPr>
              <w:t>Committee of Experts on the Transport of Dangerous Goods</w:t>
            </w:r>
            <w:r w:rsidRPr="00DF6055">
              <w:rPr>
                <w:b/>
                <w:sz w:val="24"/>
                <w:szCs w:val="24"/>
              </w:rPr>
              <w:tab/>
            </w:r>
            <w:r w:rsidRPr="00DF6055">
              <w:rPr>
                <w:b/>
                <w:sz w:val="24"/>
                <w:szCs w:val="24"/>
              </w:rPr>
              <w:br/>
              <w:t>and on the Globally Harmonized System of Classification</w:t>
            </w:r>
            <w:r w:rsidRPr="00DF6055">
              <w:rPr>
                <w:b/>
                <w:sz w:val="24"/>
                <w:szCs w:val="24"/>
              </w:rPr>
              <w:br/>
              <w:t>and Labelling of Chemicals</w:t>
            </w:r>
            <w:r w:rsidRPr="00DF6055">
              <w:rPr>
                <w:b/>
              </w:rPr>
              <w:tab/>
            </w:r>
            <w:r w:rsidR="00170C34">
              <w:rPr>
                <w:b/>
              </w:rPr>
              <w:t>3</w:t>
            </w:r>
            <w:r w:rsidRPr="00DF6055">
              <w:rPr>
                <w:b/>
              </w:rPr>
              <w:t xml:space="preserve"> Ju</w:t>
            </w:r>
            <w:r w:rsidR="00AB3FD7">
              <w:rPr>
                <w:b/>
              </w:rPr>
              <w:t>ly</w:t>
            </w:r>
            <w:r w:rsidRPr="00DF6055">
              <w:rPr>
                <w:b/>
              </w:rPr>
              <w:t xml:space="preserve"> 2020</w:t>
            </w:r>
          </w:p>
        </w:tc>
      </w:tr>
      <w:tr w:rsidR="00DF6055" w:rsidRPr="00DF6055" w14:paraId="0DECC91D" w14:textId="77777777" w:rsidTr="00360D5D">
        <w:tc>
          <w:tcPr>
            <w:tcW w:w="4652" w:type="dxa"/>
            <w:tcMar>
              <w:top w:w="57" w:type="dxa"/>
              <w:left w:w="108" w:type="dxa"/>
              <w:bottom w:w="0" w:type="dxa"/>
              <w:right w:w="108" w:type="dxa"/>
            </w:tcMar>
            <w:vAlign w:val="center"/>
          </w:tcPr>
          <w:p w14:paraId="00F673FF" w14:textId="77777777" w:rsidR="0039115F" w:rsidRPr="00DF6055" w:rsidRDefault="0039115F" w:rsidP="00360D5D">
            <w:pPr>
              <w:spacing w:before="120"/>
              <w:rPr>
                <w:b/>
              </w:rPr>
            </w:pPr>
            <w:r w:rsidRPr="00DF6055">
              <w:rPr>
                <w:b/>
              </w:rPr>
              <w:t xml:space="preserve">Sub-Committee of Experts on the </w:t>
            </w:r>
            <w:r w:rsidRPr="00DF6055">
              <w:rPr>
                <w:b/>
              </w:rPr>
              <w:br/>
              <w:t xml:space="preserve">Transport of Dangerous Goods </w:t>
            </w:r>
          </w:p>
        </w:tc>
        <w:tc>
          <w:tcPr>
            <w:tcW w:w="4993" w:type="dxa"/>
            <w:tcMar>
              <w:top w:w="57" w:type="dxa"/>
              <w:left w:w="108" w:type="dxa"/>
              <w:bottom w:w="0" w:type="dxa"/>
              <w:right w:w="108" w:type="dxa"/>
            </w:tcMar>
            <w:vAlign w:val="center"/>
          </w:tcPr>
          <w:p w14:paraId="09CCB949" w14:textId="77777777" w:rsidR="0039115F" w:rsidRPr="00DF6055" w:rsidRDefault="0039115F" w:rsidP="00360D5D">
            <w:pPr>
              <w:spacing w:before="120"/>
              <w:rPr>
                <w:b/>
              </w:rPr>
            </w:pPr>
            <w:r w:rsidRPr="00DF6055">
              <w:rPr>
                <w:b/>
              </w:rPr>
              <w:t>Sub-Committee of Experts on the Globally Harmonized System of Classification and Labelling of Chemicals</w:t>
            </w:r>
          </w:p>
        </w:tc>
      </w:tr>
      <w:tr w:rsidR="00DF6055" w:rsidRPr="00DF6055" w14:paraId="5787C3D9" w14:textId="77777777" w:rsidTr="00360D5D">
        <w:tc>
          <w:tcPr>
            <w:tcW w:w="4652" w:type="dxa"/>
            <w:tcMar>
              <w:top w:w="57" w:type="dxa"/>
              <w:left w:w="108" w:type="dxa"/>
              <w:bottom w:w="0" w:type="dxa"/>
              <w:right w:w="108" w:type="dxa"/>
            </w:tcMar>
          </w:tcPr>
          <w:p w14:paraId="4FEC273A" w14:textId="77777777" w:rsidR="0039115F" w:rsidRPr="00DF6055" w:rsidRDefault="0039115F" w:rsidP="00360D5D">
            <w:pPr>
              <w:spacing w:before="120"/>
              <w:ind w:left="34" w:hanging="34"/>
              <w:rPr>
                <w:b/>
              </w:rPr>
            </w:pPr>
            <w:r w:rsidRPr="00DF6055">
              <w:rPr>
                <w:b/>
              </w:rPr>
              <w:t>Fifty-seventh session</w:t>
            </w:r>
          </w:p>
        </w:tc>
        <w:tc>
          <w:tcPr>
            <w:tcW w:w="4993" w:type="dxa"/>
            <w:tcMar>
              <w:top w:w="57" w:type="dxa"/>
              <w:left w:w="108" w:type="dxa"/>
              <w:bottom w:w="0" w:type="dxa"/>
              <w:right w:w="108" w:type="dxa"/>
            </w:tcMar>
          </w:tcPr>
          <w:p w14:paraId="31A9BB6B" w14:textId="77777777" w:rsidR="0039115F" w:rsidRPr="00DF6055" w:rsidRDefault="0039115F" w:rsidP="00360D5D">
            <w:pPr>
              <w:spacing w:before="120"/>
              <w:ind w:left="34" w:hanging="34"/>
              <w:rPr>
                <w:b/>
              </w:rPr>
            </w:pPr>
            <w:r w:rsidRPr="00DF6055">
              <w:rPr>
                <w:b/>
              </w:rPr>
              <w:t xml:space="preserve">Thirty-ninth session </w:t>
            </w:r>
          </w:p>
        </w:tc>
      </w:tr>
      <w:tr w:rsidR="00DF6055" w:rsidRPr="00DF6055" w14:paraId="34779490" w14:textId="77777777" w:rsidTr="00360D5D">
        <w:tc>
          <w:tcPr>
            <w:tcW w:w="4652" w:type="dxa"/>
            <w:tcMar>
              <w:top w:w="28" w:type="dxa"/>
              <w:left w:w="108" w:type="dxa"/>
              <w:bottom w:w="0" w:type="dxa"/>
              <w:right w:w="108" w:type="dxa"/>
            </w:tcMar>
          </w:tcPr>
          <w:p w14:paraId="0E713CB8" w14:textId="77777777" w:rsidR="0039115F" w:rsidRPr="00DF6055" w:rsidRDefault="0039115F" w:rsidP="0039115F">
            <w:r w:rsidRPr="00DF6055">
              <w:t>Geneva, 29 June-8 July 2020</w:t>
            </w:r>
          </w:p>
          <w:p w14:paraId="2D0683FC" w14:textId="77777777" w:rsidR="007E1BE6" w:rsidRPr="00DF6055" w:rsidRDefault="007E1BE6" w:rsidP="007E1BE6">
            <w:pPr>
              <w:ind w:right="57"/>
              <w:jc w:val="both"/>
            </w:pPr>
            <w:r w:rsidRPr="00DF6055">
              <w:t>Item 10 (a) of the provisional agenda</w:t>
            </w:r>
          </w:p>
          <w:p w14:paraId="26868EA5" w14:textId="6E021656" w:rsidR="0039115F" w:rsidRPr="00DF6055" w:rsidRDefault="007E1BE6" w:rsidP="007E1BE6">
            <w:pPr>
              <w:rPr>
                <w:b/>
                <w:bCs/>
                <w:highlight w:val="yellow"/>
              </w:rPr>
            </w:pPr>
            <w:r w:rsidRPr="00DF6055">
              <w:rPr>
                <w:b/>
              </w:rPr>
              <w:t xml:space="preserve">Issues relating to the Globally Harmonized System </w:t>
            </w:r>
            <w:r w:rsidRPr="00DF6055">
              <w:rPr>
                <w:b/>
              </w:rPr>
              <w:br/>
              <w:t xml:space="preserve">of Classification and Labelling of Chemicals: </w:t>
            </w:r>
            <w:r w:rsidRPr="00DF6055">
              <w:rPr>
                <w:b/>
              </w:rPr>
              <w:br/>
              <w:t>review of Chapter 2.1</w:t>
            </w:r>
          </w:p>
        </w:tc>
        <w:tc>
          <w:tcPr>
            <w:tcW w:w="4993" w:type="dxa"/>
            <w:tcMar>
              <w:top w:w="28" w:type="dxa"/>
              <w:left w:w="108" w:type="dxa"/>
              <w:bottom w:w="0" w:type="dxa"/>
              <w:right w:w="108" w:type="dxa"/>
            </w:tcMar>
          </w:tcPr>
          <w:p w14:paraId="131B1B06" w14:textId="77777777" w:rsidR="0039115F" w:rsidRPr="00DF6055" w:rsidRDefault="0039115F" w:rsidP="0039115F">
            <w:r w:rsidRPr="00DF6055">
              <w:t>Geneva, 8-10 July 2020</w:t>
            </w:r>
          </w:p>
          <w:p w14:paraId="11E868CF" w14:textId="159EECD8" w:rsidR="0039115F" w:rsidRPr="00DF6055" w:rsidRDefault="0039115F" w:rsidP="0039115F">
            <w:pPr>
              <w:rPr>
                <w:highlight w:val="yellow"/>
              </w:rPr>
            </w:pPr>
            <w:r w:rsidRPr="00DF6055">
              <w:t xml:space="preserve">Item </w:t>
            </w:r>
            <w:r w:rsidR="009E7EDE" w:rsidRPr="00DF6055">
              <w:t>2 (b)</w:t>
            </w:r>
            <w:r w:rsidRPr="00DF6055">
              <w:t xml:space="preserve"> of the provisional agenda</w:t>
            </w:r>
          </w:p>
          <w:p w14:paraId="1C098672" w14:textId="6296EDA5" w:rsidR="0039115F" w:rsidRPr="00DF6055" w:rsidRDefault="009E7EDE" w:rsidP="0039115F">
            <w:pPr>
              <w:rPr>
                <w:b/>
                <w:bCs/>
              </w:rPr>
            </w:pPr>
            <w:r w:rsidRPr="00DF6055">
              <w:rPr>
                <w:b/>
                <w:bCs/>
              </w:rPr>
              <w:t>Classification criteria and related hazard communication: review of Chapter 2.1</w:t>
            </w:r>
          </w:p>
        </w:tc>
      </w:tr>
    </w:tbl>
    <w:p w14:paraId="18A450CA" w14:textId="232DC90E" w:rsidR="006B4518" w:rsidRPr="008C24CC" w:rsidRDefault="006B4518" w:rsidP="009E7EDE">
      <w:pPr>
        <w:pStyle w:val="HChG"/>
        <w:spacing w:before="240" w:after="120"/>
        <w:rPr>
          <w:lang w:val="en-GB"/>
        </w:rPr>
      </w:pPr>
      <w:r w:rsidRPr="00DF6055">
        <w:tab/>
      </w:r>
      <w:r w:rsidRPr="00DF6055">
        <w:tab/>
      </w:r>
      <w:r w:rsidR="00E07C46" w:rsidRPr="00DF6055">
        <w:rPr>
          <w:lang w:val="en-GB"/>
        </w:rPr>
        <w:t xml:space="preserve">Status report on the review of </w:t>
      </w:r>
      <w:r w:rsidR="00445C9D" w:rsidRPr="00DF6055">
        <w:t>GHS Chapter 2.1</w:t>
      </w:r>
      <w:r w:rsidR="008C24CC" w:rsidRPr="008C24CC">
        <w:rPr>
          <w:lang w:val="en-GB"/>
        </w:rPr>
        <w:t xml:space="preserve"> – update on the open issues</w:t>
      </w:r>
    </w:p>
    <w:p w14:paraId="72BC1D89" w14:textId="72AAC737" w:rsidR="00055FF2" w:rsidRPr="00DF6055" w:rsidRDefault="006B4518" w:rsidP="00DA7F19">
      <w:pPr>
        <w:pStyle w:val="H1G"/>
        <w:rPr>
          <w:lang w:val="en-US"/>
        </w:rPr>
      </w:pPr>
      <w:r w:rsidRPr="00DF6055">
        <w:tab/>
      </w:r>
      <w:r w:rsidRPr="00DF6055">
        <w:tab/>
        <w:t xml:space="preserve">Transmitted by </w:t>
      </w:r>
      <w:r w:rsidR="00055FF2" w:rsidRPr="00DF6055">
        <w:t xml:space="preserve">the expert from </w:t>
      </w:r>
      <w:r w:rsidR="00E07C46" w:rsidRPr="00DF6055">
        <w:t>Sweden</w:t>
      </w:r>
    </w:p>
    <w:p w14:paraId="35C60DE7" w14:textId="4BE6CF7D" w:rsidR="00BB183E" w:rsidRPr="00DF6055" w:rsidRDefault="00E07C46" w:rsidP="00BB183E">
      <w:pPr>
        <w:pStyle w:val="HChG"/>
        <w:ind w:left="2268"/>
        <w:rPr>
          <w:sz w:val="22"/>
          <w:lang w:val="en-GB"/>
        </w:rPr>
      </w:pPr>
      <w:r w:rsidRPr="00DF6055">
        <w:rPr>
          <w:lang w:val="en-GB"/>
        </w:rPr>
        <w:t>Background</w:t>
      </w:r>
    </w:p>
    <w:p w14:paraId="0A101796" w14:textId="1C3265EF" w:rsidR="009C61B6" w:rsidRPr="00DF6055" w:rsidRDefault="002D1C67" w:rsidP="002D1C67">
      <w:pPr>
        <w:pStyle w:val="SingleTxtG"/>
      </w:pPr>
      <w:r w:rsidRPr="00DF6055">
        <w:t>1.</w:t>
      </w:r>
      <w:r w:rsidRPr="00DF6055">
        <w:tab/>
      </w:r>
      <w:r w:rsidR="00DA7F19" w:rsidRPr="00DF6055">
        <w:rPr>
          <w:lang w:val="en-US"/>
        </w:rPr>
        <w:t>D</w:t>
      </w:r>
      <w:r w:rsidR="009C61B6" w:rsidRPr="00DF6055">
        <w:rPr>
          <w:lang w:val="en-US"/>
        </w:rPr>
        <w:t xml:space="preserve">ocument ST/SG/AC.10/C.3/2020/20−ST/SG/AC.10/C.4/2020/5 </w:t>
      </w:r>
      <w:r w:rsidR="00E07C46" w:rsidRPr="00DF6055">
        <w:rPr>
          <w:lang w:val="en-US"/>
        </w:rPr>
        <w:t>describes the work done on the review of GHS Chapter 2.1 over the last couple of years. In Annex I of that document, a revised Chapter 2.1 for the GHS is presented</w:t>
      </w:r>
      <w:r w:rsidR="007944A3" w:rsidRPr="00DF6055">
        <w:rPr>
          <w:lang w:val="en-US"/>
        </w:rPr>
        <w:t>.</w:t>
      </w:r>
      <w:r w:rsidR="00E07C46" w:rsidRPr="00DF6055">
        <w:rPr>
          <w:lang w:val="en-US"/>
        </w:rPr>
        <w:t xml:space="preserve"> Associated amendments needed to complete the transition are given in Annex II and III of the document, as well as in document ST/SG/AC.10/C.3/2020/23−ST/SG/AC.10/C.4/2020/8 (allocation of Precautionary statements) and ST/SG/AC.10/C.3/2020/22−ST/SG/AC.10/C.4/2020/7 (in principle amendments to the Manual of Tests and Criteria).</w:t>
      </w:r>
    </w:p>
    <w:p w14:paraId="01045C3B" w14:textId="1D81EB73" w:rsidR="00E07C46" w:rsidRPr="00DF6055" w:rsidRDefault="002D1C67" w:rsidP="002D1C67">
      <w:pPr>
        <w:pStyle w:val="SingleTxtG"/>
      </w:pPr>
      <w:r w:rsidRPr="00DF6055">
        <w:t>2.</w:t>
      </w:r>
      <w:r w:rsidRPr="00DF6055">
        <w:tab/>
      </w:r>
      <w:r w:rsidR="00E07C46" w:rsidRPr="00DF6055">
        <w:rPr>
          <w:lang w:val="en-US"/>
        </w:rPr>
        <w:t>In the</w:t>
      </w:r>
      <w:r w:rsidR="00D26B2C">
        <w:rPr>
          <w:lang w:val="en-US"/>
        </w:rPr>
        <w:t>se</w:t>
      </w:r>
      <w:r w:rsidR="00E07C46" w:rsidRPr="00DF6055">
        <w:rPr>
          <w:lang w:val="en-US"/>
        </w:rPr>
        <w:t xml:space="preserve"> documents, a few open issues are pointed to, and this status report intends to update delegations on the progress made on these </w:t>
      </w:r>
      <w:r w:rsidR="005655A7">
        <w:rPr>
          <w:lang w:val="en-US"/>
        </w:rPr>
        <w:t xml:space="preserve">issues </w:t>
      </w:r>
      <w:r w:rsidR="00E07C46" w:rsidRPr="00DF6055">
        <w:rPr>
          <w:lang w:val="en-US"/>
        </w:rPr>
        <w:t>within the Informal Correspondence Group (ICG) within which the work on Chapter 2.1 is done. The open issues are:</w:t>
      </w:r>
    </w:p>
    <w:p w14:paraId="138B7F32" w14:textId="0518A516" w:rsidR="00E07C46" w:rsidRPr="00DF6055" w:rsidRDefault="002D1C67" w:rsidP="002D1C67">
      <w:pPr>
        <w:pStyle w:val="SingleTxtG"/>
        <w:ind w:left="2214" w:hanging="360"/>
      </w:pPr>
      <w:r w:rsidRPr="00DF6055">
        <w:t>(</w:t>
      </w:r>
      <w:proofErr w:type="spellStart"/>
      <w:r w:rsidRPr="00DF6055">
        <w:t>i</w:t>
      </w:r>
      <w:proofErr w:type="spellEnd"/>
      <w:r w:rsidRPr="00DF6055">
        <w:t>)</w:t>
      </w:r>
      <w:r w:rsidRPr="00DF6055">
        <w:tab/>
      </w:r>
      <w:r w:rsidR="00E07C46" w:rsidRPr="00DF6055">
        <w:rPr>
          <w:lang w:val="en-US"/>
        </w:rPr>
        <w:t xml:space="preserve">Exclusion of </w:t>
      </w:r>
      <w:r w:rsidR="00D26B2C">
        <w:rPr>
          <w:lang w:val="en-US"/>
        </w:rPr>
        <w:t xml:space="preserve">articles </w:t>
      </w:r>
      <w:r w:rsidR="0051771C">
        <w:rPr>
          <w:lang w:val="en-US"/>
        </w:rPr>
        <w:t xml:space="preserve">that </w:t>
      </w:r>
      <w:r w:rsidR="00D26B2C">
        <w:rPr>
          <w:lang w:val="en-US"/>
        </w:rPr>
        <w:t xml:space="preserve">contain </w:t>
      </w:r>
      <w:r w:rsidR="009437D4" w:rsidRPr="00DF6055">
        <w:rPr>
          <w:lang w:val="en-US"/>
        </w:rPr>
        <w:t>explosive</w:t>
      </w:r>
      <w:r w:rsidR="00D26B2C">
        <w:rPr>
          <w:lang w:val="en-US"/>
        </w:rPr>
        <w:t xml:space="preserve">s </w:t>
      </w:r>
      <w:r w:rsidR="0051771C">
        <w:rPr>
          <w:lang w:val="en-US"/>
        </w:rPr>
        <w:t xml:space="preserve">but </w:t>
      </w:r>
      <w:r w:rsidR="00D26B2C">
        <w:rPr>
          <w:lang w:val="en-US"/>
        </w:rPr>
        <w:t xml:space="preserve">which </w:t>
      </w:r>
      <w:r w:rsidR="00803236">
        <w:rPr>
          <w:lang w:val="en-US"/>
        </w:rPr>
        <w:t>not</w:t>
      </w:r>
      <w:r w:rsidR="00E07C46" w:rsidRPr="00DF6055">
        <w:rPr>
          <w:lang w:val="en-US"/>
        </w:rPr>
        <w:t xml:space="preserve"> </w:t>
      </w:r>
      <w:r w:rsidR="009437D4" w:rsidRPr="00DF6055">
        <w:rPr>
          <w:lang w:val="en-US"/>
        </w:rPr>
        <w:t xml:space="preserve">transported </w:t>
      </w:r>
      <w:r w:rsidR="00803236">
        <w:rPr>
          <w:lang w:val="en-US"/>
        </w:rPr>
        <w:t>as</w:t>
      </w:r>
      <w:r w:rsidR="009437D4" w:rsidRPr="00DF6055">
        <w:rPr>
          <w:lang w:val="en-US"/>
        </w:rPr>
        <w:t xml:space="preserve"> Class 1</w:t>
      </w:r>
      <w:r w:rsidR="00803236">
        <w:rPr>
          <w:lang w:val="en-US"/>
        </w:rPr>
        <w:t>,</w:t>
      </w:r>
      <w:r w:rsidR="00E07C46" w:rsidRPr="00DF6055">
        <w:rPr>
          <w:lang w:val="en-US"/>
        </w:rPr>
        <w:t xml:space="preserve"> via provision 2.1.1.2.2 (d)</w:t>
      </w:r>
    </w:p>
    <w:p w14:paraId="2B51C4E6" w14:textId="2C1D8F8B" w:rsidR="009437D4" w:rsidRPr="00DF6055" w:rsidRDefault="002D1C67" w:rsidP="002D1C67">
      <w:pPr>
        <w:pStyle w:val="SingleTxtG"/>
        <w:ind w:left="2214" w:hanging="360"/>
      </w:pPr>
      <w:r w:rsidRPr="00DF6055">
        <w:t>(ii)</w:t>
      </w:r>
      <w:r w:rsidRPr="00DF6055">
        <w:tab/>
      </w:r>
      <w:r w:rsidR="009437D4" w:rsidRPr="00DF6055">
        <w:rPr>
          <w:lang w:val="en-US"/>
        </w:rPr>
        <w:t xml:space="preserve">Application of new Precautionary statement P236 for placing the </w:t>
      </w:r>
      <w:r w:rsidR="00D26B2C">
        <w:rPr>
          <w:lang w:val="en-US"/>
        </w:rPr>
        <w:t>d</w:t>
      </w:r>
      <w:r w:rsidR="009437D4" w:rsidRPr="00DF6055">
        <w:rPr>
          <w:lang w:val="en-US"/>
        </w:rPr>
        <w:t xml:space="preserve">ivision </w:t>
      </w:r>
      <w:r w:rsidR="00D26B2C">
        <w:rPr>
          <w:lang w:val="en-US"/>
        </w:rPr>
        <w:t xml:space="preserve">for transport </w:t>
      </w:r>
      <w:r w:rsidR="009437D4" w:rsidRPr="00DF6055">
        <w:rPr>
          <w:lang w:val="en-US"/>
        </w:rPr>
        <w:t xml:space="preserve">on the GHS label, and </w:t>
      </w:r>
      <w:r w:rsidR="00D26B2C">
        <w:rPr>
          <w:lang w:val="en-US"/>
        </w:rPr>
        <w:t>the associated</w:t>
      </w:r>
      <w:r w:rsidR="009437D4" w:rsidRPr="00DF6055">
        <w:rPr>
          <w:lang w:val="en-US"/>
        </w:rPr>
        <w:t xml:space="preserve"> Conditions for Use</w:t>
      </w:r>
    </w:p>
    <w:p w14:paraId="128EF42C" w14:textId="281AEDB2" w:rsidR="009437D4" w:rsidRPr="00DF6055" w:rsidRDefault="002D1C67" w:rsidP="002D1C67">
      <w:pPr>
        <w:pStyle w:val="SingleTxtG"/>
        <w:ind w:left="2214" w:hanging="360"/>
      </w:pPr>
      <w:r w:rsidRPr="00DF6055">
        <w:t>(iii)</w:t>
      </w:r>
      <w:r w:rsidRPr="00DF6055">
        <w:tab/>
      </w:r>
      <w:r w:rsidR="00B2578B">
        <w:rPr>
          <w:lang w:val="en-US"/>
        </w:rPr>
        <w:t>An alternative Ha</w:t>
      </w:r>
      <w:r w:rsidR="009437D4" w:rsidRPr="00DF6055">
        <w:rPr>
          <w:lang w:val="en-US"/>
        </w:rPr>
        <w:t>zard statement for Sub-category 2C t</w:t>
      </w:r>
      <w:r w:rsidR="003940EF">
        <w:rPr>
          <w:lang w:val="en-US"/>
        </w:rPr>
        <w:t>hat is different from that of</w:t>
      </w:r>
      <w:r w:rsidR="009437D4" w:rsidRPr="00DF6055">
        <w:rPr>
          <w:lang w:val="en-US"/>
        </w:rPr>
        <w:t xml:space="preserve"> Sub-category 2B.</w:t>
      </w:r>
    </w:p>
    <w:p w14:paraId="6C236C4A" w14:textId="24AA876C" w:rsidR="006E4BFC" w:rsidRPr="00D26B2C" w:rsidRDefault="009437D4" w:rsidP="00D26B2C">
      <w:pPr>
        <w:pStyle w:val="SingleTxtG"/>
        <w:rPr>
          <w:lang w:val="en-US"/>
        </w:rPr>
      </w:pPr>
      <w:r w:rsidRPr="00DF6055">
        <w:rPr>
          <w:lang w:val="en-US"/>
        </w:rPr>
        <w:t>Within t</w:t>
      </w:r>
      <w:r w:rsidR="00D26B2C">
        <w:rPr>
          <w:lang w:val="en-US"/>
        </w:rPr>
        <w:t xml:space="preserve">he ICG, Task Forces were formed </w:t>
      </w:r>
      <w:r w:rsidRPr="00DF6055">
        <w:rPr>
          <w:lang w:val="en-US"/>
        </w:rPr>
        <w:t>to tackle each of these open issue</w:t>
      </w:r>
      <w:r w:rsidR="009B4C77">
        <w:rPr>
          <w:lang w:val="en-US"/>
        </w:rPr>
        <w:t>s</w:t>
      </w:r>
      <w:r w:rsidR="00D26B2C">
        <w:rPr>
          <w:lang w:val="en-US"/>
        </w:rPr>
        <w:t>, and the below is</w:t>
      </w:r>
      <w:r w:rsidR="006E4BFC" w:rsidRPr="00DF6055">
        <w:rPr>
          <w:lang w:val="en-US"/>
        </w:rPr>
        <w:t xml:space="preserve"> the outcome from the discussions in those groupings, as perceived by the expert from Sweden</w:t>
      </w:r>
      <w:r w:rsidR="00B54670">
        <w:rPr>
          <w:lang w:val="en-US"/>
        </w:rPr>
        <w:t xml:space="preserve"> that leads the effort</w:t>
      </w:r>
      <w:r w:rsidR="006E4BFC" w:rsidRPr="00DF6055">
        <w:rPr>
          <w:lang w:val="en-US"/>
        </w:rPr>
        <w:t>.</w:t>
      </w:r>
    </w:p>
    <w:p w14:paraId="457F49AF" w14:textId="5966E819" w:rsidR="009437D4" w:rsidRPr="00DF6055" w:rsidRDefault="009437D4" w:rsidP="009437D4">
      <w:pPr>
        <w:pStyle w:val="HChG"/>
        <w:ind w:left="2268"/>
        <w:rPr>
          <w:lang w:val="en-GB"/>
        </w:rPr>
      </w:pPr>
      <w:r w:rsidRPr="00DF6055">
        <w:rPr>
          <w:lang w:val="en-GB"/>
        </w:rPr>
        <w:t>Update</w:t>
      </w:r>
      <w:r w:rsidR="00AA128F" w:rsidRPr="00DF6055">
        <w:rPr>
          <w:lang w:val="en-GB"/>
        </w:rPr>
        <w:t xml:space="preserve"> on the open issues</w:t>
      </w:r>
    </w:p>
    <w:p w14:paraId="6DD34797" w14:textId="215EFAE8" w:rsidR="009437D4" w:rsidRPr="00DF6055" w:rsidRDefault="009437D4" w:rsidP="009437D4">
      <w:pPr>
        <w:pStyle w:val="SingleTxtG"/>
        <w:rPr>
          <w:b/>
          <w:lang w:val="en-US"/>
        </w:rPr>
      </w:pPr>
      <w:r w:rsidRPr="00DF6055">
        <w:rPr>
          <w:b/>
          <w:lang w:val="en-US"/>
        </w:rPr>
        <w:t xml:space="preserve">Exclusion of </w:t>
      </w:r>
      <w:r w:rsidR="00E27E7C">
        <w:rPr>
          <w:b/>
          <w:lang w:val="en-US"/>
        </w:rPr>
        <w:t xml:space="preserve">some </w:t>
      </w:r>
      <w:r w:rsidRPr="00DF6055">
        <w:rPr>
          <w:b/>
          <w:lang w:val="en-US"/>
        </w:rPr>
        <w:t>articles</w:t>
      </w:r>
      <w:r w:rsidR="002B46B9">
        <w:rPr>
          <w:b/>
          <w:lang w:val="en-US"/>
        </w:rPr>
        <w:t xml:space="preserve"> containing explosives</w:t>
      </w:r>
      <w:r w:rsidRPr="00DF6055">
        <w:rPr>
          <w:b/>
          <w:lang w:val="en-US"/>
        </w:rPr>
        <w:t xml:space="preserve"> via provision 2.1.1.2.2 (d)</w:t>
      </w:r>
    </w:p>
    <w:p w14:paraId="7352A773" w14:textId="510E2E81" w:rsidR="009437D4" w:rsidRPr="00DF6055" w:rsidRDefault="002D1C67" w:rsidP="002D1C67">
      <w:pPr>
        <w:pStyle w:val="SingleTxtG"/>
        <w:rPr>
          <w:lang w:val="en-US"/>
        </w:rPr>
      </w:pPr>
      <w:r w:rsidRPr="00DF6055">
        <w:rPr>
          <w:lang w:val="en-US"/>
        </w:rPr>
        <w:t>3.</w:t>
      </w:r>
      <w:r w:rsidRPr="00DF6055">
        <w:rPr>
          <w:lang w:val="en-US"/>
        </w:rPr>
        <w:tab/>
      </w:r>
      <w:r w:rsidR="008112B1">
        <w:rPr>
          <w:lang w:val="en-US"/>
        </w:rPr>
        <w:t>As mentioned in paragraph 32 of document</w:t>
      </w:r>
      <w:r w:rsidR="008112B1" w:rsidRPr="008112B1">
        <w:rPr>
          <w:lang w:val="en-US"/>
        </w:rPr>
        <w:t xml:space="preserve"> </w:t>
      </w:r>
      <w:r w:rsidR="008112B1" w:rsidRPr="00DF6055">
        <w:rPr>
          <w:lang w:val="en-US"/>
        </w:rPr>
        <w:t>ST/SG/AC.10/C.3/2020/20−ST/SG/AC.10/C.4/2020/5</w:t>
      </w:r>
      <w:r w:rsidR="008112B1">
        <w:rPr>
          <w:lang w:val="en-US"/>
        </w:rPr>
        <w:t>, confirmation</w:t>
      </w:r>
      <w:r w:rsidR="00E74EC4">
        <w:rPr>
          <w:lang w:val="en-US"/>
        </w:rPr>
        <w:t xml:space="preserve"> was needed to ensure</w:t>
      </w:r>
      <w:r w:rsidR="008112B1">
        <w:rPr>
          <w:lang w:val="en-US"/>
        </w:rPr>
        <w:t xml:space="preserve"> </w:t>
      </w:r>
      <w:r w:rsidR="008112B1">
        <w:rPr>
          <w:lang w:val="en-US"/>
        </w:rPr>
        <w:lastRenderedPageBreak/>
        <w:t xml:space="preserve">that provision 2.1.1.2.2 </w:t>
      </w:r>
      <w:r w:rsidR="00B54670" w:rsidRPr="00E74EC4">
        <w:rPr>
          <w:lang w:val="en-US"/>
        </w:rPr>
        <w:t>(d) of the new Chapter 2.1</w:t>
      </w:r>
      <w:r w:rsidR="008112B1" w:rsidRPr="00E74EC4">
        <w:rPr>
          <w:lang w:val="en-US"/>
        </w:rPr>
        <w:t xml:space="preserve"> function</w:t>
      </w:r>
      <w:r w:rsidR="00B54670" w:rsidRPr="00E74EC4">
        <w:rPr>
          <w:lang w:val="en-US"/>
        </w:rPr>
        <w:t>s</w:t>
      </w:r>
      <w:r w:rsidR="008112B1" w:rsidRPr="00E74EC4">
        <w:rPr>
          <w:lang w:val="en-US"/>
        </w:rPr>
        <w:t xml:space="preserve"> as intended.</w:t>
      </w:r>
      <w:r w:rsidR="00E07D9D" w:rsidRPr="00E74EC4">
        <w:rPr>
          <w:lang w:val="en-US"/>
        </w:rPr>
        <w:t xml:space="preserve"> The provision seeks to </w:t>
      </w:r>
      <w:r w:rsidR="00ED773C">
        <w:rPr>
          <w:lang w:val="en-US"/>
        </w:rPr>
        <w:t xml:space="preserve">align </w:t>
      </w:r>
      <w:r w:rsidR="00E07D9D" w:rsidRPr="00E74EC4">
        <w:rPr>
          <w:lang w:val="en-US"/>
        </w:rPr>
        <w:t xml:space="preserve">the GHS hazard class Explosives </w:t>
      </w:r>
      <w:r w:rsidR="00ED773C">
        <w:rPr>
          <w:lang w:val="en-US"/>
        </w:rPr>
        <w:t xml:space="preserve">with </w:t>
      </w:r>
      <w:r w:rsidR="00E07D9D" w:rsidRPr="00E74EC4">
        <w:rPr>
          <w:lang w:val="en-US"/>
        </w:rPr>
        <w:t>the UN Model Regulation</w:t>
      </w:r>
      <w:r w:rsidR="001F3FDB" w:rsidRPr="00E74EC4">
        <w:rPr>
          <w:lang w:val="en-US"/>
        </w:rPr>
        <w:t>s</w:t>
      </w:r>
      <w:r w:rsidR="00E07D9D" w:rsidRPr="00E74EC4">
        <w:rPr>
          <w:lang w:val="en-US"/>
        </w:rPr>
        <w:t xml:space="preserve"> by excluding those explosives-containing articles that are not transported </w:t>
      </w:r>
      <w:r w:rsidR="007E5B14" w:rsidRPr="00E74EC4">
        <w:rPr>
          <w:lang w:val="en-US"/>
        </w:rPr>
        <w:t>as</w:t>
      </w:r>
      <w:r w:rsidR="00E07D9D" w:rsidRPr="00E74EC4">
        <w:rPr>
          <w:lang w:val="en-US"/>
        </w:rPr>
        <w:t xml:space="preserve"> Class 1, </w:t>
      </w:r>
      <w:r w:rsidR="00ED773C">
        <w:rPr>
          <w:lang w:val="en-US"/>
        </w:rPr>
        <w:t>under certain conditions</w:t>
      </w:r>
      <w:r w:rsidR="00E07D9D" w:rsidRPr="00E74EC4">
        <w:rPr>
          <w:lang w:val="en-US"/>
        </w:rPr>
        <w:t>.</w:t>
      </w:r>
      <w:r w:rsidR="008112B1" w:rsidRPr="00E74EC4">
        <w:rPr>
          <w:lang w:val="en-US"/>
        </w:rPr>
        <w:t xml:space="preserve"> </w:t>
      </w:r>
      <w:r w:rsidR="009437D4" w:rsidRPr="00E74EC4">
        <w:rPr>
          <w:lang w:val="en-US"/>
        </w:rPr>
        <w:t>The Task Force on this item concluded that it would not be possible, within reasonable time, to find agreement on the wording of provision 2.1.1.2.2</w:t>
      </w:r>
      <w:r w:rsidR="005F3D99">
        <w:rPr>
          <w:lang w:val="en-US"/>
        </w:rPr>
        <w:t xml:space="preserve"> (d). The core of the problem </w:t>
      </w:r>
      <w:r w:rsidR="00851D4F">
        <w:rPr>
          <w:lang w:val="en-US"/>
        </w:rPr>
        <w:t>is</w:t>
      </w:r>
      <w:r w:rsidR="009437D4" w:rsidRPr="00E74EC4">
        <w:rPr>
          <w:lang w:val="en-US"/>
        </w:rPr>
        <w:t xml:space="preserve"> that jurisdictions </w:t>
      </w:r>
      <w:r w:rsidR="00706813" w:rsidRPr="00E74EC4">
        <w:rPr>
          <w:lang w:val="en-US"/>
        </w:rPr>
        <w:t xml:space="preserve">take </w:t>
      </w:r>
      <w:r w:rsidR="009437D4" w:rsidRPr="00E74EC4">
        <w:rPr>
          <w:lang w:val="en-US"/>
        </w:rPr>
        <w:t xml:space="preserve">different </w:t>
      </w:r>
      <w:r w:rsidR="00706813" w:rsidRPr="00E74EC4">
        <w:rPr>
          <w:lang w:val="en-US"/>
        </w:rPr>
        <w:t>views on whether</w:t>
      </w:r>
      <w:r w:rsidR="00E07D9D" w:rsidRPr="00E74EC4">
        <w:rPr>
          <w:lang w:val="en-US"/>
        </w:rPr>
        <w:t xml:space="preserve"> or not the affected</w:t>
      </w:r>
      <w:r w:rsidR="00706813" w:rsidRPr="00E74EC4">
        <w:rPr>
          <w:lang w:val="en-US"/>
        </w:rPr>
        <w:t xml:space="preserve"> articles</w:t>
      </w:r>
      <w:r w:rsidR="00E07D9D" w:rsidRPr="00E74EC4">
        <w:rPr>
          <w:lang w:val="en-US"/>
        </w:rPr>
        <w:t xml:space="preserve"> </w:t>
      </w:r>
      <w:r w:rsidR="00706813" w:rsidRPr="00E74EC4">
        <w:rPr>
          <w:lang w:val="en-US"/>
        </w:rPr>
        <w:t>are</w:t>
      </w:r>
      <w:r w:rsidR="00851D4F">
        <w:rPr>
          <w:lang w:val="en-US"/>
        </w:rPr>
        <w:t xml:space="preserve"> to be</w:t>
      </w:r>
      <w:r w:rsidR="00706813" w:rsidRPr="00E74EC4">
        <w:rPr>
          <w:lang w:val="en-US"/>
        </w:rPr>
        <w:t xml:space="preserve"> </w:t>
      </w:r>
      <w:r w:rsidR="00E07D9D" w:rsidRPr="00E74EC4">
        <w:rPr>
          <w:lang w:val="en-US"/>
        </w:rPr>
        <w:t>regarded as explosives, and under what conditions</w:t>
      </w:r>
      <w:r w:rsidR="00E74EC4" w:rsidRPr="00E74EC4">
        <w:rPr>
          <w:lang w:val="en-US"/>
        </w:rPr>
        <w:t>.</w:t>
      </w:r>
    </w:p>
    <w:p w14:paraId="3D101FF1" w14:textId="514B4E78" w:rsidR="00706813" w:rsidRPr="00DF6055" w:rsidRDefault="002D1C67" w:rsidP="002D1C67">
      <w:pPr>
        <w:pStyle w:val="SingleTxtG"/>
        <w:rPr>
          <w:lang w:val="en-US"/>
        </w:rPr>
      </w:pPr>
      <w:r w:rsidRPr="00DF6055">
        <w:rPr>
          <w:lang w:val="en-US"/>
        </w:rPr>
        <w:t>4.</w:t>
      </w:r>
      <w:r w:rsidRPr="00DF6055">
        <w:rPr>
          <w:lang w:val="en-US"/>
        </w:rPr>
        <w:tab/>
      </w:r>
      <w:r w:rsidR="00706813" w:rsidRPr="00DF6055">
        <w:rPr>
          <w:lang w:val="en-US"/>
        </w:rPr>
        <w:t xml:space="preserve">As a result of the outcome from the Task Force, the expert from Sweden made the suggestion to strike </w:t>
      </w:r>
      <w:r w:rsidR="00D26B2C">
        <w:rPr>
          <w:lang w:val="en-US"/>
        </w:rPr>
        <w:t xml:space="preserve">out </w:t>
      </w:r>
      <w:r w:rsidR="00706813" w:rsidRPr="00DF6055">
        <w:rPr>
          <w:lang w:val="en-US"/>
        </w:rPr>
        <w:t>provision 2.1.1.2.2 (d) completely, meaning that the status quo</w:t>
      </w:r>
      <w:r w:rsidR="00E74EC4">
        <w:rPr>
          <w:lang w:val="en-US"/>
        </w:rPr>
        <w:t xml:space="preserve"> would</w:t>
      </w:r>
      <w:r w:rsidR="00706813" w:rsidRPr="00DF6055">
        <w:rPr>
          <w:lang w:val="en-US"/>
        </w:rPr>
        <w:t xml:space="preserve"> prevail. The exp</w:t>
      </w:r>
      <w:r w:rsidR="005B0899">
        <w:rPr>
          <w:lang w:val="en-US"/>
        </w:rPr>
        <w:t>ert from Sweden also proposed that a</w:t>
      </w:r>
      <w:r w:rsidR="00706813" w:rsidRPr="00DF6055">
        <w:rPr>
          <w:lang w:val="en-US"/>
        </w:rPr>
        <w:t xml:space="preserve"> Note</w:t>
      </w:r>
      <w:r w:rsidR="005B0899">
        <w:rPr>
          <w:lang w:val="en-US"/>
        </w:rPr>
        <w:t xml:space="preserve"> could be inserted</w:t>
      </w:r>
      <w:r w:rsidR="007E3DAB">
        <w:rPr>
          <w:lang w:val="en-US"/>
        </w:rPr>
        <w:t xml:space="preserve"> under provision 2.1.1.2.2</w:t>
      </w:r>
      <w:r w:rsidR="00706813" w:rsidRPr="00DF6055">
        <w:rPr>
          <w:lang w:val="en-US"/>
        </w:rPr>
        <w:t xml:space="preserve"> that would acknowledge the situation</w:t>
      </w:r>
      <w:r w:rsidR="00AB2189" w:rsidRPr="00DF6055">
        <w:rPr>
          <w:lang w:val="en-US"/>
        </w:rPr>
        <w:t>, provisionally worded</w:t>
      </w:r>
      <w:r w:rsidR="00706813" w:rsidRPr="00DF6055">
        <w:rPr>
          <w:lang w:val="en-US"/>
        </w:rPr>
        <w:t>:</w:t>
      </w:r>
    </w:p>
    <w:p w14:paraId="482128A9" w14:textId="5EBC377F" w:rsidR="00706813" w:rsidRPr="00D26B2C" w:rsidRDefault="00706813" w:rsidP="00D26B2C">
      <w:pPr>
        <w:pStyle w:val="SingleTxtG"/>
        <w:rPr>
          <w:i/>
          <w:iCs/>
          <w:lang w:val="en-GB"/>
        </w:rPr>
      </w:pPr>
      <w:r w:rsidRPr="00DF6055">
        <w:rPr>
          <w:lang w:val="en-US"/>
        </w:rPr>
        <w:t>“</w:t>
      </w:r>
      <w:r w:rsidR="00AB2189" w:rsidRPr="00DF6055">
        <w:rPr>
          <w:b/>
          <w:bCs/>
          <w:i/>
          <w:iCs/>
          <w:lang w:val="en-GB"/>
        </w:rPr>
        <w:t>NOTE:</w:t>
      </w:r>
      <w:r w:rsidR="00AB2189" w:rsidRPr="00DF6055">
        <w:rPr>
          <w:i/>
          <w:iCs/>
          <w:lang w:val="en-GB"/>
        </w:rPr>
        <w:t xml:space="preserve"> It is recognised that some articles containing explosives are allowed to be transported in other classes than Class 1 according to the UN Model Regulations, often under certain conditions (e.g. special packaging). Competent authorities may exclude such articles also for other sectors [provided those conditions are still met].”</w:t>
      </w:r>
    </w:p>
    <w:p w14:paraId="60F01B23" w14:textId="2388C71C" w:rsidR="00B54670" w:rsidRDefault="002D1C67" w:rsidP="002D1C67">
      <w:pPr>
        <w:pStyle w:val="SingleTxtG"/>
        <w:rPr>
          <w:lang w:val="en-US"/>
        </w:rPr>
      </w:pPr>
      <w:r>
        <w:rPr>
          <w:lang w:val="en-US"/>
        </w:rPr>
        <w:t>5.</w:t>
      </w:r>
      <w:r>
        <w:rPr>
          <w:lang w:val="en-US"/>
        </w:rPr>
        <w:tab/>
      </w:r>
      <w:r w:rsidR="00706813" w:rsidRPr="00DF6055">
        <w:rPr>
          <w:lang w:val="en-US"/>
        </w:rPr>
        <w:t>Some members of the ICG thought that it was too early yet to give up on trying to find a way to word provision 2.1.1.2.2 (d)</w:t>
      </w:r>
      <w:r w:rsidR="005B6541" w:rsidRPr="00DF6055">
        <w:rPr>
          <w:lang w:val="en-US"/>
        </w:rPr>
        <w:t>, and th</w:t>
      </w:r>
      <w:r w:rsidR="00D26B2C">
        <w:rPr>
          <w:lang w:val="en-US"/>
        </w:rPr>
        <w:t xml:space="preserve">at the ICG should continue </w:t>
      </w:r>
      <w:r w:rsidR="005B6541" w:rsidRPr="00DF6055">
        <w:rPr>
          <w:lang w:val="en-US"/>
        </w:rPr>
        <w:t xml:space="preserve">to work on the matter. In informal document </w:t>
      </w:r>
      <w:r w:rsidR="00DF6055" w:rsidRPr="00DF6055">
        <w:rPr>
          <w:bCs/>
          <w:lang w:val="en-GB"/>
        </w:rPr>
        <w:t>UN/SCEGHS/39/INF.10-UN/SCEGHS/57/INF.15</w:t>
      </w:r>
      <w:r w:rsidR="005B6541" w:rsidRPr="00DF6055">
        <w:rPr>
          <w:lang w:val="en-US"/>
        </w:rPr>
        <w:t xml:space="preserve">, the experts </w:t>
      </w:r>
      <w:r w:rsidR="005B6541" w:rsidRPr="00E74EC4">
        <w:rPr>
          <w:lang w:val="en-US"/>
        </w:rPr>
        <w:t>from the USA, IME and SAAMI present an alternative approach regarding this provision.</w:t>
      </w:r>
      <w:r w:rsidR="00707A9B" w:rsidRPr="00E74EC4">
        <w:rPr>
          <w:lang w:val="en-US"/>
        </w:rPr>
        <w:t xml:space="preserve"> </w:t>
      </w:r>
      <w:r w:rsidR="008C45B1" w:rsidRPr="00E74EC4">
        <w:rPr>
          <w:lang w:val="en-US"/>
        </w:rPr>
        <w:t>T</w:t>
      </w:r>
      <w:r w:rsidR="00707A9B" w:rsidRPr="00E74EC4">
        <w:rPr>
          <w:lang w:val="en-US"/>
        </w:rPr>
        <w:t>hat document has</w:t>
      </w:r>
      <w:r w:rsidR="00DF6055" w:rsidRPr="00E74EC4">
        <w:rPr>
          <w:lang w:val="en-US"/>
        </w:rPr>
        <w:t>, however,</w:t>
      </w:r>
      <w:r w:rsidR="00707A9B" w:rsidRPr="00E74EC4">
        <w:rPr>
          <w:lang w:val="en-US"/>
        </w:rPr>
        <w:t xml:space="preserve"> not</w:t>
      </w:r>
      <w:r w:rsidR="007E3DAB">
        <w:rPr>
          <w:lang w:val="en-US"/>
        </w:rPr>
        <w:t xml:space="preserve"> yet been discussed in the ICG</w:t>
      </w:r>
      <w:r w:rsidR="00707A9B" w:rsidRPr="00E74EC4">
        <w:rPr>
          <w:lang w:val="en-US"/>
        </w:rPr>
        <w:t>.</w:t>
      </w:r>
    </w:p>
    <w:p w14:paraId="1673F67F" w14:textId="78B35AC0" w:rsidR="00B54670" w:rsidRPr="00B54670" w:rsidRDefault="00B54670" w:rsidP="00B54670">
      <w:pPr>
        <w:pStyle w:val="SingleTxtG"/>
        <w:rPr>
          <w:b/>
          <w:lang w:val="en-US"/>
        </w:rPr>
      </w:pPr>
      <w:r w:rsidRPr="00DF6055">
        <w:rPr>
          <w:b/>
          <w:lang w:val="en-US"/>
        </w:rPr>
        <w:t xml:space="preserve">Application of </w:t>
      </w:r>
      <w:r>
        <w:rPr>
          <w:b/>
          <w:lang w:val="en-US"/>
        </w:rPr>
        <w:t xml:space="preserve">Precautionary statement </w:t>
      </w:r>
      <w:r w:rsidRPr="00DF6055">
        <w:rPr>
          <w:b/>
          <w:lang w:val="en-US"/>
        </w:rPr>
        <w:t xml:space="preserve">P236 and </w:t>
      </w:r>
      <w:r>
        <w:rPr>
          <w:b/>
          <w:lang w:val="en-US"/>
        </w:rPr>
        <w:t xml:space="preserve">its </w:t>
      </w:r>
      <w:r w:rsidRPr="00DF6055">
        <w:rPr>
          <w:b/>
          <w:lang w:val="en-US"/>
        </w:rPr>
        <w:t>Conditions for Use</w:t>
      </w:r>
    </w:p>
    <w:p w14:paraId="76458317" w14:textId="5341EF5E" w:rsidR="006C6F93" w:rsidRDefault="002D1C67" w:rsidP="002D1C67">
      <w:pPr>
        <w:pStyle w:val="SingleTxtG"/>
        <w:rPr>
          <w:lang w:val="en-US"/>
        </w:rPr>
      </w:pPr>
      <w:r>
        <w:rPr>
          <w:lang w:val="en-US"/>
        </w:rPr>
        <w:t>6.</w:t>
      </w:r>
      <w:r>
        <w:rPr>
          <w:lang w:val="en-US"/>
        </w:rPr>
        <w:tab/>
      </w:r>
      <w:r w:rsidR="00B54670">
        <w:rPr>
          <w:lang w:val="en-US"/>
        </w:rPr>
        <w:t xml:space="preserve">As discussed in paragraphs 12-18 of document </w:t>
      </w:r>
      <w:r w:rsidR="00B54670" w:rsidRPr="00DF6055">
        <w:rPr>
          <w:lang w:val="en-US"/>
        </w:rPr>
        <w:t>ST/SG/AC.10/C.3/2020/23</w:t>
      </w:r>
      <w:r w:rsidR="00B54670">
        <w:rPr>
          <w:lang w:val="en-US"/>
        </w:rPr>
        <w:t xml:space="preserve">−ST/SG/AC.10/C.4/2020/8, there were divided opinions within the ICG regarding the application of a new Precautionary statement P236 </w:t>
      </w:r>
      <w:r w:rsidR="00B54670" w:rsidRPr="00DF6055">
        <w:rPr>
          <w:lang w:val="en-US"/>
        </w:rPr>
        <w:t xml:space="preserve">(“Division … in </w:t>
      </w:r>
      <w:r w:rsidR="00B54670" w:rsidRPr="00E74EC4">
        <w:rPr>
          <w:lang w:val="en-US"/>
        </w:rPr>
        <w:t xml:space="preserve">the transport configuration.”). </w:t>
      </w:r>
      <w:r w:rsidR="004C7974" w:rsidRPr="00E74EC4">
        <w:rPr>
          <w:lang w:val="en-US"/>
        </w:rPr>
        <w:t xml:space="preserve">Noting that some </w:t>
      </w:r>
      <w:r w:rsidR="008C45B1" w:rsidRPr="00E74EC4">
        <w:rPr>
          <w:lang w:val="en-US"/>
        </w:rPr>
        <w:t>still questioned</w:t>
      </w:r>
      <w:r w:rsidR="004C7974" w:rsidRPr="00E74EC4">
        <w:rPr>
          <w:lang w:val="en-US"/>
        </w:rPr>
        <w:t xml:space="preserve"> the need to state the division on the GHS label, t</w:t>
      </w:r>
      <w:r w:rsidR="00B54670" w:rsidRPr="00E74EC4">
        <w:rPr>
          <w:lang w:val="en-US"/>
        </w:rPr>
        <w:t>he Task Force on this issue concluded that P236 should be applied to all classifications within Category 2, i.e. to sub-categories 2A, 2B and 2C. The standard Condition for U</w:t>
      </w:r>
      <w:r w:rsidR="00AF6033" w:rsidRPr="00E74EC4">
        <w:rPr>
          <w:lang w:val="en-US"/>
        </w:rPr>
        <w:t>se to fill out the three dots</w:t>
      </w:r>
      <w:r w:rsidR="007C3075">
        <w:rPr>
          <w:lang w:val="en-US"/>
        </w:rPr>
        <w:t xml:space="preserve"> are suggested to</w:t>
      </w:r>
      <w:r w:rsidR="00B54670" w:rsidRPr="00E74EC4">
        <w:rPr>
          <w:lang w:val="en-US"/>
        </w:rPr>
        <w:t xml:space="preserve"> be used, i.e. “… Manufacturer/supplier or competent authority to specify the division for transport.”</w:t>
      </w:r>
    </w:p>
    <w:p w14:paraId="26F10575" w14:textId="55E87E4B" w:rsidR="006E4BFC" w:rsidRPr="006C6F93" w:rsidRDefault="002D1C67" w:rsidP="002D1C67">
      <w:pPr>
        <w:pStyle w:val="SingleTxtG"/>
        <w:rPr>
          <w:lang w:val="en-US"/>
        </w:rPr>
      </w:pPr>
      <w:r w:rsidRPr="006C6F93">
        <w:rPr>
          <w:lang w:val="en-US"/>
        </w:rPr>
        <w:t>7.</w:t>
      </w:r>
      <w:r w:rsidRPr="006C6F93">
        <w:rPr>
          <w:lang w:val="en-US"/>
        </w:rPr>
        <w:tab/>
      </w:r>
      <w:r w:rsidR="005B6541" w:rsidRPr="006C6F93">
        <w:rPr>
          <w:lang w:val="en-US"/>
        </w:rPr>
        <w:t xml:space="preserve">Two exemptions from applying P236 </w:t>
      </w:r>
      <w:r w:rsidR="00BC5E58" w:rsidRPr="006C6F93">
        <w:rPr>
          <w:lang w:val="en-US"/>
        </w:rPr>
        <w:t xml:space="preserve">have been identified, the precise wordings for these are still to be settled. </w:t>
      </w:r>
      <w:r w:rsidR="006E4BFC" w:rsidRPr="006C6F93">
        <w:rPr>
          <w:lang w:val="en-US"/>
        </w:rPr>
        <w:t xml:space="preserve">The first one concerns single </w:t>
      </w:r>
      <w:proofErr w:type="spellStart"/>
      <w:r w:rsidR="006E4BFC" w:rsidRPr="006C6F93">
        <w:rPr>
          <w:lang w:val="en-US"/>
        </w:rPr>
        <w:t>packagings</w:t>
      </w:r>
      <w:proofErr w:type="spellEnd"/>
      <w:r w:rsidR="006E4BFC" w:rsidRPr="006C6F93">
        <w:rPr>
          <w:lang w:val="en-US"/>
        </w:rPr>
        <w:t xml:space="preserve"> where the transport pictogram (warning label) that already displays the division in Class 1 appears, as there is obviously no need to repeat that information. The second one concerns those cases where, at the point of affixing the GHS label to an article or inner packaging, it is not known what outer packaging the explosive will end up in and what division for transport that outer packaging is assigned to.</w:t>
      </w:r>
    </w:p>
    <w:p w14:paraId="5DCE4371" w14:textId="13F5C08C" w:rsidR="00BC5E58" w:rsidRPr="00DF6055" w:rsidRDefault="002D1C67" w:rsidP="002D1C67">
      <w:pPr>
        <w:pStyle w:val="SingleTxtG"/>
        <w:rPr>
          <w:lang w:val="en-US"/>
        </w:rPr>
      </w:pPr>
      <w:r w:rsidRPr="00DF6055">
        <w:rPr>
          <w:lang w:val="en-US"/>
        </w:rPr>
        <w:t>8.</w:t>
      </w:r>
      <w:r w:rsidRPr="00DF6055">
        <w:rPr>
          <w:lang w:val="en-US"/>
        </w:rPr>
        <w:tab/>
      </w:r>
      <w:r w:rsidR="00BC5E58" w:rsidRPr="00DF6055">
        <w:rPr>
          <w:lang w:val="en-US"/>
        </w:rPr>
        <w:t>Tentative wordings for these</w:t>
      </w:r>
      <w:r w:rsidR="006E4BFC" w:rsidRPr="00DF6055">
        <w:rPr>
          <w:lang w:val="en-US"/>
        </w:rPr>
        <w:t xml:space="preserve"> exemptions</w:t>
      </w:r>
      <w:r w:rsidR="00BC5E58" w:rsidRPr="00DF6055">
        <w:rPr>
          <w:lang w:val="en-US"/>
        </w:rPr>
        <w:t>, which need further polishing and discussion, are:</w:t>
      </w:r>
    </w:p>
    <w:p w14:paraId="10523B21" w14:textId="6A719379" w:rsidR="00BC5E58" w:rsidRPr="00DF6055" w:rsidRDefault="00BC5E58" w:rsidP="00BC5E58">
      <w:pPr>
        <w:pStyle w:val="SingleTxtG"/>
        <w:ind w:left="1494"/>
        <w:rPr>
          <w:lang w:val="en-US"/>
        </w:rPr>
      </w:pPr>
      <w:r w:rsidRPr="00DF6055">
        <w:rPr>
          <w:i/>
          <w:iCs/>
          <w:lang w:val="en-US"/>
        </w:rPr>
        <w:t>(</w:t>
      </w:r>
      <w:proofErr w:type="spellStart"/>
      <w:r w:rsidRPr="00DF6055">
        <w:rPr>
          <w:i/>
          <w:iCs/>
          <w:lang w:val="en-US"/>
        </w:rPr>
        <w:t>i</w:t>
      </w:r>
      <w:proofErr w:type="spellEnd"/>
      <w:r w:rsidRPr="00DF6055">
        <w:rPr>
          <w:i/>
          <w:iCs/>
          <w:lang w:val="en-US"/>
        </w:rPr>
        <w:t xml:space="preserve">) </w:t>
      </w:r>
      <w:r w:rsidRPr="00DF6055">
        <w:rPr>
          <w:i/>
          <w:iCs/>
          <w:lang w:val="en-GB"/>
        </w:rPr>
        <w:t xml:space="preserve">“May be omitted for single </w:t>
      </w:r>
      <w:proofErr w:type="spellStart"/>
      <w:r w:rsidRPr="00DF6055">
        <w:rPr>
          <w:i/>
          <w:iCs/>
          <w:lang w:val="en-GB"/>
        </w:rPr>
        <w:t>packagings</w:t>
      </w:r>
      <w:proofErr w:type="spellEnd"/>
      <w:r w:rsidRPr="00DF6055">
        <w:rPr>
          <w:i/>
          <w:iCs/>
          <w:lang w:val="en-GB"/>
        </w:rPr>
        <w:t xml:space="preserve"> where the transport pictogram displaying the division (within Class 1) appears.”</w:t>
      </w:r>
    </w:p>
    <w:p w14:paraId="597F297E" w14:textId="3B988F0C" w:rsidR="00BC5E58" w:rsidRPr="00DF6055" w:rsidRDefault="00BC5E58" w:rsidP="00FB0359">
      <w:pPr>
        <w:pStyle w:val="SingleTxtG"/>
        <w:ind w:firstLine="360"/>
        <w:rPr>
          <w:lang w:val="en-US"/>
        </w:rPr>
      </w:pPr>
      <w:r w:rsidRPr="00DF6055">
        <w:rPr>
          <w:lang w:val="en-US"/>
        </w:rPr>
        <w:t>and</w:t>
      </w:r>
    </w:p>
    <w:p w14:paraId="1504E71C" w14:textId="77777777" w:rsidR="00FB0359" w:rsidRDefault="00BC5E58" w:rsidP="00FB0359">
      <w:pPr>
        <w:pStyle w:val="SingleTxtG"/>
        <w:ind w:left="1494"/>
        <w:jc w:val="left"/>
        <w:rPr>
          <w:iCs/>
          <w:lang w:val="en-US"/>
        </w:rPr>
      </w:pPr>
      <w:r w:rsidRPr="00DF6055">
        <w:rPr>
          <w:i/>
          <w:iCs/>
          <w:lang w:val="en-US"/>
        </w:rPr>
        <w:t xml:space="preserve">(ii) “May be omitted where the container or packaging may become part of transport configurations assigned to different divisions.” </w:t>
      </w:r>
      <w:r w:rsidRPr="00DF6055">
        <w:rPr>
          <w:i/>
          <w:iCs/>
          <w:lang w:val="en-US"/>
        </w:rPr>
        <w:br/>
      </w:r>
      <w:r w:rsidRPr="00DF6055">
        <w:rPr>
          <w:i/>
          <w:iCs/>
          <w:lang w:val="en-US"/>
        </w:rPr>
        <w:br/>
      </w:r>
      <w:r w:rsidR="000E2E11">
        <w:rPr>
          <w:iCs/>
          <w:lang w:val="en-US"/>
        </w:rPr>
        <w:t>or alternatively</w:t>
      </w:r>
    </w:p>
    <w:p w14:paraId="15C79B56" w14:textId="6DBA0955" w:rsidR="005B6541" w:rsidRPr="000E2E11" w:rsidRDefault="009F2482" w:rsidP="00FB0359">
      <w:pPr>
        <w:pStyle w:val="SingleTxtG"/>
        <w:ind w:left="1494"/>
        <w:jc w:val="left"/>
        <w:rPr>
          <w:iCs/>
          <w:lang w:val="en-GB"/>
        </w:rPr>
      </w:pPr>
      <w:r w:rsidRPr="00DF6055">
        <w:rPr>
          <w:i/>
          <w:iCs/>
          <w:lang w:val="en-US"/>
        </w:rPr>
        <w:t>(ii)</w:t>
      </w:r>
      <w:r w:rsidRPr="00DF6055">
        <w:rPr>
          <w:iCs/>
          <w:lang w:val="en-US"/>
        </w:rPr>
        <w:t xml:space="preserve"> “</w:t>
      </w:r>
      <w:r w:rsidRPr="00DF6055">
        <w:rPr>
          <w:i/>
          <w:iCs/>
        </w:rPr>
        <w:t xml:space="preserve">May be omitted </w:t>
      </w:r>
      <w:r w:rsidRPr="00DF6055">
        <w:rPr>
          <w:i/>
          <w:iCs/>
          <w:lang w:val="en-GB"/>
        </w:rPr>
        <w:t>for</w:t>
      </w:r>
      <w:r w:rsidRPr="00DF6055">
        <w:rPr>
          <w:i/>
          <w:iCs/>
        </w:rPr>
        <w:t xml:space="preserve"> explosive</w:t>
      </w:r>
      <w:r w:rsidRPr="00DF6055">
        <w:rPr>
          <w:i/>
          <w:iCs/>
          <w:lang w:val="en-GB"/>
        </w:rPr>
        <w:t>s</w:t>
      </w:r>
      <w:r w:rsidRPr="00DF6055">
        <w:rPr>
          <w:i/>
          <w:iCs/>
        </w:rPr>
        <w:t xml:space="preserve"> </w:t>
      </w:r>
      <w:r w:rsidRPr="00DF6055">
        <w:rPr>
          <w:i/>
          <w:iCs/>
          <w:lang w:val="en-GB"/>
        </w:rPr>
        <w:t>which are</w:t>
      </w:r>
      <w:r w:rsidRPr="00DF6055">
        <w:rPr>
          <w:i/>
          <w:iCs/>
        </w:rPr>
        <w:t xml:space="preserve"> packed into different outer </w:t>
      </w:r>
      <w:proofErr w:type="spellStart"/>
      <w:r w:rsidRPr="00DF6055">
        <w:rPr>
          <w:i/>
          <w:iCs/>
        </w:rPr>
        <w:t>packagings</w:t>
      </w:r>
      <w:proofErr w:type="spellEnd"/>
      <w:r w:rsidRPr="00DF6055">
        <w:rPr>
          <w:i/>
          <w:iCs/>
        </w:rPr>
        <w:t xml:space="preserve"> resulting in different divisions for transport.</w:t>
      </w:r>
      <w:r w:rsidRPr="00DF6055">
        <w:rPr>
          <w:i/>
          <w:iCs/>
          <w:lang w:val="en-GB"/>
        </w:rPr>
        <w:t>”</w:t>
      </w:r>
    </w:p>
    <w:p w14:paraId="22EA6ACB" w14:textId="21033ADC" w:rsidR="009437D4" w:rsidRPr="00DF6055" w:rsidRDefault="002D1C67" w:rsidP="002D1C67">
      <w:pPr>
        <w:pStyle w:val="SingleTxtG"/>
        <w:rPr>
          <w:lang w:val="en-US"/>
        </w:rPr>
      </w:pPr>
      <w:r w:rsidRPr="00DF6055">
        <w:rPr>
          <w:lang w:val="en-US"/>
        </w:rPr>
        <w:lastRenderedPageBreak/>
        <w:t>9.</w:t>
      </w:r>
      <w:r w:rsidRPr="00DF6055">
        <w:rPr>
          <w:lang w:val="en-US"/>
        </w:rPr>
        <w:tab/>
      </w:r>
      <w:r w:rsidR="00F157D8" w:rsidRPr="00DF6055">
        <w:rPr>
          <w:lang w:val="en-US"/>
        </w:rPr>
        <w:t xml:space="preserve">As explained in document ST/SG/AC.10/C.3/2020/23−ST/SG/AC.10/C.4/2020/8, the already existing </w:t>
      </w:r>
      <w:r w:rsidR="00ED066A" w:rsidRPr="00DF6055">
        <w:rPr>
          <w:lang w:val="en-US"/>
        </w:rPr>
        <w:t xml:space="preserve">P234 (“Keep only in original packaging.”) would </w:t>
      </w:r>
      <w:r w:rsidR="00F157D8" w:rsidRPr="00DF6055">
        <w:rPr>
          <w:lang w:val="en-US"/>
        </w:rPr>
        <w:t>always apply to explosives in Category 2. Whenever P236 should also be applied, the two are intended to be combined into P234 + P236 (“Keep only in original packaging; Division … as configured for transport”). Concerns have been raised that P236 in itself is not worded as a precauti</w:t>
      </w:r>
      <w:r w:rsidR="007F0471">
        <w:rPr>
          <w:lang w:val="en-US"/>
        </w:rPr>
        <w:t>on, and that using P-</w:t>
      </w:r>
      <w:r w:rsidR="00F157D8" w:rsidRPr="00DF6055">
        <w:rPr>
          <w:lang w:val="en-US"/>
        </w:rPr>
        <w:t xml:space="preserve">statements to convey other types of information would not be in line with their purpose. The expert from Sweden has therefore suggested that P236 could also be worded to include the text of P234, </w:t>
      </w:r>
      <w:r w:rsidR="00DF6055" w:rsidRPr="00DF6055">
        <w:rPr>
          <w:lang w:val="en-US"/>
        </w:rPr>
        <w:t>i.e. that P236 would read “Keep only in original packaging; Division … as configured for transport”. This</w:t>
      </w:r>
      <w:r w:rsidR="00F157D8" w:rsidRPr="00DF6055">
        <w:rPr>
          <w:lang w:val="en-US"/>
        </w:rPr>
        <w:t xml:space="preserve"> would make </w:t>
      </w:r>
      <w:r w:rsidR="00DF6055" w:rsidRPr="00DF6055">
        <w:rPr>
          <w:lang w:val="en-US"/>
        </w:rPr>
        <w:t>P236</w:t>
      </w:r>
      <w:r w:rsidR="00F157D8" w:rsidRPr="00DF6055">
        <w:rPr>
          <w:lang w:val="en-US"/>
        </w:rPr>
        <w:t xml:space="preserve"> a precaution and also guarantee that the two sets of text always appear together.</w:t>
      </w:r>
      <w:r w:rsidR="007F0471">
        <w:rPr>
          <w:lang w:val="en-US"/>
        </w:rPr>
        <w:t xml:space="preserve"> </w:t>
      </w:r>
      <w:r w:rsidR="00667B26">
        <w:rPr>
          <w:lang w:val="en-US"/>
        </w:rPr>
        <w:t>I</w:t>
      </w:r>
      <w:r w:rsidR="009A3212">
        <w:rPr>
          <w:lang w:val="en-US"/>
        </w:rPr>
        <w:t xml:space="preserve">t is </w:t>
      </w:r>
      <w:r w:rsidR="007F0471">
        <w:rPr>
          <w:lang w:val="en-US"/>
        </w:rPr>
        <w:t>noted</w:t>
      </w:r>
      <w:r w:rsidR="00667B26">
        <w:rPr>
          <w:lang w:val="en-US"/>
        </w:rPr>
        <w:t xml:space="preserve"> though</w:t>
      </w:r>
      <w:r w:rsidR="007F0471">
        <w:rPr>
          <w:lang w:val="en-US"/>
        </w:rPr>
        <w:t xml:space="preserve"> that there are already some P-statements that are not worded as precautions but must be combined with other P-statements, e.g. “In case of fire:” (P370) and “If swallowed</w:t>
      </w:r>
      <w:r w:rsidR="000C6D96">
        <w:rPr>
          <w:lang w:val="en-US"/>
        </w:rPr>
        <w:t>:</w:t>
      </w:r>
      <w:r w:rsidR="007F0471">
        <w:rPr>
          <w:lang w:val="en-US"/>
        </w:rPr>
        <w:t>” (P301).</w:t>
      </w:r>
    </w:p>
    <w:p w14:paraId="49ADDA55" w14:textId="34A2D1AD" w:rsidR="009437D4" w:rsidRPr="00DF6055" w:rsidRDefault="00EA064B" w:rsidP="009437D4">
      <w:pPr>
        <w:pStyle w:val="SingleTxtG"/>
        <w:rPr>
          <w:b/>
          <w:lang w:val="en-US"/>
        </w:rPr>
      </w:pPr>
      <w:r>
        <w:rPr>
          <w:b/>
          <w:lang w:val="en-US"/>
        </w:rPr>
        <w:t xml:space="preserve">Alternative </w:t>
      </w:r>
      <w:r w:rsidR="009437D4" w:rsidRPr="00DF6055">
        <w:rPr>
          <w:b/>
          <w:lang w:val="en-US"/>
        </w:rPr>
        <w:t xml:space="preserve">Hazard statement </w:t>
      </w:r>
      <w:r w:rsidR="00AB2189" w:rsidRPr="00DF6055">
        <w:rPr>
          <w:b/>
          <w:lang w:val="en-US"/>
        </w:rPr>
        <w:t xml:space="preserve">for Sub-category </w:t>
      </w:r>
      <w:r w:rsidR="009437D4" w:rsidRPr="00DF6055">
        <w:rPr>
          <w:b/>
          <w:lang w:val="en-US"/>
        </w:rPr>
        <w:t>2C</w:t>
      </w:r>
    </w:p>
    <w:p w14:paraId="57FF8DD6" w14:textId="34CC69CA" w:rsidR="00002751" w:rsidRDefault="002D1C67" w:rsidP="002D1C67">
      <w:pPr>
        <w:pStyle w:val="SingleTxtG"/>
        <w:rPr>
          <w:lang w:val="en-US"/>
        </w:rPr>
      </w:pPr>
      <w:r>
        <w:rPr>
          <w:lang w:val="en-US"/>
        </w:rPr>
        <w:t>10.</w:t>
      </w:r>
      <w:r>
        <w:rPr>
          <w:lang w:val="en-US"/>
        </w:rPr>
        <w:tab/>
      </w:r>
      <w:r w:rsidR="008112B1">
        <w:rPr>
          <w:lang w:val="en-US"/>
        </w:rPr>
        <w:t xml:space="preserve">As mentioned in paragraph 32 of document </w:t>
      </w:r>
      <w:r w:rsidR="008112B1" w:rsidRPr="00DF6055">
        <w:rPr>
          <w:lang w:val="en-US"/>
        </w:rPr>
        <w:t>ST/SG/AC.10/C.3/2020/20−ST/SG/AC.10/C.4/2020/5</w:t>
      </w:r>
      <w:r w:rsidR="008112B1">
        <w:rPr>
          <w:lang w:val="en-US"/>
        </w:rPr>
        <w:t xml:space="preserve">, there was a wish from some ICG-members to find a hazard statement for Sub-category 2C that would be different from that of Sub-category 2B. </w:t>
      </w:r>
      <w:r w:rsidR="00F157D8" w:rsidRPr="00DF6055">
        <w:rPr>
          <w:lang w:val="en-US"/>
        </w:rPr>
        <w:t xml:space="preserve">The Task Force discussed various options for </w:t>
      </w:r>
      <w:r w:rsidR="008112B1">
        <w:rPr>
          <w:lang w:val="en-US"/>
        </w:rPr>
        <w:t xml:space="preserve">such </w:t>
      </w:r>
      <w:r w:rsidR="00F157D8" w:rsidRPr="00DF6055">
        <w:rPr>
          <w:lang w:val="en-US"/>
        </w:rPr>
        <w:t>a</w:t>
      </w:r>
      <w:r w:rsidR="00AB2189" w:rsidRPr="00DF6055">
        <w:rPr>
          <w:lang w:val="en-US"/>
        </w:rPr>
        <w:t>n alternative</w:t>
      </w:r>
      <w:r w:rsidR="00F157D8" w:rsidRPr="00DF6055">
        <w:rPr>
          <w:lang w:val="en-US"/>
        </w:rPr>
        <w:t xml:space="preserve"> hazard statement</w:t>
      </w:r>
      <w:r w:rsidR="008112B1">
        <w:rPr>
          <w:lang w:val="en-US"/>
        </w:rPr>
        <w:t>, which were</w:t>
      </w:r>
      <w:r w:rsidR="00AB2189" w:rsidRPr="00DF6055">
        <w:rPr>
          <w:lang w:val="en-US"/>
        </w:rPr>
        <w:t xml:space="preserve"> </w:t>
      </w:r>
      <w:r w:rsidR="00F157D8" w:rsidRPr="00DF6055">
        <w:rPr>
          <w:lang w:val="en-US"/>
        </w:rPr>
        <w:t xml:space="preserve">all varieties of current hazard statement H204 “Fire or projection hazard” which is to be applied for Sub-category 2B. </w:t>
      </w:r>
      <w:r w:rsidR="00AB2189" w:rsidRPr="00DF6055">
        <w:rPr>
          <w:lang w:val="en-US"/>
        </w:rPr>
        <w:t>As views within the Task Force were diverging, the conclusion was drawn that the only viable option would be to stay with using</w:t>
      </w:r>
      <w:r w:rsidR="00DF6055" w:rsidRPr="00DF6055">
        <w:rPr>
          <w:lang w:val="en-US"/>
        </w:rPr>
        <w:t xml:space="preserve"> H204 also for Sub-category 2C, i.e. that sub-categories 2B and 2C </w:t>
      </w:r>
      <w:r w:rsidR="00215259">
        <w:rPr>
          <w:lang w:val="en-US"/>
        </w:rPr>
        <w:t xml:space="preserve">will </w:t>
      </w:r>
      <w:r w:rsidR="00DF6055" w:rsidRPr="00DF6055">
        <w:rPr>
          <w:lang w:val="en-US"/>
        </w:rPr>
        <w:t xml:space="preserve">have the same hazard statement “Fire or projection hazard”. </w:t>
      </w:r>
    </w:p>
    <w:p w14:paraId="3FD3345D" w14:textId="1E8D7BA0" w:rsidR="00DF6055" w:rsidRDefault="002D1C67" w:rsidP="002D1C67">
      <w:pPr>
        <w:pStyle w:val="SingleTxtG"/>
        <w:rPr>
          <w:lang w:val="en-US"/>
        </w:rPr>
      </w:pPr>
      <w:r>
        <w:rPr>
          <w:lang w:val="en-US"/>
        </w:rPr>
        <w:t>11.</w:t>
      </w:r>
      <w:r>
        <w:rPr>
          <w:lang w:val="en-US"/>
        </w:rPr>
        <w:tab/>
      </w:r>
      <w:r w:rsidR="00DF6055" w:rsidRPr="00DF6055">
        <w:rPr>
          <w:lang w:val="en-US"/>
        </w:rPr>
        <w:t>Th</w:t>
      </w:r>
      <w:r w:rsidR="00002751">
        <w:rPr>
          <w:lang w:val="en-US"/>
        </w:rPr>
        <w:t>e above outcome</w:t>
      </w:r>
      <w:r w:rsidR="00DF6055" w:rsidRPr="00DF6055">
        <w:rPr>
          <w:lang w:val="en-US"/>
        </w:rPr>
        <w:t xml:space="preserve"> is already the proposal in the Chapter 2.1 presented in</w:t>
      </w:r>
      <w:r w:rsidR="00313F20">
        <w:rPr>
          <w:lang w:val="en-US"/>
        </w:rPr>
        <w:t xml:space="preserve"> Annex I to</w:t>
      </w:r>
      <w:r w:rsidR="00DF6055" w:rsidRPr="00DF6055">
        <w:rPr>
          <w:lang w:val="en-US"/>
        </w:rPr>
        <w:t xml:space="preserve"> document ST/SG/AC.10/C.3/2020/20−ST/SG/AC.10/C.4/2020/5</w:t>
      </w:r>
      <w:r w:rsidR="00FD1698">
        <w:rPr>
          <w:lang w:val="en-US"/>
        </w:rPr>
        <w:t xml:space="preserve"> (see its section 2.1.3)</w:t>
      </w:r>
      <w:r w:rsidR="00DF6055" w:rsidRPr="00DF6055">
        <w:rPr>
          <w:lang w:val="en-US"/>
        </w:rPr>
        <w:t>.</w:t>
      </w:r>
      <w:r w:rsidR="00002751">
        <w:rPr>
          <w:lang w:val="en-US"/>
        </w:rPr>
        <w:t xml:space="preserve"> It was noted that the proposed hazard communication for sub-categories 2B and 2C will still allow these two classifications to be distinguished via the GHS label by means of the different GHS pictograms (the exploding bomb and the exclamation mark, respectively).</w:t>
      </w:r>
    </w:p>
    <w:p w14:paraId="35E662B5" w14:textId="18EC0883" w:rsidR="00747C8C" w:rsidRPr="00FB0359" w:rsidRDefault="00FB0359" w:rsidP="00FB0359">
      <w:pPr>
        <w:pStyle w:val="SingleTxtG"/>
        <w:jc w:val="center"/>
        <w:rPr>
          <w:lang w:val="fr-CH"/>
        </w:rPr>
      </w:pPr>
      <w:r w:rsidRPr="00FB0359">
        <w:rPr>
          <w:lang w:val="fr-CH"/>
        </w:rPr>
        <w:t>__________________</w:t>
      </w:r>
    </w:p>
    <w:sectPr w:rsidR="00747C8C" w:rsidRPr="00FB0359" w:rsidSect="008C1A0E">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DF790" w14:textId="77777777" w:rsidR="00BD05FB" w:rsidRDefault="00BD05FB"/>
  </w:endnote>
  <w:endnote w:type="continuationSeparator" w:id="0">
    <w:p w14:paraId="4EAB1785" w14:textId="77777777" w:rsidR="00BD05FB" w:rsidRDefault="00BD05FB"/>
  </w:endnote>
  <w:endnote w:type="continuationNotice" w:id="1">
    <w:p w14:paraId="130C6F69" w14:textId="77777777" w:rsidR="00BD05FB" w:rsidRDefault="00BD05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A9CCB" w14:textId="29E0F532" w:rsidR="00B71B78" w:rsidRPr="000216CC" w:rsidRDefault="00B71B78" w:rsidP="000216CC">
    <w:pPr>
      <w:pStyle w:val="Footer"/>
      <w:tabs>
        <w:tab w:val="right" w:pos="9638"/>
      </w:tabs>
      <w:rPr>
        <w:sz w:val="18"/>
      </w:rPr>
    </w:pPr>
    <w:r w:rsidRPr="000216CC">
      <w:rPr>
        <w:b/>
        <w:sz w:val="18"/>
      </w:rPr>
      <w:fldChar w:fldCharType="begin"/>
    </w:r>
    <w:r w:rsidRPr="000216CC">
      <w:rPr>
        <w:b/>
        <w:sz w:val="18"/>
      </w:rPr>
      <w:instrText xml:space="preserve"> PAGE  \* MERGEFORMAT </w:instrText>
    </w:r>
    <w:r w:rsidRPr="000216CC">
      <w:rPr>
        <w:b/>
        <w:sz w:val="18"/>
      </w:rPr>
      <w:fldChar w:fldCharType="separate"/>
    </w:r>
    <w:r w:rsidR="00ED773C">
      <w:rPr>
        <w:b/>
        <w:noProof/>
        <w:sz w:val="18"/>
      </w:rPr>
      <w:t>2</w:t>
    </w:r>
    <w:r w:rsidRPr="000216CC">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B4213" w14:textId="6CE14F7B" w:rsidR="00B71B78" w:rsidRPr="000216CC" w:rsidRDefault="00B71B78"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sidR="00ED773C">
      <w:rPr>
        <w:b/>
        <w:noProof/>
        <w:sz w:val="18"/>
      </w:rPr>
      <w:t>3</w:t>
    </w:r>
    <w:r w:rsidRPr="000216C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FC355" w14:textId="77777777" w:rsidR="00B71B78" w:rsidRDefault="00B71B78" w:rsidP="0097639C">
    <w:pPr>
      <w:pStyle w:val="Footer"/>
      <w:tabs>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A014A" w14:textId="77777777" w:rsidR="00BD05FB" w:rsidRPr="000B175B" w:rsidRDefault="00BD05FB" w:rsidP="000B175B">
      <w:pPr>
        <w:tabs>
          <w:tab w:val="right" w:pos="2155"/>
        </w:tabs>
        <w:spacing w:after="80"/>
        <w:ind w:left="680"/>
        <w:rPr>
          <w:u w:val="single"/>
        </w:rPr>
      </w:pPr>
      <w:r>
        <w:rPr>
          <w:u w:val="single"/>
        </w:rPr>
        <w:tab/>
      </w:r>
    </w:p>
  </w:footnote>
  <w:footnote w:type="continuationSeparator" w:id="0">
    <w:p w14:paraId="1F8ECC5C" w14:textId="77777777" w:rsidR="00BD05FB" w:rsidRPr="00FC68B7" w:rsidRDefault="00BD05FB" w:rsidP="00FC68B7">
      <w:pPr>
        <w:tabs>
          <w:tab w:val="left" w:pos="2155"/>
        </w:tabs>
        <w:spacing w:after="80"/>
        <w:ind w:left="680"/>
        <w:rPr>
          <w:u w:val="single"/>
        </w:rPr>
      </w:pPr>
      <w:r>
        <w:rPr>
          <w:u w:val="single"/>
        </w:rPr>
        <w:tab/>
      </w:r>
    </w:p>
  </w:footnote>
  <w:footnote w:type="continuationNotice" w:id="1">
    <w:p w14:paraId="4D7438BF" w14:textId="77777777" w:rsidR="00BD05FB" w:rsidRDefault="00BD05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59B4F" w14:textId="52966E65" w:rsidR="00B71B78" w:rsidRPr="001E5919" w:rsidRDefault="00EE73F9" w:rsidP="001E5919">
    <w:pPr>
      <w:pStyle w:val="Header"/>
      <w:rPr>
        <w:lang w:val="fr-FR"/>
      </w:rPr>
    </w:pPr>
    <w:r>
      <w:rPr>
        <w:lang w:val="fr-FR"/>
      </w:rPr>
      <w:t>UN/SCETDG/57/INF.</w:t>
    </w:r>
    <w:r w:rsidR="00FB0359">
      <w:rPr>
        <w:lang w:val="fr-FR"/>
      </w:rPr>
      <w:t>16</w:t>
    </w:r>
    <w:r>
      <w:rPr>
        <w:lang w:val="fr-FR"/>
      </w:rPr>
      <w:br/>
    </w:r>
    <w:r w:rsidR="00B71B78">
      <w:rPr>
        <w:lang w:val="fr-FR"/>
      </w:rPr>
      <w:t>UN/SCEGHS/39/INF.</w:t>
    </w:r>
    <w:r w:rsidR="00FB0359">
      <w:rPr>
        <w:lang w:val="fr-FR"/>
      </w:rPr>
      <w:t>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941F6" w14:textId="4EE6631B" w:rsidR="00B71B78" w:rsidRPr="001E5919" w:rsidRDefault="00EE73F9" w:rsidP="001E5919">
    <w:pPr>
      <w:pStyle w:val="Header"/>
      <w:jc w:val="right"/>
      <w:rPr>
        <w:lang w:val="fr-FR"/>
      </w:rPr>
    </w:pPr>
    <w:r>
      <w:rPr>
        <w:lang w:val="fr-FR"/>
      </w:rPr>
      <w:t>UN/SCETDG/57/INF.</w:t>
    </w:r>
    <w:r w:rsidR="00FB0359">
      <w:rPr>
        <w:lang w:val="fr-FR"/>
      </w:rPr>
      <w:t>16</w:t>
    </w:r>
    <w:r>
      <w:rPr>
        <w:lang w:val="fr-FR"/>
      </w:rPr>
      <w:br/>
      <w:t>UN/SCEGHS/39/INF.</w:t>
    </w:r>
    <w:r w:rsidR="00FB0359">
      <w:rPr>
        <w:lang w:val="fr-FR"/>
      </w:rPr>
      <w:t>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3B615" w14:textId="77777777" w:rsidR="00B71B78" w:rsidRPr="00542C8D" w:rsidRDefault="00B71B78" w:rsidP="00542C8D">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E4158"/>
    <w:multiLevelType w:val="hybridMultilevel"/>
    <w:tmpl w:val="60948D56"/>
    <w:lvl w:ilvl="0" w:tplc="EA7C2B66">
      <w:start w:val="1"/>
      <w:numFmt w:val="decimal"/>
      <w:lvlText w:val="%1."/>
      <w:lvlJc w:val="left"/>
      <w:pPr>
        <w:ind w:left="2629" w:hanging="360"/>
      </w:pPr>
      <w:rPr>
        <w:rFonts w:hint="default"/>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9DDC7C60">
      <w:numFmt w:val="bullet"/>
      <w:lvlText w:val="•"/>
      <w:lvlJc w:val="left"/>
      <w:pPr>
        <w:ind w:left="3734" w:hanging="440"/>
      </w:pPr>
      <w:rPr>
        <w:rFonts w:ascii="Times New Roman" w:eastAsia="Times New Roman" w:hAnsi="Times New Roman" w:cs="Times New Roman" w:hint="default"/>
      </w:r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02214C83"/>
    <w:multiLevelType w:val="hybridMultilevel"/>
    <w:tmpl w:val="F1946D12"/>
    <w:lvl w:ilvl="0" w:tplc="D566617A">
      <w:numFmt w:val="bullet"/>
      <w:lvlText w:val="-"/>
      <w:lvlJc w:val="left"/>
      <w:pPr>
        <w:ind w:left="1494" w:hanging="360"/>
      </w:pPr>
      <w:rPr>
        <w:rFonts w:ascii="Times New Roman" w:eastAsia="Times New Roman" w:hAnsi="Times New Roman" w:cs="Times New Roman" w:hint="default"/>
      </w:rPr>
    </w:lvl>
    <w:lvl w:ilvl="1" w:tplc="041D0003">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C40124B"/>
    <w:multiLevelType w:val="hybridMultilevel"/>
    <w:tmpl w:val="CBEA5AEC"/>
    <w:lvl w:ilvl="0" w:tplc="04090001">
      <w:start w:val="1"/>
      <w:numFmt w:val="bullet"/>
      <w:lvlText w:val=""/>
      <w:lvlJc w:val="left"/>
      <w:pPr>
        <w:ind w:left="1854" w:hanging="360"/>
      </w:pPr>
      <w:rPr>
        <w:rFonts w:ascii="Symbol" w:hAnsi="Symbol" w:hint="default"/>
      </w:r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C022983"/>
    <w:multiLevelType w:val="hybridMultilevel"/>
    <w:tmpl w:val="897004BE"/>
    <w:lvl w:ilvl="0" w:tplc="EA7C2B66">
      <w:start w:val="1"/>
      <w:numFmt w:val="decimal"/>
      <w:lvlText w:val="%1."/>
      <w:lvlJc w:val="left"/>
      <w:pPr>
        <w:ind w:left="6750" w:hanging="360"/>
      </w:pPr>
      <w:rPr>
        <w:rFonts w:hint="default"/>
      </w:rPr>
    </w:lvl>
    <w:lvl w:ilvl="1" w:tplc="510E1498">
      <w:start w:val="1"/>
      <w:numFmt w:val="lowerRoman"/>
      <w:lvlText w:val="(%2)"/>
      <w:lvlJc w:val="right"/>
      <w:pPr>
        <w:ind w:left="2214" w:hanging="360"/>
      </w:pPr>
      <w:rPr>
        <w:rFonts w:hint="default"/>
      </w:rPr>
    </w:lvl>
    <w:lvl w:ilvl="2" w:tplc="0809001B">
      <w:start w:val="1"/>
      <w:numFmt w:val="lowerRoman"/>
      <w:lvlText w:val="%3."/>
      <w:lvlJc w:val="right"/>
      <w:pPr>
        <w:ind w:left="2934" w:hanging="180"/>
      </w:pPr>
    </w:lvl>
    <w:lvl w:ilvl="3" w:tplc="9DDC7C60">
      <w:numFmt w:val="bullet"/>
      <w:lvlText w:val="•"/>
      <w:lvlJc w:val="left"/>
      <w:pPr>
        <w:ind w:left="3734" w:hanging="440"/>
      </w:pPr>
      <w:rPr>
        <w:rFonts w:ascii="Times New Roman" w:eastAsia="Times New Roman" w:hAnsi="Times New Roman" w:cs="Times New Roman" w:hint="default"/>
      </w:r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1D6C6FEE"/>
    <w:multiLevelType w:val="hybridMultilevel"/>
    <w:tmpl w:val="89A89CC2"/>
    <w:lvl w:ilvl="0" w:tplc="04090017">
      <w:start w:val="1"/>
      <w:numFmt w:val="lowerLetter"/>
      <w:lvlText w:val="%1)"/>
      <w:lvlJc w:val="left"/>
      <w:pPr>
        <w:ind w:left="2061" w:hanging="360"/>
      </w:pPr>
      <w:rPr>
        <w:rFonts w:hint="default"/>
      </w:rPr>
    </w:lvl>
    <w:lvl w:ilvl="1" w:tplc="04090019">
      <w:start w:val="1"/>
      <w:numFmt w:val="lowerLetter"/>
      <w:lvlText w:val="%2."/>
      <w:lvlJc w:val="left"/>
      <w:pPr>
        <w:ind w:left="2781" w:hanging="360"/>
      </w:pPr>
    </w:lvl>
    <w:lvl w:ilvl="2" w:tplc="0409001B">
      <w:start w:val="1"/>
      <w:numFmt w:val="lowerRoman"/>
      <w:lvlText w:val="%3."/>
      <w:lvlJc w:val="right"/>
      <w:pPr>
        <w:ind w:left="3501" w:hanging="180"/>
      </w:pPr>
    </w:lvl>
    <w:lvl w:ilvl="3" w:tplc="0409000F">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7" w15:restartNumberingAfterBreak="0">
    <w:nsid w:val="1D7C46FE"/>
    <w:multiLevelType w:val="hybridMultilevel"/>
    <w:tmpl w:val="5484C730"/>
    <w:lvl w:ilvl="0" w:tplc="B9BCD836">
      <w:start w:val="1"/>
      <w:numFmt w:val="lowerLetter"/>
      <w:lvlText w:val="(%1)"/>
      <w:lvlJc w:val="left"/>
      <w:pPr>
        <w:ind w:left="2061" w:hanging="360"/>
      </w:pPr>
      <w:rPr>
        <w:rFonts w:hint="default"/>
      </w:rPr>
    </w:lvl>
    <w:lvl w:ilvl="1" w:tplc="04090019">
      <w:start w:val="1"/>
      <w:numFmt w:val="lowerLetter"/>
      <w:lvlText w:val="%2."/>
      <w:lvlJc w:val="left"/>
      <w:pPr>
        <w:ind w:left="2781" w:hanging="360"/>
      </w:pPr>
    </w:lvl>
    <w:lvl w:ilvl="2" w:tplc="0409001B">
      <w:start w:val="1"/>
      <w:numFmt w:val="lowerRoman"/>
      <w:lvlText w:val="%3."/>
      <w:lvlJc w:val="right"/>
      <w:pPr>
        <w:ind w:left="3501" w:hanging="180"/>
      </w:pPr>
    </w:lvl>
    <w:lvl w:ilvl="3" w:tplc="0409000F">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8" w15:restartNumberingAfterBreak="0">
    <w:nsid w:val="21B37988"/>
    <w:multiLevelType w:val="hybridMultilevel"/>
    <w:tmpl w:val="6C14A746"/>
    <w:lvl w:ilvl="0" w:tplc="EA7C2B6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23315929"/>
    <w:multiLevelType w:val="hybridMultilevel"/>
    <w:tmpl w:val="5DBA275E"/>
    <w:lvl w:ilvl="0" w:tplc="600C3136">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0" w15:restartNumberingAfterBreak="0">
    <w:nsid w:val="2CF14259"/>
    <w:multiLevelType w:val="hybridMultilevel"/>
    <w:tmpl w:val="75EE8C66"/>
    <w:lvl w:ilvl="0" w:tplc="1BE8D614">
      <w:start w:val="13"/>
      <w:numFmt w:val="decimal"/>
      <w:lvlText w:val="%1."/>
      <w:lvlJc w:val="left"/>
      <w:pPr>
        <w:ind w:left="1440" w:hanging="360"/>
      </w:pPr>
      <w:rPr>
        <w:rFonts w:ascii="Times New Roman" w:eastAsia="Times New Roman" w:hAnsi="Times New Roman" w:cs="Times New Roman" w:hint="default"/>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15:restartNumberingAfterBreak="0">
    <w:nsid w:val="383F09AE"/>
    <w:multiLevelType w:val="hybridMultilevel"/>
    <w:tmpl w:val="10F86E76"/>
    <w:lvl w:ilvl="0" w:tplc="D758D3BA">
      <w:start w:val="1"/>
      <w:numFmt w:val="lowerRoman"/>
      <w:lvlText w:val="%1."/>
      <w:lvlJc w:val="left"/>
      <w:pPr>
        <w:ind w:left="2988" w:hanging="72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2" w15:restartNumberingAfterBreak="0">
    <w:nsid w:val="42114740"/>
    <w:multiLevelType w:val="hybridMultilevel"/>
    <w:tmpl w:val="180A7554"/>
    <w:lvl w:ilvl="0" w:tplc="E132DF24">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3" w15:restartNumberingAfterBreak="0">
    <w:nsid w:val="54A45AA8"/>
    <w:multiLevelType w:val="hybridMultilevel"/>
    <w:tmpl w:val="729A026E"/>
    <w:lvl w:ilvl="0" w:tplc="6A9EA270">
      <w:start w:val="1"/>
      <w:numFmt w:val="decimal"/>
      <w:lvlText w:val="%1."/>
      <w:lvlJc w:val="left"/>
      <w:pPr>
        <w:ind w:left="1494" w:hanging="360"/>
      </w:pPr>
      <w:rPr>
        <w:rFonts w:ascii="Times New Roman" w:eastAsia="Times New Roman" w:hAnsi="Times New Roman" w:cs="Times New Roman"/>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15:restartNumberingAfterBreak="0">
    <w:nsid w:val="57517526"/>
    <w:multiLevelType w:val="hybridMultilevel"/>
    <w:tmpl w:val="23689C8E"/>
    <w:lvl w:ilvl="0" w:tplc="3A2AE336">
      <w:start w:val="1"/>
      <w:numFmt w:val="lowerRoman"/>
      <w:lvlText w:val="%1."/>
      <w:lvlJc w:val="left"/>
      <w:pPr>
        <w:ind w:left="2988" w:hanging="72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5" w15:restartNumberingAfterBreak="0">
    <w:nsid w:val="5E1639F7"/>
    <w:multiLevelType w:val="multilevel"/>
    <w:tmpl w:val="CBB43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62553055"/>
    <w:multiLevelType w:val="hybridMultilevel"/>
    <w:tmpl w:val="10B4218C"/>
    <w:lvl w:ilvl="0" w:tplc="B9BCD836">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B04C44"/>
    <w:multiLevelType w:val="hybridMultilevel"/>
    <w:tmpl w:val="28DCCBEC"/>
    <w:lvl w:ilvl="0" w:tplc="04090001">
      <w:start w:val="1"/>
      <w:numFmt w:val="bullet"/>
      <w:lvlText w:val=""/>
      <w:lvlJc w:val="left"/>
      <w:pPr>
        <w:ind w:left="1494" w:hanging="360"/>
      </w:pPr>
      <w:rPr>
        <w:rFonts w:ascii="Symbol" w:hAnsi="Symbol" w:hint="default"/>
      </w:rPr>
    </w:lvl>
    <w:lvl w:ilvl="1" w:tplc="08090019">
      <w:start w:val="1"/>
      <w:numFmt w:val="lowerLetter"/>
      <w:lvlText w:val="%2."/>
      <w:lvlJc w:val="left"/>
      <w:pPr>
        <w:ind w:left="558" w:hanging="360"/>
      </w:pPr>
    </w:lvl>
    <w:lvl w:ilvl="2" w:tplc="0809001B">
      <w:start w:val="1"/>
      <w:numFmt w:val="lowerRoman"/>
      <w:lvlText w:val="%3."/>
      <w:lvlJc w:val="right"/>
      <w:pPr>
        <w:ind w:left="1278" w:hanging="180"/>
      </w:pPr>
    </w:lvl>
    <w:lvl w:ilvl="3" w:tplc="0809000F" w:tentative="1">
      <w:start w:val="1"/>
      <w:numFmt w:val="decimal"/>
      <w:lvlText w:val="%4."/>
      <w:lvlJc w:val="left"/>
      <w:pPr>
        <w:ind w:left="1998" w:hanging="360"/>
      </w:pPr>
    </w:lvl>
    <w:lvl w:ilvl="4" w:tplc="08090019" w:tentative="1">
      <w:start w:val="1"/>
      <w:numFmt w:val="lowerLetter"/>
      <w:lvlText w:val="%5."/>
      <w:lvlJc w:val="left"/>
      <w:pPr>
        <w:ind w:left="2718" w:hanging="360"/>
      </w:pPr>
    </w:lvl>
    <w:lvl w:ilvl="5" w:tplc="0809001B" w:tentative="1">
      <w:start w:val="1"/>
      <w:numFmt w:val="lowerRoman"/>
      <w:lvlText w:val="%6."/>
      <w:lvlJc w:val="right"/>
      <w:pPr>
        <w:ind w:left="3438" w:hanging="180"/>
      </w:pPr>
    </w:lvl>
    <w:lvl w:ilvl="6" w:tplc="0809000F" w:tentative="1">
      <w:start w:val="1"/>
      <w:numFmt w:val="decimal"/>
      <w:lvlText w:val="%7."/>
      <w:lvlJc w:val="left"/>
      <w:pPr>
        <w:ind w:left="4158" w:hanging="360"/>
      </w:pPr>
    </w:lvl>
    <w:lvl w:ilvl="7" w:tplc="08090019" w:tentative="1">
      <w:start w:val="1"/>
      <w:numFmt w:val="lowerLetter"/>
      <w:lvlText w:val="%8."/>
      <w:lvlJc w:val="left"/>
      <w:pPr>
        <w:ind w:left="4878" w:hanging="360"/>
      </w:pPr>
    </w:lvl>
    <w:lvl w:ilvl="8" w:tplc="0809001B" w:tentative="1">
      <w:start w:val="1"/>
      <w:numFmt w:val="lowerRoman"/>
      <w:lvlText w:val="%9."/>
      <w:lvlJc w:val="right"/>
      <w:pPr>
        <w:ind w:left="5598" w:hanging="180"/>
      </w:pPr>
    </w:lvl>
  </w:abstractNum>
  <w:abstractNum w:abstractNumId="30" w15:restartNumberingAfterBreak="0">
    <w:nsid w:val="66D70565"/>
    <w:multiLevelType w:val="hybridMultilevel"/>
    <w:tmpl w:val="688E9B42"/>
    <w:lvl w:ilvl="0" w:tplc="04090001">
      <w:start w:val="1"/>
      <w:numFmt w:val="bullet"/>
      <w:lvlText w:val=""/>
      <w:lvlJc w:val="left"/>
      <w:pPr>
        <w:ind w:left="2061" w:hanging="360"/>
      </w:pPr>
      <w:rPr>
        <w:rFonts w:ascii="Symbol" w:hAnsi="Symbol" w:hint="default"/>
      </w:rPr>
    </w:lvl>
    <w:lvl w:ilvl="1" w:tplc="04090019">
      <w:start w:val="1"/>
      <w:numFmt w:val="lowerLetter"/>
      <w:lvlText w:val="%2."/>
      <w:lvlJc w:val="left"/>
      <w:pPr>
        <w:ind w:left="2781" w:hanging="360"/>
      </w:pPr>
    </w:lvl>
    <w:lvl w:ilvl="2" w:tplc="0409001B">
      <w:start w:val="1"/>
      <w:numFmt w:val="lowerRoman"/>
      <w:lvlText w:val="%3."/>
      <w:lvlJc w:val="right"/>
      <w:pPr>
        <w:ind w:left="3501" w:hanging="180"/>
      </w:pPr>
    </w:lvl>
    <w:lvl w:ilvl="3" w:tplc="0409000F">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1" w15:restartNumberingAfterBreak="0">
    <w:nsid w:val="6C303A07"/>
    <w:multiLevelType w:val="hybridMultilevel"/>
    <w:tmpl w:val="9F1682B2"/>
    <w:lvl w:ilvl="0" w:tplc="B9BCD836">
      <w:start w:val="1"/>
      <w:numFmt w:val="lowerLetter"/>
      <w:lvlText w:val="(%1)"/>
      <w:lvlJc w:val="left"/>
      <w:pPr>
        <w:ind w:left="2061" w:hanging="360"/>
      </w:pPr>
      <w:rPr>
        <w:rFonts w:hint="default"/>
      </w:rPr>
    </w:lvl>
    <w:lvl w:ilvl="1" w:tplc="04090019">
      <w:start w:val="1"/>
      <w:numFmt w:val="lowerLetter"/>
      <w:lvlText w:val="%2."/>
      <w:lvlJc w:val="left"/>
      <w:pPr>
        <w:ind w:left="2781" w:hanging="360"/>
      </w:pPr>
    </w:lvl>
    <w:lvl w:ilvl="2" w:tplc="0409001B">
      <w:start w:val="1"/>
      <w:numFmt w:val="lowerRoman"/>
      <w:lvlText w:val="%3."/>
      <w:lvlJc w:val="right"/>
      <w:pPr>
        <w:ind w:left="3501" w:hanging="180"/>
      </w:pPr>
    </w:lvl>
    <w:lvl w:ilvl="3" w:tplc="0409000F">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2" w15:restartNumberingAfterBreak="0">
    <w:nsid w:val="71947C28"/>
    <w:multiLevelType w:val="hybridMultilevel"/>
    <w:tmpl w:val="9F1682B2"/>
    <w:lvl w:ilvl="0" w:tplc="B9BCD836">
      <w:start w:val="1"/>
      <w:numFmt w:val="lowerLetter"/>
      <w:lvlText w:val="(%1)"/>
      <w:lvlJc w:val="left"/>
      <w:pPr>
        <w:ind w:left="2061" w:hanging="360"/>
      </w:pPr>
      <w:rPr>
        <w:rFonts w:hint="default"/>
      </w:rPr>
    </w:lvl>
    <w:lvl w:ilvl="1" w:tplc="04090019">
      <w:start w:val="1"/>
      <w:numFmt w:val="lowerLetter"/>
      <w:lvlText w:val="%2."/>
      <w:lvlJc w:val="left"/>
      <w:pPr>
        <w:ind w:left="2781" w:hanging="360"/>
      </w:pPr>
    </w:lvl>
    <w:lvl w:ilvl="2" w:tplc="0409001B">
      <w:start w:val="1"/>
      <w:numFmt w:val="lowerRoman"/>
      <w:lvlText w:val="%3."/>
      <w:lvlJc w:val="right"/>
      <w:pPr>
        <w:ind w:left="3501" w:hanging="180"/>
      </w:pPr>
    </w:lvl>
    <w:lvl w:ilvl="3" w:tplc="0409000F">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3" w15:restartNumberingAfterBreak="0">
    <w:nsid w:val="71D66456"/>
    <w:multiLevelType w:val="hybridMultilevel"/>
    <w:tmpl w:val="F390A090"/>
    <w:lvl w:ilvl="0" w:tplc="3C1EB666">
      <w:start w:val="1"/>
      <w:numFmt w:val="lowerRoman"/>
      <w:lvlText w:val="%1."/>
      <w:lvlJc w:val="left"/>
      <w:pPr>
        <w:ind w:left="2988" w:hanging="72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3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6"/>
  </w:num>
  <w:num w:numId="12">
    <w:abstractNumId w:val="14"/>
  </w:num>
  <w:num w:numId="13">
    <w:abstractNumId w:val="12"/>
  </w:num>
  <w:num w:numId="14">
    <w:abstractNumId w:val="28"/>
  </w:num>
  <w:num w:numId="15">
    <w:abstractNumId w:val="34"/>
  </w:num>
  <w:num w:numId="16">
    <w:abstractNumId w:val="23"/>
  </w:num>
  <w:num w:numId="17">
    <w:abstractNumId w:val="20"/>
  </w:num>
  <w:num w:numId="18">
    <w:abstractNumId w:val="10"/>
  </w:num>
  <w:num w:numId="19">
    <w:abstractNumId w:val="22"/>
  </w:num>
  <w:num w:numId="20">
    <w:abstractNumId w:val="27"/>
  </w:num>
  <w:num w:numId="21">
    <w:abstractNumId w:val="33"/>
  </w:num>
  <w:num w:numId="22">
    <w:abstractNumId w:val="19"/>
  </w:num>
  <w:num w:numId="23">
    <w:abstractNumId w:val="21"/>
  </w:num>
  <w:num w:numId="24">
    <w:abstractNumId w:val="24"/>
  </w:num>
  <w:num w:numId="25">
    <w:abstractNumId w:val="18"/>
  </w:num>
  <w:num w:numId="26">
    <w:abstractNumId w:val="13"/>
  </w:num>
  <w:num w:numId="27">
    <w:abstractNumId w:val="29"/>
  </w:num>
  <w:num w:numId="28">
    <w:abstractNumId w:val="31"/>
  </w:num>
  <w:num w:numId="29">
    <w:abstractNumId w:val="32"/>
  </w:num>
  <w:num w:numId="30">
    <w:abstractNumId w:val="17"/>
  </w:num>
  <w:num w:numId="31">
    <w:abstractNumId w:val="25"/>
  </w:num>
  <w:num w:numId="32">
    <w:abstractNumId w:val="30"/>
  </w:num>
  <w:num w:numId="33">
    <w:abstractNumId w:val="16"/>
  </w:num>
  <w:num w:numId="34">
    <w:abstractNumId w:val="11"/>
  </w:num>
  <w:num w:numId="35">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0"/>
  <w:activeWritingStyle w:appName="MSWord" w:lang="nl-NL" w:vendorID="64" w:dllVersion="6" w:nlCheck="1" w:checkStyle="0"/>
  <w:activeWritingStyle w:appName="MSWord" w:lang="fr-F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nl-NL" w:vendorID="64" w:dllVersion="0" w:nlCheck="1" w:checkStyle="0"/>
  <w:activeWritingStyle w:appName="MSWord" w:lang="de-DE" w:vendorID="64" w:dllVersion="0" w:nlCheck="1" w:checkStyle="0"/>
  <w:activeWritingStyle w:appName="MSWord" w:lang="de-CH" w:vendorID="64" w:dllVersion="0" w:nlCheck="1" w:checkStyle="0"/>
  <w:activeWritingStyle w:appName="MSWord" w:lang="en-US" w:vendorID="64" w:dllVersion="0" w:nlCheck="1" w:checkStyle="0"/>
  <w:activeWritingStyle w:appName="MSWord" w:lang="fr-CH"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n-US" w:vendorID="64" w:dllVersion="4096"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CC"/>
    <w:rsid w:val="000019B8"/>
    <w:rsid w:val="00002751"/>
    <w:rsid w:val="00006C69"/>
    <w:rsid w:val="00006FAE"/>
    <w:rsid w:val="00007A94"/>
    <w:rsid w:val="000133C5"/>
    <w:rsid w:val="00017D24"/>
    <w:rsid w:val="000216CC"/>
    <w:rsid w:val="00022088"/>
    <w:rsid w:val="00026B64"/>
    <w:rsid w:val="0003042A"/>
    <w:rsid w:val="00031437"/>
    <w:rsid w:val="0003375D"/>
    <w:rsid w:val="00040776"/>
    <w:rsid w:val="00043180"/>
    <w:rsid w:val="00044081"/>
    <w:rsid w:val="000441CC"/>
    <w:rsid w:val="000504CE"/>
    <w:rsid w:val="00050922"/>
    <w:rsid w:val="00050F6B"/>
    <w:rsid w:val="00052256"/>
    <w:rsid w:val="0005258D"/>
    <w:rsid w:val="00053492"/>
    <w:rsid w:val="00055FF2"/>
    <w:rsid w:val="0005710C"/>
    <w:rsid w:val="00063DAC"/>
    <w:rsid w:val="00064402"/>
    <w:rsid w:val="00067E6D"/>
    <w:rsid w:val="00072C8C"/>
    <w:rsid w:val="00073129"/>
    <w:rsid w:val="00073FC6"/>
    <w:rsid w:val="00075F99"/>
    <w:rsid w:val="00076A0A"/>
    <w:rsid w:val="00077A9B"/>
    <w:rsid w:val="00080B38"/>
    <w:rsid w:val="00082CE1"/>
    <w:rsid w:val="00083598"/>
    <w:rsid w:val="00084632"/>
    <w:rsid w:val="00084AE1"/>
    <w:rsid w:val="000863FA"/>
    <w:rsid w:val="00086918"/>
    <w:rsid w:val="00090F8D"/>
    <w:rsid w:val="00091046"/>
    <w:rsid w:val="00091419"/>
    <w:rsid w:val="00091CB3"/>
    <w:rsid w:val="000931C0"/>
    <w:rsid w:val="000939AE"/>
    <w:rsid w:val="000A1FD1"/>
    <w:rsid w:val="000A2236"/>
    <w:rsid w:val="000A35F2"/>
    <w:rsid w:val="000A3A48"/>
    <w:rsid w:val="000A4046"/>
    <w:rsid w:val="000A4C38"/>
    <w:rsid w:val="000B0EA7"/>
    <w:rsid w:val="000B175B"/>
    <w:rsid w:val="000B3A0F"/>
    <w:rsid w:val="000B3C2B"/>
    <w:rsid w:val="000B4919"/>
    <w:rsid w:val="000B4D72"/>
    <w:rsid w:val="000B7AF2"/>
    <w:rsid w:val="000C1ED8"/>
    <w:rsid w:val="000C28CA"/>
    <w:rsid w:val="000C5D4B"/>
    <w:rsid w:val="000C6D96"/>
    <w:rsid w:val="000C717F"/>
    <w:rsid w:val="000D0B8F"/>
    <w:rsid w:val="000D14B6"/>
    <w:rsid w:val="000D379B"/>
    <w:rsid w:val="000D481F"/>
    <w:rsid w:val="000D6D97"/>
    <w:rsid w:val="000D7830"/>
    <w:rsid w:val="000E0415"/>
    <w:rsid w:val="000E1285"/>
    <w:rsid w:val="000E2E11"/>
    <w:rsid w:val="000E5E99"/>
    <w:rsid w:val="000E7E74"/>
    <w:rsid w:val="000F0087"/>
    <w:rsid w:val="000F1747"/>
    <w:rsid w:val="000F52D6"/>
    <w:rsid w:val="000F6A20"/>
    <w:rsid w:val="00103A90"/>
    <w:rsid w:val="0010461A"/>
    <w:rsid w:val="001054A3"/>
    <w:rsid w:val="001057AB"/>
    <w:rsid w:val="001058DD"/>
    <w:rsid w:val="00110915"/>
    <w:rsid w:val="00113F87"/>
    <w:rsid w:val="001149AA"/>
    <w:rsid w:val="00115303"/>
    <w:rsid w:val="00115931"/>
    <w:rsid w:val="00115FA4"/>
    <w:rsid w:val="00117787"/>
    <w:rsid w:val="00117D0D"/>
    <w:rsid w:val="00117FD5"/>
    <w:rsid w:val="00120D9A"/>
    <w:rsid w:val="00120E7B"/>
    <w:rsid w:val="00121EB7"/>
    <w:rsid w:val="0012241F"/>
    <w:rsid w:val="00124B3F"/>
    <w:rsid w:val="00130307"/>
    <w:rsid w:val="00131B10"/>
    <w:rsid w:val="00131D42"/>
    <w:rsid w:val="00133C50"/>
    <w:rsid w:val="0013537A"/>
    <w:rsid w:val="001367DF"/>
    <w:rsid w:val="00136F78"/>
    <w:rsid w:val="001377BD"/>
    <w:rsid w:val="001406F4"/>
    <w:rsid w:val="001467C3"/>
    <w:rsid w:val="001470D6"/>
    <w:rsid w:val="001621AD"/>
    <w:rsid w:val="001633FB"/>
    <w:rsid w:val="00163A1B"/>
    <w:rsid w:val="001640DF"/>
    <w:rsid w:val="00165735"/>
    <w:rsid w:val="00167786"/>
    <w:rsid w:val="00170C34"/>
    <w:rsid w:val="00181019"/>
    <w:rsid w:val="001835BF"/>
    <w:rsid w:val="00184B86"/>
    <w:rsid w:val="00191F73"/>
    <w:rsid w:val="00195084"/>
    <w:rsid w:val="00195BC9"/>
    <w:rsid w:val="0019637E"/>
    <w:rsid w:val="001A02A4"/>
    <w:rsid w:val="001A11CB"/>
    <w:rsid w:val="001A1CDC"/>
    <w:rsid w:val="001A3FC1"/>
    <w:rsid w:val="001A5DDE"/>
    <w:rsid w:val="001B0361"/>
    <w:rsid w:val="001B0B4E"/>
    <w:rsid w:val="001B35EE"/>
    <w:rsid w:val="001B4B04"/>
    <w:rsid w:val="001B6B72"/>
    <w:rsid w:val="001C08F5"/>
    <w:rsid w:val="001C429D"/>
    <w:rsid w:val="001C6663"/>
    <w:rsid w:val="001C7895"/>
    <w:rsid w:val="001D0B0A"/>
    <w:rsid w:val="001D25B8"/>
    <w:rsid w:val="001D26DF"/>
    <w:rsid w:val="001D2FDC"/>
    <w:rsid w:val="001D3123"/>
    <w:rsid w:val="001D3A88"/>
    <w:rsid w:val="001D4B2D"/>
    <w:rsid w:val="001D4E70"/>
    <w:rsid w:val="001D55A4"/>
    <w:rsid w:val="001D5B61"/>
    <w:rsid w:val="001D7926"/>
    <w:rsid w:val="001D7B26"/>
    <w:rsid w:val="001E5919"/>
    <w:rsid w:val="001E66BE"/>
    <w:rsid w:val="001E797C"/>
    <w:rsid w:val="001F3FDB"/>
    <w:rsid w:val="00200389"/>
    <w:rsid w:val="00202673"/>
    <w:rsid w:val="0020301C"/>
    <w:rsid w:val="00207C86"/>
    <w:rsid w:val="00211B12"/>
    <w:rsid w:val="00211E0B"/>
    <w:rsid w:val="0021481D"/>
    <w:rsid w:val="00215259"/>
    <w:rsid w:val="00221589"/>
    <w:rsid w:val="00221AC2"/>
    <w:rsid w:val="00223316"/>
    <w:rsid w:val="00223F20"/>
    <w:rsid w:val="00224CD9"/>
    <w:rsid w:val="002254D7"/>
    <w:rsid w:val="002277D8"/>
    <w:rsid w:val="0023025D"/>
    <w:rsid w:val="002309A7"/>
    <w:rsid w:val="00234B1B"/>
    <w:rsid w:val="00235381"/>
    <w:rsid w:val="00237785"/>
    <w:rsid w:val="00240052"/>
    <w:rsid w:val="00241178"/>
    <w:rsid w:val="00241439"/>
    <w:rsid w:val="00241466"/>
    <w:rsid w:val="002440E7"/>
    <w:rsid w:val="002451FB"/>
    <w:rsid w:val="00247570"/>
    <w:rsid w:val="00247764"/>
    <w:rsid w:val="002511B3"/>
    <w:rsid w:val="00253547"/>
    <w:rsid w:val="00257C1E"/>
    <w:rsid w:val="00257DD7"/>
    <w:rsid w:val="00261B71"/>
    <w:rsid w:val="00262099"/>
    <w:rsid w:val="002621F5"/>
    <w:rsid w:val="00264A62"/>
    <w:rsid w:val="0026745A"/>
    <w:rsid w:val="002708B5"/>
    <w:rsid w:val="00270A21"/>
    <w:rsid w:val="002725CA"/>
    <w:rsid w:val="00273A92"/>
    <w:rsid w:val="00276E3C"/>
    <w:rsid w:val="00277896"/>
    <w:rsid w:val="00280EB7"/>
    <w:rsid w:val="0028116C"/>
    <w:rsid w:val="00285F72"/>
    <w:rsid w:val="00291E61"/>
    <w:rsid w:val="002976CF"/>
    <w:rsid w:val="002A0BD2"/>
    <w:rsid w:val="002A12B1"/>
    <w:rsid w:val="002A2A95"/>
    <w:rsid w:val="002A3510"/>
    <w:rsid w:val="002A5B17"/>
    <w:rsid w:val="002A76D3"/>
    <w:rsid w:val="002A7C9F"/>
    <w:rsid w:val="002B067A"/>
    <w:rsid w:val="002B1514"/>
    <w:rsid w:val="002B1CDA"/>
    <w:rsid w:val="002B3254"/>
    <w:rsid w:val="002B46B9"/>
    <w:rsid w:val="002C2163"/>
    <w:rsid w:val="002C25CC"/>
    <w:rsid w:val="002C5293"/>
    <w:rsid w:val="002C7F25"/>
    <w:rsid w:val="002D1C67"/>
    <w:rsid w:val="002D3912"/>
    <w:rsid w:val="002D4DB6"/>
    <w:rsid w:val="002D5029"/>
    <w:rsid w:val="002D5A85"/>
    <w:rsid w:val="002D5C7D"/>
    <w:rsid w:val="002E35BB"/>
    <w:rsid w:val="002E4639"/>
    <w:rsid w:val="002E4D44"/>
    <w:rsid w:val="002E5CF2"/>
    <w:rsid w:val="002F1915"/>
    <w:rsid w:val="002F363A"/>
    <w:rsid w:val="002F3957"/>
    <w:rsid w:val="002F68FD"/>
    <w:rsid w:val="002F6F3B"/>
    <w:rsid w:val="002F7332"/>
    <w:rsid w:val="003003A7"/>
    <w:rsid w:val="00302A3D"/>
    <w:rsid w:val="00305943"/>
    <w:rsid w:val="00305A08"/>
    <w:rsid w:val="003107D0"/>
    <w:rsid w:val="003107FA"/>
    <w:rsid w:val="00313F20"/>
    <w:rsid w:val="00314790"/>
    <w:rsid w:val="00315D73"/>
    <w:rsid w:val="00316FF9"/>
    <w:rsid w:val="00321716"/>
    <w:rsid w:val="003225F2"/>
    <w:rsid w:val="003229D8"/>
    <w:rsid w:val="003240F3"/>
    <w:rsid w:val="0032549A"/>
    <w:rsid w:val="00325F1A"/>
    <w:rsid w:val="00327D0A"/>
    <w:rsid w:val="003311D1"/>
    <w:rsid w:val="00336D2F"/>
    <w:rsid w:val="00340BB2"/>
    <w:rsid w:val="003428B0"/>
    <w:rsid w:val="003517C3"/>
    <w:rsid w:val="00353B8E"/>
    <w:rsid w:val="00355502"/>
    <w:rsid w:val="0035575A"/>
    <w:rsid w:val="00356BC7"/>
    <w:rsid w:val="00357A20"/>
    <w:rsid w:val="003623D1"/>
    <w:rsid w:val="00363530"/>
    <w:rsid w:val="003651D0"/>
    <w:rsid w:val="00372F06"/>
    <w:rsid w:val="0037522C"/>
    <w:rsid w:val="00377CC7"/>
    <w:rsid w:val="003823F2"/>
    <w:rsid w:val="00382FAF"/>
    <w:rsid w:val="00390F0E"/>
    <w:rsid w:val="0039115F"/>
    <w:rsid w:val="00391647"/>
    <w:rsid w:val="003923FB"/>
    <w:rsid w:val="0039277A"/>
    <w:rsid w:val="00393127"/>
    <w:rsid w:val="003940EF"/>
    <w:rsid w:val="003954E2"/>
    <w:rsid w:val="00396F6A"/>
    <w:rsid w:val="003972E0"/>
    <w:rsid w:val="003A1EC2"/>
    <w:rsid w:val="003A2972"/>
    <w:rsid w:val="003A52D7"/>
    <w:rsid w:val="003A59C7"/>
    <w:rsid w:val="003A5A16"/>
    <w:rsid w:val="003A5FED"/>
    <w:rsid w:val="003B3BB5"/>
    <w:rsid w:val="003B5B38"/>
    <w:rsid w:val="003B72E8"/>
    <w:rsid w:val="003C0275"/>
    <w:rsid w:val="003C0657"/>
    <w:rsid w:val="003C0D65"/>
    <w:rsid w:val="003C17C1"/>
    <w:rsid w:val="003C18C9"/>
    <w:rsid w:val="003C2819"/>
    <w:rsid w:val="003C2CC4"/>
    <w:rsid w:val="003C45DF"/>
    <w:rsid w:val="003C655D"/>
    <w:rsid w:val="003C7F9C"/>
    <w:rsid w:val="003D4B23"/>
    <w:rsid w:val="003E5F65"/>
    <w:rsid w:val="003F23A4"/>
    <w:rsid w:val="003F5900"/>
    <w:rsid w:val="003F5B52"/>
    <w:rsid w:val="003F5E99"/>
    <w:rsid w:val="003F66F3"/>
    <w:rsid w:val="003F772A"/>
    <w:rsid w:val="004030C5"/>
    <w:rsid w:val="00403EC6"/>
    <w:rsid w:val="00406CD4"/>
    <w:rsid w:val="00407CED"/>
    <w:rsid w:val="004264D7"/>
    <w:rsid w:val="00430086"/>
    <w:rsid w:val="00430918"/>
    <w:rsid w:val="004325CB"/>
    <w:rsid w:val="00433B74"/>
    <w:rsid w:val="004351F9"/>
    <w:rsid w:val="00437F3F"/>
    <w:rsid w:val="004434E1"/>
    <w:rsid w:val="00445C9D"/>
    <w:rsid w:val="00446DE4"/>
    <w:rsid w:val="00447440"/>
    <w:rsid w:val="00447900"/>
    <w:rsid w:val="00452D10"/>
    <w:rsid w:val="00454036"/>
    <w:rsid w:val="004562AA"/>
    <w:rsid w:val="00460917"/>
    <w:rsid w:val="00460B22"/>
    <w:rsid w:val="0046443A"/>
    <w:rsid w:val="004653B3"/>
    <w:rsid w:val="004654C4"/>
    <w:rsid w:val="0046668F"/>
    <w:rsid w:val="0046773D"/>
    <w:rsid w:val="0046788D"/>
    <w:rsid w:val="00475CD0"/>
    <w:rsid w:val="0048028B"/>
    <w:rsid w:val="00480BD4"/>
    <w:rsid w:val="0048304D"/>
    <w:rsid w:val="00484A9B"/>
    <w:rsid w:val="00486DA4"/>
    <w:rsid w:val="00492AF9"/>
    <w:rsid w:val="0049304E"/>
    <w:rsid w:val="00494C77"/>
    <w:rsid w:val="00497711"/>
    <w:rsid w:val="004A1710"/>
    <w:rsid w:val="004B2C9D"/>
    <w:rsid w:val="004B33C4"/>
    <w:rsid w:val="004B5939"/>
    <w:rsid w:val="004B692E"/>
    <w:rsid w:val="004B73D6"/>
    <w:rsid w:val="004C39D0"/>
    <w:rsid w:val="004C43DB"/>
    <w:rsid w:val="004C4F1A"/>
    <w:rsid w:val="004C6D6D"/>
    <w:rsid w:val="004C7974"/>
    <w:rsid w:val="004D0012"/>
    <w:rsid w:val="004D5FB6"/>
    <w:rsid w:val="004E0C5D"/>
    <w:rsid w:val="004E3603"/>
    <w:rsid w:val="004F4240"/>
    <w:rsid w:val="004F52AA"/>
    <w:rsid w:val="004F5854"/>
    <w:rsid w:val="004F77CD"/>
    <w:rsid w:val="00502365"/>
    <w:rsid w:val="005042BC"/>
    <w:rsid w:val="00504FEC"/>
    <w:rsid w:val="00507CF1"/>
    <w:rsid w:val="00515057"/>
    <w:rsid w:val="0051771C"/>
    <w:rsid w:val="00522177"/>
    <w:rsid w:val="005223CB"/>
    <w:rsid w:val="00524D87"/>
    <w:rsid w:val="005258D4"/>
    <w:rsid w:val="00527910"/>
    <w:rsid w:val="00530360"/>
    <w:rsid w:val="00534655"/>
    <w:rsid w:val="0053653D"/>
    <w:rsid w:val="00536DFA"/>
    <w:rsid w:val="005371B2"/>
    <w:rsid w:val="00541A44"/>
    <w:rsid w:val="00542001"/>
    <w:rsid w:val="005420F2"/>
    <w:rsid w:val="00542505"/>
    <w:rsid w:val="00542C8D"/>
    <w:rsid w:val="005434EF"/>
    <w:rsid w:val="0054641F"/>
    <w:rsid w:val="005475D4"/>
    <w:rsid w:val="00550CA7"/>
    <w:rsid w:val="00552179"/>
    <w:rsid w:val="00555CDB"/>
    <w:rsid w:val="005603DA"/>
    <w:rsid w:val="00561B6D"/>
    <w:rsid w:val="00562D45"/>
    <w:rsid w:val="005655A7"/>
    <w:rsid w:val="0056615B"/>
    <w:rsid w:val="00567DFB"/>
    <w:rsid w:val="005704BE"/>
    <w:rsid w:val="00571DAA"/>
    <w:rsid w:val="005739EC"/>
    <w:rsid w:val="00576F7D"/>
    <w:rsid w:val="0058129D"/>
    <w:rsid w:val="00584066"/>
    <w:rsid w:val="00590144"/>
    <w:rsid w:val="005904DA"/>
    <w:rsid w:val="0059680B"/>
    <w:rsid w:val="0059682C"/>
    <w:rsid w:val="005A2489"/>
    <w:rsid w:val="005A64DD"/>
    <w:rsid w:val="005A72B2"/>
    <w:rsid w:val="005B07CF"/>
    <w:rsid w:val="005B0899"/>
    <w:rsid w:val="005B09F0"/>
    <w:rsid w:val="005B0CED"/>
    <w:rsid w:val="005B1BA3"/>
    <w:rsid w:val="005B3DB3"/>
    <w:rsid w:val="005B4B57"/>
    <w:rsid w:val="005B528A"/>
    <w:rsid w:val="005B6541"/>
    <w:rsid w:val="005C3E89"/>
    <w:rsid w:val="005C4CB5"/>
    <w:rsid w:val="005C6B5A"/>
    <w:rsid w:val="005D0C6C"/>
    <w:rsid w:val="005D1BB4"/>
    <w:rsid w:val="005D68BD"/>
    <w:rsid w:val="005E0752"/>
    <w:rsid w:val="005E3D28"/>
    <w:rsid w:val="005E53FE"/>
    <w:rsid w:val="005E5946"/>
    <w:rsid w:val="005E6758"/>
    <w:rsid w:val="005F3A39"/>
    <w:rsid w:val="005F3D99"/>
    <w:rsid w:val="005F5C2F"/>
    <w:rsid w:val="005F7BB1"/>
    <w:rsid w:val="00602490"/>
    <w:rsid w:val="00603E3C"/>
    <w:rsid w:val="0061166C"/>
    <w:rsid w:val="00611FC4"/>
    <w:rsid w:val="00612812"/>
    <w:rsid w:val="0061549F"/>
    <w:rsid w:val="006176FB"/>
    <w:rsid w:val="006260F3"/>
    <w:rsid w:val="00626B06"/>
    <w:rsid w:val="00626E5B"/>
    <w:rsid w:val="006279AC"/>
    <w:rsid w:val="006314B1"/>
    <w:rsid w:val="00632200"/>
    <w:rsid w:val="00632969"/>
    <w:rsid w:val="00632EAA"/>
    <w:rsid w:val="0063419C"/>
    <w:rsid w:val="00635381"/>
    <w:rsid w:val="00636986"/>
    <w:rsid w:val="00637542"/>
    <w:rsid w:val="00637558"/>
    <w:rsid w:val="00640B26"/>
    <w:rsid w:val="00641194"/>
    <w:rsid w:val="00645A0B"/>
    <w:rsid w:val="00645DED"/>
    <w:rsid w:val="006471F6"/>
    <w:rsid w:val="006500BA"/>
    <w:rsid w:val="006506DB"/>
    <w:rsid w:val="00653E36"/>
    <w:rsid w:val="00661016"/>
    <w:rsid w:val="0066179D"/>
    <w:rsid w:val="00662121"/>
    <w:rsid w:val="00662E09"/>
    <w:rsid w:val="006632F5"/>
    <w:rsid w:val="00667B26"/>
    <w:rsid w:val="00670CF0"/>
    <w:rsid w:val="00673C50"/>
    <w:rsid w:val="00675F87"/>
    <w:rsid w:val="00684954"/>
    <w:rsid w:val="00685AD0"/>
    <w:rsid w:val="00687AF0"/>
    <w:rsid w:val="00690CD6"/>
    <w:rsid w:val="00695F8E"/>
    <w:rsid w:val="006A3932"/>
    <w:rsid w:val="006A63E3"/>
    <w:rsid w:val="006A7392"/>
    <w:rsid w:val="006B1C55"/>
    <w:rsid w:val="006B4518"/>
    <w:rsid w:val="006C0D34"/>
    <w:rsid w:val="006C1D8F"/>
    <w:rsid w:val="006C251B"/>
    <w:rsid w:val="006C2F7E"/>
    <w:rsid w:val="006C57FD"/>
    <w:rsid w:val="006C6F93"/>
    <w:rsid w:val="006D2A3E"/>
    <w:rsid w:val="006D3560"/>
    <w:rsid w:val="006D7700"/>
    <w:rsid w:val="006E3B65"/>
    <w:rsid w:val="006E4BFC"/>
    <w:rsid w:val="006E564B"/>
    <w:rsid w:val="007025C0"/>
    <w:rsid w:val="00706813"/>
    <w:rsid w:val="0070691D"/>
    <w:rsid w:val="00707A9B"/>
    <w:rsid w:val="00707E5C"/>
    <w:rsid w:val="00707F04"/>
    <w:rsid w:val="00711637"/>
    <w:rsid w:val="007134CF"/>
    <w:rsid w:val="00714F4F"/>
    <w:rsid w:val="00723978"/>
    <w:rsid w:val="00724964"/>
    <w:rsid w:val="0072632A"/>
    <w:rsid w:val="00736A6E"/>
    <w:rsid w:val="00736E6A"/>
    <w:rsid w:val="00737407"/>
    <w:rsid w:val="007416F3"/>
    <w:rsid w:val="00741F59"/>
    <w:rsid w:val="00742129"/>
    <w:rsid w:val="0074697D"/>
    <w:rsid w:val="00747C8C"/>
    <w:rsid w:val="007528EF"/>
    <w:rsid w:val="00753344"/>
    <w:rsid w:val="00755A0C"/>
    <w:rsid w:val="00755EBE"/>
    <w:rsid w:val="0076047E"/>
    <w:rsid w:val="00760C16"/>
    <w:rsid w:val="00761619"/>
    <w:rsid w:val="0076177C"/>
    <w:rsid w:val="00763C33"/>
    <w:rsid w:val="00763F5B"/>
    <w:rsid w:val="00764D34"/>
    <w:rsid w:val="00766322"/>
    <w:rsid w:val="00770BCD"/>
    <w:rsid w:val="00771904"/>
    <w:rsid w:val="00773353"/>
    <w:rsid w:val="00774129"/>
    <w:rsid w:val="00774E8F"/>
    <w:rsid w:val="00774EAA"/>
    <w:rsid w:val="00777C27"/>
    <w:rsid w:val="0078123B"/>
    <w:rsid w:val="0078333D"/>
    <w:rsid w:val="00786434"/>
    <w:rsid w:val="00790689"/>
    <w:rsid w:val="00790791"/>
    <w:rsid w:val="007932E3"/>
    <w:rsid w:val="007944A3"/>
    <w:rsid w:val="007959DD"/>
    <w:rsid w:val="00796F36"/>
    <w:rsid w:val="007A2CDB"/>
    <w:rsid w:val="007A62EC"/>
    <w:rsid w:val="007A6D76"/>
    <w:rsid w:val="007B1A7E"/>
    <w:rsid w:val="007B2BA8"/>
    <w:rsid w:val="007B3C6D"/>
    <w:rsid w:val="007B5E15"/>
    <w:rsid w:val="007B6BA5"/>
    <w:rsid w:val="007C2C0D"/>
    <w:rsid w:val="007C3075"/>
    <w:rsid w:val="007C3162"/>
    <w:rsid w:val="007C3390"/>
    <w:rsid w:val="007C3FFE"/>
    <w:rsid w:val="007C4F4B"/>
    <w:rsid w:val="007C644D"/>
    <w:rsid w:val="007C71BC"/>
    <w:rsid w:val="007D1339"/>
    <w:rsid w:val="007D4EF3"/>
    <w:rsid w:val="007D722E"/>
    <w:rsid w:val="007D7BC6"/>
    <w:rsid w:val="007E1BE6"/>
    <w:rsid w:val="007E3DAB"/>
    <w:rsid w:val="007E4BD3"/>
    <w:rsid w:val="007E5B14"/>
    <w:rsid w:val="007E5D7C"/>
    <w:rsid w:val="007F0471"/>
    <w:rsid w:val="007F2A54"/>
    <w:rsid w:val="007F4FEF"/>
    <w:rsid w:val="007F5104"/>
    <w:rsid w:val="007F6611"/>
    <w:rsid w:val="007F6D17"/>
    <w:rsid w:val="007F7D82"/>
    <w:rsid w:val="00800024"/>
    <w:rsid w:val="00800875"/>
    <w:rsid w:val="00801952"/>
    <w:rsid w:val="00803236"/>
    <w:rsid w:val="008037A2"/>
    <w:rsid w:val="00803FD4"/>
    <w:rsid w:val="008112B1"/>
    <w:rsid w:val="00816341"/>
    <w:rsid w:val="00816370"/>
    <w:rsid w:val="00816582"/>
    <w:rsid w:val="00817599"/>
    <w:rsid w:val="008175E9"/>
    <w:rsid w:val="00820A2D"/>
    <w:rsid w:val="00822FCE"/>
    <w:rsid w:val="008242D7"/>
    <w:rsid w:val="00825B97"/>
    <w:rsid w:val="00826410"/>
    <w:rsid w:val="00826C09"/>
    <w:rsid w:val="0083043E"/>
    <w:rsid w:val="0083069A"/>
    <w:rsid w:val="00832A1D"/>
    <w:rsid w:val="00834479"/>
    <w:rsid w:val="00843AB2"/>
    <w:rsid w:val="00846809"/>
    <w:rsid w:val="00851D4F"/>
    <w:rsid w:val="00852C3A"/>
    <w:rsid w:val="00854873"/>
    <w:rsid w:val="00856BCC"/>
    <w:rsid w:val="0086107D"/>
    <w:rsid w:val="00864251"/>
    <w:rsid w:val="00871B13"/>
    <w:rsid w:val="00871FD5"/>
    <w:rsid w:val="0087259D"/>
    <w:rsid w:val="0087351D"/>
    <w:rsid w:val="008754FF"/>
    <w:rsid w:val="00877071"/>
    <w:rsid w:val="00881213"/>
    <w:rsid w:val="00886C92"/>
    <w:rsid w:val="008979B1"/>
    <w:rsid w:val="008A0B75"/>
    <w:rsid w:val="008A1542"/>
    <w:rsid w:val="008A1C4B"/>
    <w:rsid w:val="008A6B25"/>
    <w:rsid w:val="008A6C4F"/>
    <w:rsid w:val="008A7679"/>
    <w:rsid w:val="008A7AB3"/>
    <w:rsid w:val="008B2DB8"/>
    <w:rsid w:val="008B3244"/>
    <w:rsid w:val="008B65FB"/>
    <w:rsid w:val="008C04F5"/>
    <w:rsid w:val="008C1A0E"/>
    <w:rsid w:val="008C24CC"/>
    <w:rsid w:val="008C3B3C"/>
    <w:rsid w:val="008C4283"/>
    <w:rsid w:val="008C45B1"/>
    <w:rsid w:val="008C4E36"/>
    <w:rsid w:val="008C6D16"/>
    <w:rsid w:val="008C74C3"/>
    <w:rsid w:val="008C7BF7"/>
    <w:rsid w:val="008D134F"/>
    <w:rsid w:val="008D3C75"/>
    <w:rsid w:val="008D5D05"/>
    <w:rsid w:val="008D6942"/>
    <w:rsid w:val="008E0E46"/>
    <w:rsid w:val="008E1DAE"/>
    <w:rsid w:val="008E295A"/>
    <w:rsid w:val="008E3BB8"/>
    <w:rsid w:val="008F0214"/>
    <w:rsid w:val="008F2D9A"/>
    <w:rsid w:val="008F44B8"/>
    <w:rsid w:val="008F504A"/>
    <w:rsid w:val="008F6413"/>
    <w:rsid w:val="00904EBC"/>
    <w:rsid w:val="00910F87"/>
    <w:rsid w:val="00912BA7"/>
    <w:rsid w:val="0091320D"/>
    <w:rsid w:val="0091645B"/>
    <w:rsid w:val="00923019"/>
    <w:rsid w:val="00923AA2"/>
    <w:rsid w:val="00924B63"/>
    <w:rsid w:val="00931D1B"/>
    <w:rsid w:val="00933FAB"/>
    <w:rsid w:val="009363B6"/>
    <w:rsid w:val="00940F46"/>
    <w:rsid w:val="00941ECC"/>
    <w:rsid w:val="009437D4"/>
    <w:rsid w:val="00945A5D"/>
    <w:rsid w:val="00946A0D"/>
    <w:rsid w:val="0094762B"/>
    <w:rsid w:val="00954F3C"/>
    <w:rsid w:val="00955109"/>
    <w:rsid w:val="00963B67"/>
    <w:rsid w:val="00963CBA"/>
    <w:rsid w:val="009701ED"/>
    <w:rsid w:val="00971710"/>
    <w:rsid w:val="0097431F"/>
    <w:rsid w:val="0097639C"/>
    <w:rsid w:val="0097685F"/>
    <w:rsid w:val="00982A54"/>
    <w:rsid w:val="00984471"/>
    <w:rsid w:val="00985F37"/>
    <w:rsid w:val="009879EA"/>
    <w:rsid w:val="009903C1"/>
    <w:rsid w:val="009908A5"/>
    <w:rsid w:val="0099124E"/>
    <w:rsid w:val="00991261"/>
    <w:rsid w:val="009953D5"/>
    <w:rsid w:val="0099545C"/>
    <w:rsid w:val="009A12C6"/>
    <w:rsid w:val="009A16BE"/>
    <w:rsid w:val="009A1D29"/>
    <w:rsid w:val="009A2A69"/>
    <w:rsid w:val="009A3212"/>
    <w:rsid w:val="009B26D0"/>
    <w:rsid w:val="009B4C77"/>
    <w:rsid w:val="009B5F0D"/>
    <w:rsid w:val="009C0FA4"/>
    <w:rsid w:val="009C6058"/>
    <w:rsid w:val="009C6168"/>
    <w:rsid w:val="009C61B6"/>
    <w:rsid w:val="009C6394"/>
    <w:rsid w:val="009C6939"/>
    <w:rsid w:val="009D0E2A"/>
    <w:rsid w:val="009D0F0E"/>
    <w:rsid w:val="009D1AAE"/>
    <w:rsid w:val="009D1C63"/>
    <w:rsid w:val="009D1F7D"/>
    <w:rsid w:val="009D634E"/>
    <w:rsid w:val="009E1560"/>
    <w:rsid w:val="009E7EDE"/>
    <w:rsid w:val="009F0F06"/>
    <w:rsid w:val="009F2482"/>
    <w:rsid w:val="009F35DB"/>
    <w:rsid w:val="009F4FC5"/>
    <w:rsid w:val="009F7CD7"/>
    <w:rsid w:val="00A02C71"/>
    <w:rsid w:val="00A068B8"/>
    <w:rsid w:val="00A10D41"/>
    <w:rsid w:val="00A1427D"/>
    <w:rsid w:val="00A14A9B"/>
    <w:rsid w:val="00A1716E"/>
    <w:rsid w:val="00A201E8"/>
    <w:rsid w:val="00A235F1"/>
    <w:rsid w:val="00A34B00"/>
    <w:rsid w:val="00A36464"/>
    <w:rsid w:val="00A3777A"/>
    <w:rsid w:val="00A45A37"/>
    <w:rsid w:val="00A50077"/>
    <w:rsid w:val="00A52922"/>
    <w:rsid w:val="00A538E5"/>
    <w:rsid w:val="00A5422A"/>
    <w:rsid w:val="00A54CA8"/>
    <w:rsid w:val="00A60196"/>
    <w:rsid w:val="00A60B3E"/>
    <w:rsid w:val="00A6199C"/>
    <w:rsid w:val="00A62147"/>
    <w:rsid w:val="00A622AF"/>
    <w:rsid w:val="00A6236D"/>
    <w:rsid w:val="00A65F4A"/>
    <w:rsid w:val="00A66636"/>
    <w:rsid w:val="00A6730E"/>
    <w:rsid w:val="00A71B77"/>
    <w:rsid w:val="00A72F22"/>
    <w:rsid w:val="00A744D7"/>
    <w:rsid w:val="00A748A6"/>
    <w:rsid w:val="00A74A46"/>
    <w:rsid w:val="00A753A9"/>
    <w:rsid w:val="00A75D0E"/>
    <w:rsid w:val="00A75EC9"/>
    <w:rsid w:val="00A810D4"/>
    <w:rsid w:val="00A83451"/>
    <w:rsid w:val="00A83538"/>
    <w:rsid w:val="00A841F8"/>
    <w:rsid w:val="00A8523D"/>
    <w:rsid w:val="00A865E5"/>
    <w:rsid w:val="00A879A4"/>
    <w:rsid w:val="00A9244A"/>
    <w:rsid w:val="00AA128F"/>
    <w:rsid w:val="00AA1D9A"/>
    <w:rsid w:val="00AA32EB"/>
    <w:rsid w:val="00AA6307"/>
    <w:rsid w:val="00AA6AEB"/>
    <w:rsid w:val="00AA7616"/>
    <w:rsid w:val="00AB2189"/>
    <w:rsid w:val="00AB382F"/>
    <w:rsid w:val="00AB3FD7"/>
    <w:rsid w:val="00AB4CF1"/>
    <w:rsid w:val="00AB547D"/>
    <w:rsid w:val="00AB5E15"/>
    <w:rsid w:val="00AC0069"/>
    <w:rsid w:val="00AC7F82"/>
    <w:rsid w:val="00AD34EE"/>
    <w:rsid w:val="00AD5498"/>
    <w:rsid w:val="00AD564C"/>
    <w:rsid w:val="00AD7C88"/>
    <w:rsid w:val="00AE45DE"/>
    <w:rsid w:val="00AF0878"/>
    <w:rsid w:val="00AF2F9D"/>
    <w:rsid w:val="00AF5853"/>
    <w:rsid w:val="00AF6033"/>
    <w:rsid w:val="00AF6710"/>
    <w:rsid w:val="00B013E6"/>
    <w:rsid w:val="00B04D66"/>
    <w:rsid w:val="00B10C19"/>
    <w:rsid w:val="00B1157C"/>
    <w:rsid w:val="00B13914"/>
    <w:rsid w:val="00B1501F"/>
    <w:rsid w:val="00B2578B"/>
    <w:rsid w:val="00B26710"/>
    <w:rsid w:val="00B26B3C"/>
    <w:rsid w:val="00B30179"/>
    <w:rsid w:val="00B3317B"/>
    <w:rsid w:val="00B366AB"/>
    <w:rsid w:val="00B36913"/>
    <w:rsid w:val="00B41384"/>
    <w:rsid w:val="00B41F75"/>
    <w:rsid w:val="00B43422"/>
    <w:rsid w:val="00B4398E"/>
    <w:rsid w:val="00B52157"/>
    <w:rsid w:val="00B5392B"/>
    <w:rsid w:val="00B54670"/>
    <w:rsid w:val="00B560D2"/>
    <w:rsid w:val="00B56C20"/>
    <w:rsid w:val="00B61827"/>
    <w:rsid w:val="00B64FDB"/>
    <w:rsid w:val="00B71B78"/>
    <w:rsid w:val="00B71E2B"/>
    <w:rsid w:val="00B73DA8"/>
    <w:rsid w:val="00B74F7C"/>
    <w:rsid w:val="00B75CA5"/>
    <w:rsid w:val="00B75E05"/>
    <w:rsid w:val="00B81E12"/>
    <w:rsid w:val="00B822E7"/>
    <w:rsid w:val="00B84AAC"/>
    <w:rsid w:val="00B87012"/>
    <w:rsid w:val="00B879B1"/>
    <w:rsid w:val="00B90F54"/>
    <w:rsid w:val="00B91CC3"/>
    <w:rsid w:val="00B92A0C"/>
    <w:rsid w:val="00B93068"/>
    <w:rsid w:val="00B9536E"/>
    <w:rsid w:val="00B9560E"/>
    <w:rsid w:val="00BA1DA3"/>
    <w:rsid w:val="00BA413B"/>
    <w:rsid w:val="00BA52D9"/>
    <w:rsid w:val="00BA7096"/>
    <w:rsid w:val="00BA7462"/>
    <w:rsid w:val="00BA758C"/>
    <w:rsid w:val="00BB1452"/>
    <w:rsid w:val="00BB176D"/>
    <w:rsid w:val="00BB183E"/>
    <w:rsid w:val="00BB3B28"/>
    <w:rsid w:val="00BB7BCE"/>
    <w:rsid w:val="00BC46B3"/>
    <w:rsid w:val="00BC4CB4"/>
    <w:rsid w:val="00BC5E58"/>
    <w:rsid w:val="00BC5FC4"/>
    <w:rsid w:val="00BC74E9"/>
    <w:rsid w:val="00BD05FB"/>
    <w:rsid w:val="00BD41F8"/>
    <w:rsid w:val="00BD7EBA"/>
    <w:rsid w:val="00BE14E7"/>
    <w:rsid w:val="00BE1FF8"/>
    <w:rsid w:val="00BE47B0"/>
    <w:rsid w:val="00BE50CA"/>
    <w:rsid w:val="00BE618E"/>
    <w:rsid w:val="00BE6311"/>
    <w:rsid w:val="00BF1E50"/>
    <w:rsid w:val="00BF5205"/>
    <w:rsid w:val="00C001C2"/>
    <w:rsid w:val="00C0263F"/>
    <w:rsid w:val="00C031AD"/>
    <w:rsid w:val="00C03B44"/>
    <w:rsid w:val="00C060D3"/>
    <w:rsid w:val="00C10B00"/>
    <w:rsid w:val="00C13A85"/>
    <w:rsid w:val="00C14E41"/>
    <w:rsid w:val="00C20CF6"/>
    <w:rsid w:val="00C218A4"/>
    <w:rsid w:val="00C21A4B"/>
    <w:rsid w:val="00C23E4F"/>
    <w:rsid w:val="00C252A7"/>
    <w:rsid w:val="00C31A32"/>
    <w:rsid w:val="00C36D37"/>
    <w:rsid w:val="00C37C37"/>
    <w:rsid w:val="00C37E31"/>
    <w:rsid w:val="00C463DD"/>
    <w:rsid w:val="00C46D5B"/>
    <w:rsid w:val="00C519E2"/>
    <w:rsid w:val="00C5283C"/>
    <w:rsid w:val="00C537D5"/>
    <w:rsid w:val="00C539D8"/>
    <w:rsid w:val="00C53FAC"/>
    <w:rsid w:val="00C610EB"/>
    <w:rsid w:val="00C62F76"/>
    <w:rsid w:val="00C66D78"/>
    <w:rsid w:val="00C71A92"/>
    <w:rsid w:val="00C745C3"/>
    <w:rsid w:val="00C81212"/>
    <w:rsid w:val="00C81810"/>
    <w:rsid w:val="00C8235A"/>
    <w:rsid w:val="00C84FF1"/>
    <w:rsid w:val="00C86E64"/>
    <w:rsid w:val="00C90019"/>
    <w:rsid w:val="00C91180"/>
    <w:rsid w:val="00C93C11"/>
    <w:rsid w:val="00C94F7A"/>
    <w:rsid w:val="00C971F6"/>
    <w:rsid w:val="00CA049C"/>
    <w:rsid w:val="00CA272B"/>
    <w:rsid w:val="00CA381C"/>
    <w:rsid w:val="00CA3F9E"/>
    <w:rsid w:val="00CA74D3"/>
    <w:rsid w:val="00CB2158"/>
    <w:rsid w:val="00CB6380"/>
    <w:rsid w:val="00CB7364"/>
    <w:rsid w:val="00CC43C1"/>
    <w:rsid w:val="00CC4CA6"/>
    <w:rsid w:val="00CC5DB9"/>
    <w:rsid w:val="00CD0009"/>
    <w:rsid w:val="00CD30EE"/>
    <w:rsid w:val="00CD3225"/>
    <w:rsid w:val="00CD38FE"/>
    <w:rsid w:val="00CE0D77"/>
    <w:rsid w:val="00CE4083"/>
    <w:rsid w:val="00CE46BA"/>
    <w:rsid w:val="00CE4A8F"/>
    <w:rsid w:val="00CE4A94"/>
    <w:rsid w:val="00CE4B82"/>
    <w:rsid w:val="00CE74ED"/>
    <w:rsid w:val="00CE7626"/>
    <w:rsid w:val="00CE7F8D"/>
    <w:rsid w:val="00CF12F6"/>
    <w:rsid w:val="00CF4EB4"/>
    <w:rsid w:val="00CF5865"/>
    <w:rsid w:val="00CF6F32"/>
    <w:rsid w:val="00CF778D"/>
    <w:rsid w:val="00D01C20"/>
    <w:rsid w:val="00D04B74"/>
    <w:rsid w:val="00D05BE2"/>
    <w:rsid w:val="00D0631B"/>
    <w:rsid w:val="00D06C3A"/>
    <w:rsid w:val="00D124FE"/>
    <w:rsid w:val="00D15452"/>
    <w:rsid w:val="00D164BA"/>
    <w:rsid w:val="00D2031B"/>
    <w:rsid w:val="00D25E8C"/>
    <w:rsid w:val="00D25FE2"/>
    <w:rsid w:val="00D26B2C"/>
    <w:rsid w:val="00D27461"/>
    <w:rsid w:val="00D27E89"/>
    <w:rsid w:val="00D352FD"/>
    <w:rsid w:val="00D366A7"/>
    <w:rsid w:val="00D37E80"/>
    <w:rsid w:val="00D42C29"/>
    <w:rsid w:val="00D43252"/>
    <w:rsid w:val="00D46231"/>
    <w:rsid w:val="00D477C4"/>
    <w:rsid w:val="00D52CD5"/>
    <w:rsid w:val="00D5409C"/>
    <w:rsid w:val="00D558E3"/>
    <w:rsid w:val="00D55A6B"/>
    <w:rsid w:val="00D57C13"/>
    <w:rsid w:val="00D57FD9"/>
    <w:rsid w:val="00D610C1"/>
    <w:rsid w:val="00D657F6"/>
    <w:rsid w:val="00D658FA"/>
    <w:rsid w:val="00D679C6"/>
    <w:rsid w:val="00D7217B"/>
    <w:rsid w:val="00D730E3"/>
    <w:rsid w:val="00D753D8"/>
    <w:rsid w:val="00D83AF1"/>
    <w:rsid w:val="00D853A9"/>
    <w:rsid w:val="00D9274F"/>
    <w:rsid w:val="00D96248"/>
    <w:rsid w:val="00D96CC5"/>
    <w:rsid w:val="00D978C6"/>
    <w:rsid w:val="00D97B77"/>
    <w:rsid w:val="00DA0A3A"/>
    <w:rsid w:val="00DA1EB9"/>
    <w:rsid w:val="00DA6620"/>
    <w:rsid w:val="00DA67AD"/>
    <w:rsid w:val="00DA7F19"/>
    <w:rsid w:val="00DB0645"/>
    <w:rsid w:val="00DB108D"/>
    <w:rsid w:val="00DB1C61"/>
    <w:rsid w:val="00DB604E"/>
    <w:rsid w:val="00DB72BC"/>
    <w:rsid w:val="00DC487B"/>
    <w:rsid w:val="00DC5BF4"/>
    <w:rsid w:val="00DC5EF6"/>
    <w:rsid w:val="00DD42A0"/>
    <w:rsid w:val="00DD5DA2"/>
    <w:rsid w:val="00DD63AE"/>
    <w:rsid w:val="00DE11A6"/>
    <w:rsid w:val="00DE236F"/>
    <w:rsid w:val="00DE3ECB"/>
    <w:rsid w:val="00DE4785"/>
    <w:rsid w:val="00DE7267"/>
    <w:rsid w:val="00DF0A4D"/>
    <w:rsid w:val="00DF1EE9"/>
    <w:rsid w:val="00DF3039"/>
    <w:rsid w:val="00DF3A04"/>
    <w:rsid w:val="00DF4518"/>
    <w:rsid w:val="00DF6055"/>
    <w:rsid w:val="00E03DE5"/>
    <w:rsid w:val="00E04C0F"/>
    <w:rsid w:val="00E07C46"/>
    <w:rsid w:val="00E07D9D"/>
    <w:rsid w:val="00E10201"/>
    <w:rsid w:val="00E10F84"/>
    <w:rsid w:val="00E11659"/>
    <w:rsid w:val="00E12018"/>
    <w:rsid w:val="00E130AB"/>
    <w:rsid w:val="00E1679E"/>
    <w:rsid w:val="00E21C1B"/>
    <w:rsid w:val="00E239A0"/>
    <w:rsid w:val="00E26269"/>
    <w:rsid w:val="00E269BB"/>
    <w:rsid w:val="00E27E7C"/>
    <w:rsid w:val="00E308AF"/>
    <w:rsid w:val="00E34E58"/>
    <w:rsid w:val="00E36838"/>
    <w:rsid w:val="00E36C10"/>
    <w:rsid w:val="00E36EC1"/>
    <w:rsid w:val="00E40B76"/>
    <w:rsid w:val="00E412EA"/>
    <w:rsid w:val="00E4138E"/>
    <w:rsid w:val="00E42461"/>
    <w:rsid w:val="00E4443D"/>
    <w:rsid w:val="00E52EB0"/>
    <w:rsid w:val="00E53477"/>
    <w:rsid w:val="00E54352"/>
    <w:rsid w:val="00E54410"/>
    <w:rsid w:val="00E54645"/>
    <w:rsid w:val="00E54BD4"/>
    <w:rsid w:val="00E555F5"/>
    <w:rsid w:val="00E5644E"/>
    <w:rsid w:val="00E5691C"/>
    <w:rsid w:val="00E62068"/>
    <w:rsid w:val="00E631BA"/>
    <w:rsid w:val="00E63DE8"/>
    <w:rsid w:val="00E659B3"/>
    <w:rsid w:val="00E65A76"/>
    <w:rsid w:val="00E6613A"/>
    <w:rsid w:val="00E66E4F"/>
    <w:rsid w:val="00E7260F"/>
    <w:rsid w:val="00E730D8"/>
    <w:rsid w:val="00E74EC4"/>
    <w:rsid w:val="00E81230"/>
    <w:rsid w:val="00E851D2"/>
    <w:rsid w:val="00E8535A"/>
    <w:rsid w:val="00E864BE"/>
    <w:rsid w:val="00E87CAD"/>
    <w:rsid w:val="00E90424"/>
    <w:rsid w:val="00E90647"/>
    <w:rsid w:val="00E9352B"/>
    <w:rsid w:val="00E95438"/>
    <w:rsid w:val="00E96630"/>
    <w:rsid w:val="00E9731A"/>
    <w:rsid w:val="00EA0364"/>
    <w:rsid w:val="00EA064B"/>
    <w:rsid w:val="00EA2938"/>
    <w:rsid w:val="00EA48C4"/>
    <w:rsid w:val="00EA587E"/>
    <w:rsid w:val="00EA72F6"/>
    <w:rsid w:val="00EA772F"/>
    <w:rsid w:val="00EB08BA"/>
    <w:rsid w:val="00EB0CF2"/>
    <w:rsid w:val="00EB224B"/>
    <w:rsid w:val="00EB2AE3"/>
    <w:rsid w:val="00EB4C06"/>
    <w:rsid w:val="00EB51D5"/>
    <w:rsid w:val="00EB65EF"/>
    <w:rsid w:val="00EB6832"/>
    <w:rsid w:val="00EB71BA"/>
    <w:rsid w:val="00EB798F"/>
    <w:rsid w:val="00EC14E9"/>
    <w:rsid w:val="00EC271A"/>
    <w:rsid w:val="00EC2937"/>
    <w:rsid w:val="00EC4AA3"/>
    <w:rsid w:val="00EC755A"/>
    <w:rsid w:val="00ED066A"/>
    <w:rsid w:val="00ED0C83"/>
    <w:rsid w:val="00ED0F6B"/>
    <w:rsid w:val="00ED15C1"/>
    <w:rsid w:val="00ED1F13"/>
    <w:rsid w:val="00ED34CE"/>
    <w:rsid w:val="00ED3508"/>
    <w:rsid w:val="00ED3A92"/>
    <w:rsid w:val="00ED3F6F"/>
    <w:rsid w:val="00ED6586"/>
    <w:rsid w:val="00ED773C"/>
    <w:rsid w:val="00ED7A2A"/>
    <w:rsid w:val="00EE15B0"/>
    <w:rsid w:val="00EE4D59"/>
    <w:rsid w:val="00EE5FBF"/>
    <w:rsid w:val="00EE73C3"/>
    <w:rsid w:val="00EE73F9"/>
    <w:rsid w:val="00EF1407"/>
    <w:rsid w:val="00EF1D7F"/>
    <w:rsid w:val="00EF4AAC"/>
    <w:rsid w:val="00EF6478"/>
    <w:rsid w:val="00EF71D8"/>
    <w:rsid w:val="00F017EF"/>
    <w:rsid w:val="00F01C57"/>
    <w:rsid w:val="00F03FA2"/>
    <w:rsid w:val="00F0400D"/>
    <w:rsid w:val="00F05283"/>
    <w:rsid w:val="00F07537"/>
    <w:rsid w:val="00F07619"/>
    <w:rsid w:val="00F07E12"/>
    <w:rsid w:val="00F1200D"/>
    <w:rsid w:val="00F12FE4"/>
    <w:rsid w:val="00F157D8"/>
    <w:rsid w:val="00F22B03"/>
    <w:rsid w:val="00F30469"/>
    <w:rsid w:val="00F30A8A"/>
    <w:rsid w:val="00F319C7"/>
    <w:rsid w:val="00F34267"/>
    <w:rsid w:val="00F34282"/>
    <w:rsid w:val="00F3574D"/>
    <w:rsid w:val="00F40295"/>
    <w:rsid w:val="00F40E75"/>
    <w:rsid w:val="00F412D3"/>
    <w:rsid w:val="00F4268E"/>
    <w:rsid w:val="00F444E3"/>
    <w:rsid w:val="00F4509A"/>
    <w:rsid w:val="00F5087E"/>
    <w:rsid w:val="00F51BAB"/>
    <w:rsid w:val="00F535BE"/>
    <w:rsid w:val="00F545B1"/>
    <w:rsid w:val="00F54674"/>
    <w:rsid w:val="00F54BAB"/>
    <w:rsid w:val="00F554A1"/>
    <w:rsid w:val="00F5723F"/>
    <w:rsid w:val="00F64C95"/>
    <w:rsid w:val="00F669F0"/>
    <w:rsid w:val="00F707B7"/>
    <w:rsid w:val="00F73D28"/>
    <w:rsid w:val="00F7542B"/>
    <w:rsid w:val="00F75E96"/>
    <w:rsid w:val="00F82AD7"/>
    <w:rsid w:val="00FA00A0"/>
    <w:rsid w:val="00FA211A"/>
    <w:rsid w:val="00FA3FB7"/>
    <w:rsid w:val="00FA7EDD"/>
    <w:rsid w:val="00FB0359"/>
    <w:rsid w:val="00FB172A"/>
    <w:rsid w:val="00FB5A37"/>
    <w:rsid w:val="00FB7793"/>
    <w:rsid w:val="00FC18AA"/>
    <w:rsid w:val="00FC215C"/>
    <w:rsid w:val="00FC3D3C"/>
    <w:rsid w:val="00FC68B7"/>
    <w:rsid w:val="00FC7A90"/>
    <w:rsid w:val="00FD0F6C"/>
    <w:rsid w:val="00FD1698"/>
    <w:rsid w:val="00FD3C5D"/>
    <w:rsid w:val="00FD3E70"/>
    <w:rsid w:val="00FD5349"/>
    <w:rsid w:val="00FD6B2B"/>
    <w:rsid w:val="00FE3552"/>
    <w:rsid w:val="00FE3EEA"/>
    <w:rsid w:val="00FE54C1"/>
    <w:rsid w:val="00FE681E"/>
    <w:rsid w:val="00FF03BB"/>
    <w:rsid w:val="00FF071A"/>
    <w:rsid w:val="00FF3E35"/>
    <w:rsid w:val="00FF51FB"/>
    <w:rsid w:val="00FF6241"/>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F66B04"/>
  <w15:docId w15:val="{EE42D38A-3D78-49B4-A772-4D72FC96C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F66F3"/>
    <w:pPr>
      <w:suppressAutoHyphens/>
      <w:spacing w:line="240" w:lineRule="atLeast"/>
    </w:pPr>
    <w:rPr>
      <w:lang w:val="en-GB"/>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uiPriority w:val="99"/>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uiPriority w:val="99"/>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uiPriority w:val="99"/>
    <w:qFormat/>
    <w:locked/>
    <w:rsid w:val="00E34E58"/>
    <w:rPr>
      <w:lang w:eastAsia="en-US"/>
    </w:rPr>
  </w:style>
  <w:style w:type="character" w:customStyle="1" w:styleId="FootnoteTextChar">
    <w:name w:val="Footnote Text Char"/>
    <w:aliases w:val="5_G Char"/>
    <w:link w:val="FootnoteText"/>
    <w:uiPriority w:val="99"/>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BodyText"/>
    <w:link w:val="ManualBodyTextChar"/>
    <w:rsid w:val="00CE7626"/>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CE7626"/>
    <w:pPr>
      <w:keepNext/>
      <w:keepLines/>
      <w:tabs>
        <w:tab w:val="clear" w:pos="1418"/>
      </w:tabs>
      <w:jc w:val="center"/>
    </w:pPr>
    <w:rPr>
      <w:b/>
      <w:sz w:val="26"/>
      <w:szCs w:val="26"/>
    </w:rPr>
  </w:style>
  <w:style w:type="paragraph" w:customStyle="1" w:styleId="ManualHeading2">
    <w:name w:val="Manual Heading 2"/>
    <w:basedOn w:val="ManualBodyText"/>
    <w:next w:val="ManualBodyText"/>
    <w:rsid w:val="00CE7626"/>
    <w:pPr>
      <w:keepNext/>
      <w:keepLines/>
    </w:pPr>
    <w:rPr>
      <w:b/>
    </w:rPr>
  </w:style>
  <w:style w:type="paragraph" w:customStyle="1" w:styleId="ManualHeading3">
    <w:name w:val="Manual Heading 3"/>
    <w:basedOn w:val="ManualBodyText"/>
    <w:next w:val="ManualBodyText"/>
    <w:rsid w:val="00CE7626"/>
    <w:pPr>
      <w:keepNext/>
      <w:keepLines/>
    </w:pPr>
    <w:rPr>
      <w:b/>
    </w:rPr>
  </w:style>
  <w:style w:type="paragraph" w:customStyle="1" w:styleId="ManualHeading4">
    <w:name w:val="Manual Heading 4"/>
    <w:basedOn w:val="ManualBodyText"/>
    <w:next w:val="ManualBodyText"/>
    <w:rsid w:val="00CE7626"/>
    <w:pPr>
      <w:keepNext/>
      <w:keepLines/>
    </w:pPr>
  </w:style>
  <w:style w:type="paragraph" w:customStyle="1" w:styleId="ManualHeading5">
    <w:name w:val="Manual Heading 5"/>
    <w:basedOn w:val="ManualBodyText"/>
    <w:next w:val="ManualBodyText"/>
    <w:rsid w:val="00CE7626"/>
    <w:pPr>
      <w:keepNext/>
      <w:keepLines/>
    </w:pPr>
  </w:style>
  <w:style w:type="paragraph" w:customStyle="1" w:styleId="ManualHeading6">
    <w:name w:val="Manual Heading 6"/>
    <w:basedOn w:val="ManualBodyText"/>
    <w:next w:val="ManualBodyText"/>
    <w:rsid w:val="00CE7626"/>
    <w:pPr>
      <w:keepNext/>
      <w:keepLines/>
    </w:pPr>
  </w:style>
  <w:style w:type="paragraph" w:customStyle="1" w:styleId="ManualPartEN">
    <w:name w:val="Manual Part EN"/>
    <w:basedOn w:val="ManualHeading1"/>
    <w:next w:val="ManualHeading1"/>
    <w:rsid w:val="00CE7626"/>
    <w:rPr>
      <w:bCs/>
      <w:sz w:val="56"/>
      <w:szCs w:val="44"/>
    </w:rPr>
  </w:style>
  <w:style w:type="character" w:customStyle="1" w:styleId="HTMLPreformattedChar">
    <w:name w:val="HTML Preformatted Char"/>
    <w:link w:val="HTMLPreformatted"/>
    <w:uiPriority w:val="99"/>
    <w:rsid w:val="00CE7626"/>
    <w:rPr>
      <w:rFonts w:ascii="Courier New" w:hAnsi="Courier New" w:cs="Courier New"/>
      <w:lang w:eastAsia="en-US"/>
    </w:rPr>
  </w:style>
  <w:style w:type="character" w:customStyle="1" w:styleId="FooterChar">
    <w:name w:val="Footer Char"/>
    <w:aliases w:val="3_G Char"/>
    <w:link w:val="Footer"/>
    <w:uiPriority w:val="99"/>
    <w:rsid w:val="00CE7626"/>
    <w:rPr>
      <w:sz w:val="16"/>
      <w:lang w:eastAsia="en-US"/>
    </w:rPr>
  </w:style>
  <w:style w:type="character" w:customStyle="1" w:styleId="BodyTextIndentChar">
    <w:name w:val="Body Text Indent Char"/>
    <w:link w:val="BodyTextIndent"/>
    <w:semiHidden/>
    <w:rsid w:val="00CE7626"/>
    <w:rPr>
      <w:lang w:eastAsia="en-US"/>
    </w:rPr>
  </w:style>
  <w:style w:type="character" w:customStyle="1" w:styleId="BodyTextIndent2Char">
    <w:name w:val="Body Text Indent 2 Char"/>
    <w:link w:val="BodyTextIndent2"/>
    <w:semiHidden/>
    <w:rsid w:val="00CE7626"/>
    <w:rPr>
      <w:lang w:eastAsia="en-US"/>
    </w:rPr>
  </w:style>
  <w:style w:type="character" w:customStyle="1" w:styleId="BodyTextChar">
    <w:name w:val="Body Text Char"/>
    <w:link w:val="BodyText"/>
    <w:semiHidden/>
    <w:rsid w:val="00CE7626"/>
    <w:rPr>
      <w:lang w:eastAsia="en-US"/>
    </w:rPr>
  </w:style>
  <w:style w:type="character" w:customStyle="1" w:styleId="HeaderChar">
    <w:name w:val="Header Char"/>
    <w:aliases w:val="6_G Char"/>
    <w:link w:val="Header"/>
    <w:uiPriority w:val="99"/>
    <w:rsid w:val="00CE7626"/>
    <w:rPr>
      <w:b/>
      <w:sz w:val="18"/>
      <w:lang w:eastAsia="en-US"/>
    </w:rPr>
  </w:style>
  <w:style w:type="character" w:customStyle="1" w:styleId="BodyTextIndent3Char">
    <w:name w:val="Body Text Indent 3 Char"/>
    <w:link w:val="BodyTextIndent3"/>
    <w:semiHidden/>
    <w:rsid w:val="00CE7626"/>
    <w:rPr>
      <w:sz w:val="16"/>
      <w:szCs w:val="16"/>
      <w:lang w:eastAsia="en-US"/>
    </w:rPr>
  </w:style>
  <w:style w:type="character" w:customStyle="1" w:styleId="TitleChar">
    <w:name w:val="Title Char"/>
    <w:link w:val="Title"/>
    <w:rsid w:val="00CE7626"/>
    <w:rPr>
      <w:rFonts w:ascii="Arial" w:hAnsi="Arial" w:cs="Arial"/>
      <w:b/>
      <w:bCs/>
      <w:kern w:val="28"/>
      <w:sz w:val="32"/>
      <w:szCs w:val="32"/>
      <w:lang w:eastAsia="en-US"/>
    </w:rPr>
  </w:style>
  <w:style w:type="character" w:customStyle="1" w:styleId="Heading5Char">
    <w:name w:val="Heading 5 Char"/>
    <w:link w:val="Heading5"/>
    <w:rsid w:val="00CE7626"/>
    <w:rPr>
      <w:lang w:eastAsia="en-US"/>
    </w:rPr>
  </w:style>
  <w:style w:type="character" w:customStyle="1" w:styleId="EndnoteTextChar">
    <w:name w:val="Endnote Text Char"/>
    <w:aliases w:val="2_G Char"/>
    <w:link w:val="EndnoteText"/>
    <w:rsid w:val="00CE7626"/>
    <w:rPr>
      <w:sz w:val="18"/>
      <w:lang w:val="x-none" w:eastAsia="en-US"/>
    </w:rPr>
  </w:style>
  <w:style w:type="paragraph" w:customStyle="1" w:styleId="a">
    <w:name w:val="–"/>
    <w:semiHidden/>
    <w:rsid w:val="00CE7626"/>
    <w:pPr>
      <w:autoSpaceDE w:val="0"/>
      <w:autoSpaceDN w:val="0"/>
      <w:adjustRightInd w:val="0"/>
      <w:jc w:val="both"/>
    </w:pPr>
    <w:rPr>
      <w:rFonts w:ascii="Arial" w:hAnsi="Arial"/>
      <w:sz w:val="24"/>
      <w:szCs w:val="24"/>
    </w:rPr>
  </w:style>
  <w:style w:type="paragraph" w:customStyle="1" w:styleId="font5">
    <w:name w:val="font5"/>
    <w:basedOn w:val="Normal"/>
    <w:semiHidden/>
    <w:rsid w:val="00CE7626"/>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CE7626"/>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CE7626"/>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CE7626"/>
    <w:rPr>
      <w:lang w:eastAsia="en-US"/>
    </w:rPr>
  </w:style>
  <w:style w:type="character" w:customStyle="1" w:styleId="ManualBodyTextChar">
    <w:name w:val="Manual Body Text Char"/>
    <w:link w:val="ManualBodyText"/>
    <w:rsid w:val="00CE7626"/>
    <w:rPr>
      <w:sz w:val="22"/>
      <w:szCs w:val="22"/>
      <w:lang w:eastAsia="fr-FR"/>
    </w:rPr>
  </w:style>
  <w:style w:type="character" w:styleId="PlaceholderText">
    <w:name w:val="Placeholder Text"/>
    <w:uiPriority w:val="99"/>
    <w:semiHidden/>
    <w:rsid w:val="00CE7626"/>
    <w:rPr>
      <w:color w:val="808080"/>
    </w:rPr>
  </w:style>
  <w:style w:type="paragraph" w:customStyle="1" w:styleId="p1">
    <w:name w:val="p1"/>
    <w:basedOn w:val="Normal"/>
    <w:rsid w:val="00BB183E"/>
    <w:pPr>
      <w:suppressAutoHyphens w:val="0"/>
      <w:spacing w:line="240" w:lineRule="auto"/>
    </w:pPr>
    <w:rPr>
      <w:sz w:val="15"/>
      <w:szCs w:val="15"/>
      <w:lang w:val="en-US"/>
    </w:rPr>
  </w:style>
  <w:style w:type="character" w:customStyle="1" w:styleId="s1">
    <w:name w:val="s1"/>
    <w:basedOn w:val="DefaultParagraphFont"/>
    <w:rsid w:val="00BB183E"/>
    <w:rPr>
      <w:rFonts w:ascii="Times New Roman" w:hAnsi="Times New Roman" w:cs="Times New Roman" w:hint="default"/>
      <w:sz w:val="9"/>
      <w:szCs w:val="9"/>
    </w:rPr>
  </w:style>
  <w:style w:type="character" w:customStyle="1" w:styleId="apple-converted-space">
    <w:name w:val="apple-converted-space"/>
    <w:basedOn w:val="DefaultParagraphFont"/>
    <w:rsid w:val="00BB183E"/>
  </w:style>
  <w:style w:type="paragraph" w:styleId="Revision">
    <w:name w:val="Revision"/>
    <w:hidden/>
    <w:uiPriority w:val="99"/>
    <w:semiHidden/>
    <w:rsid w:val="008C1A0E"/>
    <w:rPr>
      <w:lang w:val="en-GB"/>
    </w:rPr>
  </w:style>
  <w:style w:type="character" w:customStyle="1" w:styleId="xapple-tab-span">
    <w:name w:val="xapple-tab-span"/>
    <w:basedOn w:val="DefaultParagraphFont"/>
    <w:rsid w:val="007C3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69650">
      <w:bodyDiv w:val="1"/>
      <w:marLeft w:val="0"/>
      <w:marRight w:val="0"/>
      <w:marTop w:val="0"/>
      <w:marBottom w:val="0"/>
      <w:divBdr>
        <w:top w:val="none" w:sz="0" w:space="0" w:color="auto"/>
        <w:left w:val="none" w:sz="0" w:space="0" w:color="auto"/>
        <w:bottom w:val="none" w:sz="0" w:space="0" w:color="auto"/>
        <w:right w:val="none" w:sz="0" w:space="0" w:color="auto"/>
      </w:divBdr>
    </w:div>
    <w:div w:id="97606648">
      <w:bodyDiv w:val="1"/>
      <w:marLeft w:val="0"/>
      <w:marRight w:val="0"/>
      <w:marTop w:val="0"/>
      <w:marBottom w:val="0"/>
      <w:divBdr>
        <w:top w:val="none" w:sz="0" w:space="0" w:color="auto"/>
        <w:left w:val="none" w:sz="0" w:space="0" w:color="auto"/>
        <w:bottom w:val="none" w:sz="0" w:space="0" w:color="auto"/>
        <w:right w:val="none" w:sz="0" w:space="0" w:color="auto"/>
      </w:divBdr>
    </w:div>
    <w:div w:id="119540262">
      <w:bodyDiv w:val="1"/>
      <w:marLeft w:val="0"/>
      <w:marRight w:val="0"/>
      <w:marTop w:val="0"/>
      <w:marBottom w:val="0"/>
      <w:divBdr>
        <w:top w:val="none" w:sz="0" w:space="0" w:color="auto"/>
        <w:left w:val="none" w:sz="0" w:space="0" w:color="auto"/>
        <w:bottom w:val="none" w:sz="0" w:space="0" w:color="auto"/>
        <w:right w:val="none" w:sz="0" w:space="0" w:color="auto"/>
      </w:divBdr>
    </w:div>
    <w:div w:id="124659690">
      <w:bodyDiv w:val="1"/>
      <w:marLeft w:val="0"/>
      <w:marRight w:val="0"/>
      <w:marTop w:val="0"/>
      <w:marBottom w:val="0"/>
      <w:divBdr>
        <w:top w:val="none" w:sz="0" w:space="0" w:color="auto"/>
        <w:left w:val="none" w:sz="0" w:space="0" w:color="auto"/>
        <w:bottom w:val="none" w:sz="0" w:space="0" w:color="auto"/>
        <w:right w:val="none" w:sz="0" w:space="0" w:color="auto"/>
      </w:divBdr>
    </w:div>
    <w:div w:id="204147640">
      <w:bodyDiv w:val="1"/>
      <w:marLeft w:val="0"/>
      <w:marRight w:val="0"/>
      <w:marTop w:val="0"/>
      <w:marBottom w:val="0"/>
      <w:divBdr>
        <w:top w:val="none" w:sz="0" w:space="0" w:color="auto"/>
        <w:left w:val="none" w:sz="0" w:space="0" w:color="auto"/>
        <w:bottom w:val="none" w:sz="0" w:space="0" w:color="auto"/>
        <w:right w:val="none" w:sz="0" w:space="0" w:color="auto"/>
      </w:divBdr>
    </w:div>
    <w:div w:id="285043823">
      <w:bodyDiv w:val="1"/>
      <w:marLeft w:val="0"/>
      <w:marRight w:val="0"/>
      <w:marTop w:val="0"/>
      <w:marBottom w:val="0"/>
      <w:divBdr>
        <w:top w:val="none" w:sz="0" w:space="0" w:color="auto"/>
        <w:left w:val="none" w:sz="0" w:space="0" w:color="auto"/>
        <w:bottom w:val="none" w:sz="0" w:space="0" w:color="auto"/>
        <w:right w:val="none" w:sz="0" w:space="0" w:color="auto"/>
      </w:divBdr>
    </w:div>
    <w:div w:id="296450101">
      <w:bodyDiv w:val="1"/>
      <w:marLeft w:val="0"/>
      <w:marRight w:val="0"/>
      <w:marTop w:val="0"/>
      <w:marBottom w:val="0"/>
      <w:divBdr>
        <w:top w:val="none" w:sz="0" w:space="0" w:color="auto"/>
        <w:left w:val="none" w:sz="0" w:space="0" w:color="auto"/>
        <w:bottom w:val="none" w:sz="0" w:space="0" w:color="auto"/>
        <w:right w:val="none" w:sz="0" w:space="0" w:color="auto"/>
      </w:divBdr>
    </w:div>
    <w:div w:id="331492111">
      <w:bodyDiv w:val="1"/>
      <w:marLeft w:val="0"/>
      <w:marRight w:val="0"/>
      <w:marTop w:val="0"/>
      <w:marBottom w:val="0"/>
      <w:divBdr>
        <w:top w:val="none" w:sz="0" w:space="0" w:color="auto"/>
        <w:left w:val="none" w:sz="0" w:space="0" w:color="auto"/>
        <w:bottom w:val="none" w:sz="0" w:space="0" w:color="auto"/>
        <w:right w:val="none" w:sz="0" w:space="0" w:color="auto"/>
      </w:divBdr>
    </w:div>
    <w:div w:id="376783722">
      <w:bodyDiv w:val="1"/>
      <w:marLeft w:val="0"/>
      <w:marRight w:val="0"/>
      <w:marTop w:val="0"/>
      <w:marBottom w:val="0"/>
      <w:divBdr>
        <w:top w:val="none" w:sz="0" w:space="0" w:color="auto"/>
        <w:left w:val="none" w:sz="0" w:space="0" w:color="auto"/>
        <w:bottom w:val="none" w:sz="0" w:space="0" w:color="auto"/>
        <w:right w:val="none" w:sz="0" w:space="0" w:color="auto"/>
      </w:divBdr>
    </w:div>
    <w:div w:id="544678366">
      <w:bodyDiv w:val="1"/>
      <w:marLeft w:val="0"/>
      <w:marRight w:val="0"/>
      <w:marTop w:val="0"/>
      <w:marBottom w:val="0"/>
      <w:divBdr>
        <w:top w:val="none" w:sz="0" w:space="0" w:color="auto"/>
        <w:left w:val="none" w:sz="0" w:space="0" w:color="auto"/>
        <w:bottom w:val="none" w:sz="0" w:space="0" w:color="auto"/>
        <w:right w:val="none" w:sz="0" w:space="0" w:color="auto"/>
      </w:divBdr>
    </w:div>
    <w:div w:id="659315019">
      <w:bodyDiv w:val="1"/>
      <w:marLeft w:val="0"/>
      <w:marRight w:val="0"/>
      <w:marTop w:val="0"/>
      <w:marBottom w:val="0"/>
      <w:divBdr>
        <w:top w:val="none" w:sz="0" w:space="0" w:color="auto"/>
        <w:left w:val="none" w:sz="0" w:space="0" w:color="auto"/>
        <w:bottom w:val="none" w:sz="0" w:space="0" w:color="auto"/>
        <w:right w:val="none" w:sz="0" w:space="0" w:color="auto"/>
      </w:divBdr>
    </w:div>
    <w:div w:id="684787884">
      <w:bodyDiv w:val="1"/>
      <w:marLeft w:val="0"/>
      <w:marRight w:val="0"/>
      <w:marTop w:val="0"/>
      <w:marBottom w:val="0"/>
      <w:divBdr>
        <w:top w:val="none" w:sz="0" w:space="0" w:color="auto"/>
        <w:left w:val="none" w:sz="0" w:space="0" w:color="auto"/>
        <w:bottom w:val="none" w:sz="0" w:space="0" w:color="auto"/>
        <w:right w:val="none" w:sz="0" w:space="0" w:color="auto"/>
      </w:divBdr>
    </w:div>
    <w:div w:id="698436777">
      <w:bodyDiv w:val="1"/>
      <w:marLeft w:val="0"/>
      <w:marRight w:val="0"/>
      <w:marTop w:val="0"/>
      <w:marBottom w:val="0"/>
      <w:divBdr>
        <w:top w:val="none" w:sz="0" w:space="0" w:color="auto"/>
        <w:left w:val="none" w:sz="0" w:space="0" w:color="auto"/>
        <w:bottom w:val="none" w:sz="0" w:space="0" w:color="auto"/>
        <w:right w:val="none" w:sz="0" w:space="0" w:color="auto"/>
      </w:divBdr>
    </w:div>
    <w:div w:id="719522225">
      <w:bodyDiv w:val="1"/>
      <w:marLeft w:val="0"/>
      <w:marRight w:val="0"/>
      <w:marTop w:val="0"/>
      <w:marBottom w:val="0"/>
      <w:divBdr>
        <w:top w:val="none" w:sz="0" w:space="0" w:color="auto"/>
        <w:left w:val="none" w:sz="0" w:space="0" w:color="auto"/>
        <w:bottom w:val="none" w:sz="0" w:space="0" w:color="auto"/>
        <w:right w:val="none" w:sz="0" w:space="0" w:color="auto"/>
      </w:divBdr>
    </w:div>
    <w:div w:id="736904757">
      <w:bodyDiv w:val="1"/>
      <w:marLeft w:val="0"/>
      <w:marRight w:val="0"/>
      <w:marTop w:val="0"/>
      <w:marBottom w:val="0"/>
      <w:divBdr>
        <w:top w:val="none" w:sz="0" w:space="0" w:color="auto"/>
        <w:left w:val="none" w:sz="0" w:space="0" w:color="auto"/>
        <w:bottom w:val="none" w:sz="0" w:space="0" w:color="auto"/>
        <w:right w:val="none" w:sz="0" w:space="0" w:color="auto"/>
      </w:divBdr>
      <w:divsChild>
        <w:div w:id="1222206940">
          <w:marLeft w:val="0"/>
          <w:marRight w:val="0"/>
          <w:marTop w:val="0"/>
          <w:marBottom w:val="0"/>
          <w:divBdr>
            <w:top w:val="none" w:sz="0" w:space="0" w:color="auto"/>
            <w:left w:val="none" w:sz="0" w:space="0" w:color="auto"/>
            <w:bottom w:val="none" w:sz="0" w:space="0" w:color="auto"/>
            <w:right w:val="none" w:sz="0" w:space="0" w:color="auto"/>
          </w:divBdr>
        </w:div>
        <w:div w:id="1345784708">
          <w:marLeft w:val="0"/>
          <w:marRight w:val="0"/>
          <w:marTop w:val="0"/>
          <w:marBottom w:val="0"/>
          <w:divBdr>
            <w:top w:val="none" w:sz="0" w:space="0" w:color="auto"/>
            <w:left w:val="none" w:sz="0" w:space="0" w:color="auto"/>
            <w:bottom w:val="none" w:sz="0" w:space="0" w:color="auto"/>
            <w:right w:val="none" w:sz="0" w:space="0" w:color="auto"/>
          </w:divBdr>
        </w:div>
        <w:div w:id="1671253006">
          <w:marLeft w:val="0"/>
          <w:marRight w:val="0"/>
          <w:marTop w:val="0"/>
          <w:marBottom w:val="0"/>
          <w:divBdr>
            <w:top w:val="none" w:sz="0" w:space="0" w:color="auto"/>
            <w:left w:val="none" w:sz="0" w:space="0" w:color="auto"/>
            <w:bottom w:val="none" w:sz="0" w:space="0" w:color="auto"/>
            <w:right w:val="none" w:sz="0" w:space="0" w:color="auto"/>
          </w:divBdr>
        </w:div>
        <w:div w:id="1479375662">
          <w:marLeft w:val="0"/>
          <w:marRight w:val="0"/>
          <w:marTop w:val="0"/>
          <w:marBottom w:val="0"/>
          <w:divBdr>
            <w:top w:val="none" w:sz="0" w:space="0" w:color="auto"/>
            <w:left w:val="none" w:sz="0" w:space="0" w:color="auto"/>
            <w:bottom w:val="none" w:sz="0" w:space="0" w:color="auto"/>
            <w:right w:val="none" w:sz="0" w:space="0" w:color="auto"/>
          </w:divBdr>
        </w:div>
        <w:div w:id="1032074588">
          <w:marLeft w:val="0"/>
          <w:marRight w:val="0"/>
          <w:marTop w:val="0"/>
          <w:marBottom w:val="0"/>
          <w:divBdr>
            <w:top w:val="none" w:sz="0" w:space="0" w:color="auto"/>
            <w:left w:val="none" w:sz="0" w:space="0" w:color="auto"/>
            <w:bottom w:val="none" w:sz="0" w:space="0" w:color="auto"/>
            <w:right w:val="none" w:sz="0" w:space="0" w:color="auto"/>
          </w:divBdr>
        </w:div>
      </w:divsChild>
    </w:div>
    <w:div w:id="1005403268">
      <w:bodyDiv w:val="1"/>
      <w:marLeft w:val="0"/>
      <w:marRight w:val="0"/>
      <w:marTop w:val="0"/>
      <w:marBottom w:val="0"/>
      <w:divBdr>
        <w:top w:val="none" w:sz="0" w:space="0" w:color="auto"/>
        <w:left w:val="none" w:sz="0" w:space="0" w:color="auto"/>
        <w:bottom w:val="none" w:sz="0" w:space="0" w:color="auto"/>
        <w:right w:val="none" w:sz="0" w:space="0" w:color="auto"/>
      </w:divBdr>
    </w:div>
    <w:div w:id="1164710557">
      <w:bodyDiv w:val="1"/>
      <w:marLeft w:val="0"/>
      <w:marRight w:val="0"/>
      <w:marTop w:val="0"/>
      <w:marBottom w:val="0"/>
      <w:divBdr>
        <w:top w:val="none" w:sz="0" w:space="0" w:color="auto"/>
        <w:left w:val="none" w:sz="0" w:space="0" w:color="auto"/>
        <w:bottom w:val="none" w:sz="0" w:space="0" w:color="auto"/>
        <w:right w:val="none" w:sz="0" w:space="0" w:color="auto"/>
      </w:divBdr>
    </w:div>
    <w:div w:id="1207719102">
      <w:bodyDiv w:val="1"/>
      <w:marLeft w:val="0"/>
      <w:marRight w:val="0"/>
      <w:marTop w:val="0"/>
      <w:marBottom w:val="0"/>
      <w:divBdr>
        <w:top w:val="none" w:sz="0" w:space="0" w:color="auto"/>
        <w:left w:val="none" w:sz="0" w:space="0" w:color="auto"/>
        <w:bottom w:val="none" w:sz="0" w:space="0" w:color="auto"/>
        <w:right w:val="none" w:sz="0" w:space="0" w:color="auto"/>
      </w:divBdr>
    </w:div>
    <w:div w:id="1414006323">
      <w:bodyDiv w:val="1"/>
      <w:marLeft w:val="0"/>
      <w:marRight w:val="0"/>
      <w:marTop w:val="0"/>
      <w:marBottom w:val="0"/>
      <w:divBdr>
        <w:top w:val="none" w:sz="0" w:space="0" w:color="auto"/>
        <w:left w:val="none" w:sz="0" w:space="0" w:color="auto"/>
        <w:bottom w:val="none" w:sz="0" w:space="0" w:color="auto"/>
        <w:right w:val="none" w:sz="0" w:space="0" w:color="auto"/>
      </w:divBdr>
    </w:div>
    <w:div w:id="1421488237">
      <w:bodyDiv w:val="1"/>
      <w:marLeft w:val="0"/>
      <w:marRight w:val="0"/>
      <w:marTop w:val="0"/>
      <w:marBottom w:val="0"/>
      <w:divBdr>
        <w:top w:val="none" w:sz="0" w:space="0" w:color="auto"/>
        <w:left w:val="none" w:sz="0" w:space="0" w:color="auto"/>
        <w:bottom w:val="none" w:sz="0" w:space="0" w:color="auto"/>
        <w:right w:val="none" w:sz="0" w:space="0" w:color="auto"/>
      </w:divBdr>
    </w:div>
    <w:div w:id="1425103111">
      <w:bodyDiv w:val="1"/>
      <w:marLeft w:val="0"/>
      <w:marRight w:val="0"/>
      <w:marTop w:val="0"/>
      <w:marBottom w:val="0"/>
      <w:divBdr>
        <w:top w:val="none" w:sz="0" w:space="0" w:color="auto"/>
        <w:left w:val="none" w:sz="0" w:space="0" w:color="auto"/>
        <w:bottom w:val="none" w:sz="0" w:space="0" w:color="auto"/>
        <w:right w:val="none" w:sz="0" w:space="0" w:color="auto"/>
      </w:divBdr>
    </w:div>
    <w:div w:id="1498418724">
      <w:bodyDiv w:val="1"/>
      <w:marLeft w:val="0"/>
      <w:marRight w:val="0"/>
      <w:marTop w:val="0"/>
      <w:marBottom w:val="0"/>
      <w:divBdr>
        <w:top w:val="none" w:sz="0" w:space="0" w:color="auto"/>
        <w:left w:val="none" w:sz="0" w:space="0" w:color="auto"/>
        <w:bottom w:val="none" w:sz="0" w:space="0" w:color="auto"/>
        <w:right w:val="none" w:sz="0" w:space="0" w:color="auto"/>
      </w:divBdr>
      <w:divsChild>
        <w:div w:id="896428198">
          <w:marLeft w:val="0"/>
          <w:marRight w:val="0"/>
          <w:marTop w:val="0"/>
          <w:marBottom w:val="0"/>
          <w:divBdr>
            <w:top w:val="none" w:sz="0" w:space="0" w:color="auto"/>
            <w:left w:val="none" w:sz="0" w:space="0" w:color="auto"/>
            <w:bottom w:val="none" w:sz="0" w:space="0" w:color="auto"/>
            <w:right w:val="none" w:sz="0" w:space="0" w:color="auto"/>
          </w:divBdr>
          <w:divsChild>
            <w:div w:id="1607694085">
              <w:marLeft w:val="0"/>
              <w:marRight w:val="0"/>
              <w:marTop w:val="0"/>
              <w:marBottom w:val="0"/>
              <w:divBdr>
                <w:top w:val="none" w:sz="0" w:space="0" w:color="auto"/>
                <w:left w:val="none" w:sz="0" w:space="0" w:color="auto"/>
                <w:bottom w:val="none" w:sz="0" w:space="0" w:color="auto"/>
                <w:right w:val="none" w:sz="0" w:space="0" w:color="auto"/>
              </w:divBdr>
              <w:divsChild>
                <w:div w:id="155905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651018">
      <w:bodyDiv w:val="1"/>
      <w:marLeft w:val="0"/>
      <w:marRight w:val="0"/>
      <w:marTop w:val="0"/>
      <w:marBottom w:val="0"/>
      <w:divBdr>
        <w:top w:val="none" w:sz="0" w:space="0" w:color="auto"/>
        <w:left w:val="none" w:sz="0" w:space="0" w:color="auto"/>
        <w:bottom w:val="none" w:sz="0" w:space="0" w:color="auto"/>
        <w:right w:val="none" w:sz="0" w:space="0" w:color="auto"/>
      </w:divBdr>
      <w:divsChild>
        <w:div w:id="157771414">
          <w:marLeft w:val="0"/>
          <w:marRight w:val="0"/>
          <w:marTop w:val="0"/>
          <w:marBottom w:val="0"/>
          <w:divBdr>
            <w:top w:val="none" w:sz="0" w:space="0" w:color="auto"/>
            <w:left w:val="none" w:sz="0" w:space="0" w:color="auto"/>
            <w:bottom w:val="none" w:sz="0" w:space="0" w:color="auto"/>
            <w:right w:val="none" w:sz="0" w:space="0" w:color="auto"/>
          </w:divBdr>
          <w:divsChild>
            <w:div w:id="368191181">
              <w:marLeft w:val="0"/>
              <w:marRight w:val="0"/>
              <w:marTop w:val="0"/>
              <w:marBottom w:val="0"/>
              <w:divBdr>
                <w:top w:val="none" w:sz="0" w:space="0" w:color="auto"/>
                <w:left w:val="none" w:sz="0" w:space="0" w:color="auto"/>
                <w:bottom w:val="none" w:sz="0" w:space="0" w:color="auto"/>
                <w:right w:val="none" w:sz="0" w:space="0" w:color="auto"/>
              </w:divBdr>
            </w:div>
          </w:divsChild>
        </w:div>
        <w:div w:id="1762986641">
          <w:marLeft w:val="0"/>
          <w:marRight w:val="0"/>
          <w:marTop w:val="0"/>
          <w:marBottom w:val="0"/>
          <w:divBdr>
            <w:top w:val="none" w:sz="0" w:space="0" w:color="auto"/>
            <w:left w:val="none" w:sz="0" w:space="0" w:color="auto"/>
            <w:bottom w:val="none" w:sz="0" w:space="0" w:color="auto"/>
            <w:right w:val="none" w:sz="0" w:space="0" w:color="auto"/>
          </w:divBdr>
          <w:divsChild>
            <w:div w:id="576284478">
              <w:marLeft w:val="0"/>
              <w:marRight w:val="0"/>
              <w:marTop w:val="0"/>
              <w:marBottom w:val="0"/>
              <w:divBdr>
                <w:top w:val="none" w:sz="0" w:space="0" w:color="auto"/>
                <w:left w:val="none" w:sz="0" w:space="0" w:color="auto"/>
                <w:bottom w:val="none" w:sz="0" w:space="0" w:color="auto"/>
                <w:right w:val="none" w:sz="0" w:space="0" w:color="auto"/>
              </w:divBdr>
            </w:div>
          </w:divsChild>
        </w:div>
        <w:div w:id="2113891076">
          <w:marLeft w:val="0"/>
          <w:marRight w:val="0"/>
          <w:marTop w:val="0"/>
          <w:marBottom w:val="0"/>
          <w:divBdr>
            <w:top w:val="none" w:sz="0" w:space="0" w:color="auto"/>
            <w:left w:val="none" w:sz="0" w:space="0" w:color="auto"/>
            <w:bottom w:val="none" w:sz="0" w:space="0" w:color="auto"/>
            <w:right w:val="none" w:sz="0" w:space="0" w:color="auto"/>
          </w:divBdr>
          <w:divsChild>
            <w:div w:id="1965960452">
              <w:marLeft w:val="0"/>
              <w:marRight w:val="0"/>
              <w:marTop w:val="0"/>
              <w:marBottom w:val="0"/>
              <w:divBdr>
                <w:top w:val="none" w:sz="0" w:space="0" w:color="auto"/>
                <w:left w:val="none" w:sz="0" w:space="0" w:color="auto"/>
                <w:bottom w:val="none" w:sz="0" w:space="0" w:color="auto"/>
                <w:right w:val="none" w:sz="0" w:space="0" w:color="auto"/>
              </w:divBdr>
            </w:div>
          </w:divsChild>
        </w:div>
        <w:div w:id="1383603835">
          <w:marLeft w:val="0"/>
          <w:marRight w:val="0"/>
          <w:marTop w:val="0"/>
          <w:marBottom w:val="0"/>
          <w:divBdr>
            <w:top w:val="none" w:sz="0" w:space="0" w:color="auto"/>
            <w:left w:val="none" w:sz="0" w:space="0" w:color="auto"/>
            <w:bottom w:val="none" w:sz="0" w:space="0" w:color="auto"/>
            <w:right w:val="none" w:sz="0" w:space="0" w:color="auto"/>
          </w:divBdr>
          <w:divsChild>
            <w:div w:id="256405931">
              <w:marLeft w:val="0"/>
              <w:marRight w:val="0"/>
              <w:marTop w:val="0"/>
              <w:marBottom w:val="0"/>
              <w:divBdr>
                <w:top w:val="none" w:sz="0" w:space="0" w:color="auto"/>
                <w:left w:val="none" w:sz="0" w:space="0" w:color="auto"/>
                <w:bottom w:val="none" w:sz="0" w:space="0" w:color="auto"/>
                <w:right w:val="none" w:sz="0" w:space="0" w:color="auto"/>
              </w:divBdr>
            </w:div>
          </w:divsChild>
        </w:div>
        <w:div w:id="1905214321">
          <w:marLeft w:val="0"/>
          <w:marRight w:val="0"/>
          <w:marTop w:val="0"/>
          <w:marBottom w:val="0"/>
          <w:divBdr>
            <w:top w:val="none" w:sz="0" w:space="0" w:color="auto"/>
            <w:left w:val="none" w:sz="0" w:space="0" w:color="auto"/>
            <w:bottom w:val="none" w:sz="0" w:space="0" w:color="auto"/>
            <w:right w:val="none" w:sz="0" w:space="0" w:color="auto"/>
          </w:divBdr>
          <w:divsChild>
            <w:div w:id="2024284545">
              <w:marLeft w:val="0"/>
              <w:marRight w:val="0"/>
              <w:marTop w:val="0"/>
              <w:marBottom w:val="0"/>
              <w:divBdr>
                <w:top w:val="none" w:sz="0" w:space="0" w:color="auto"/>
                <w:left w:val="none" w:sz="0" w:space="0" w:color="auto"/>
                <w:bottom w:val="none" w:sz="0" w:space="0" w:color="auto"/>
                <w:right w:val="none" w:sz="0" w:space="0" w:color="auto"/>
              </w:divBdr>
            </w:div>
          </w:divsChild>
        </w:div>
        <w:div w:id="1777168378">
          <w:marLeft w:val="0"/>
          <w:marRight w:val="0"/>
          <w:marTop w:val="0"/>
          <w:marBottom w:val="0"/>
          <w:divBdr>
            <w:top w:val="none" w:sz="0" w:space="0" w:color="auto"/>
            <w:left w:val="none" w:sz="0" w:space="0" w:color="auto"/>
            <w:bottom w:val="none" w:sz="0" w:space="0" w:color="auto"/>
            <w:right w:val="none" w:sz="0" w:space="0" w:color="auto"/>
          </w:divBdr>
          <w:divsChild>
            <w:div w:id="1378116441">
              <w:marLeft w:val="0"/>
              <w:marRight w:val="0"/>
              <w:marTop w:val="0"/>
              <w:marBottom w:val="0"/>
              <w:divBdr>
                <w:top w:val="none" w:sz="0" w:space="0" w:color="auto"/>
                <w:left w:val="none" w:sz="0" w:space="0" w:color="auto"/>
                <w:bottom w:val="none" w:sz="0" w:space="0" w:color="auto"/>
                <w:right w:val="none" w:sz="0" w:space="0" w:color="auto"/>
              </w:divBdr>
            </w:div>
          </w:divsChild>
        </w:div>
        <w:div w:id="704788492">
          <w:marLeft w:val="0"/>
          <w:marRight w:val="0"/>
          <w:marTop w:val="0"/>
          <w:marBottom w:val="0"/>
          <w:divBdr>
            <w:top w:val="none" w:sz="0" w:space="0" w:color="auto"/>
            <w:left w:val="none" w:sz="0" w:space="0" w:color="auto"/>
            <w:bottom w:val="none" w:sz="0" w:space="0" w:color="auto"/>
            <w:right w:val="none" w:sz="0" w:space="0" w:color="auto"/>
          </w:divBdr>
          <w:divsChild>
            <w:div w:id="2093115727">
              <w:marLeft w:val="0"/>
              <w:marRight w:val="0"/>
              <w:marTop w:val="0"/>
              <w:marBottom w:val="0"/>
              <w:divBdr>
                <w:top w:val="none" w:sz="0" w:space="0" w:color="auto"/>
                <w:left w:val="none" w:sz="0" w:space="0" w:color="auto"/>
                <w:bottom w:val="none" w:sz="0" w:space="0" w:color="auto"/>
                <w:right w:val="none" w:sz="0" w:space="0" w:color="auto"/>
              </w:divBdr>
            </w:div>
          </w:divsChild>
        </w:div>
        <w:div w:id="700202159">
          <w:marLeft w:val="0"/>
          <w:marRight w:val="0"/>
          <w:marTop w:val="0"/>
          <w:marBottom w:val="0"/>
          <w:divBdr>
            <w:top w:val="none" w:sz="0" w:space="0" w:color="auto"/>
            <w:left w:val="none" w:sz="0" w:space="0" w:color="auto"/>
            <w:bottom w:val="none" w:sz="0" w:space="0" w:color="auto"/>
            <w:right w:val="none" w:sz="0" w:space="0" w:color="auto"/>
          </w:divBdr>
          <w:divsChild>
            <w:div w:id="1265844576">
              <w:marLeft w:val="0"/>
              <w:marRight w:val="0"/>
              <w:marTop w:val="0"/>
              <w:marBottom w:val="0"/>
              <w:divBdr>
                <w:top w:val="none" w:sz="0" w:space="0" w:color="auto"/>
                <w:left w:val="none" w:sz="0" w:space="0" w:color="auto"/>
                <w:bottom w:val="none" w:sz="0" w:space="0" w:color="auto"/>
                <w:right w:val="none" w:sz="0" w:space="0" w:color="auto"/>
              </w:divBdr>
            </w:div>
          </w:divsChild>
        </w:div>
        <w:div w:id="67653693">
          <w:marLeft w:val="0"/>
          <w:marRight w:val="0"/>
          <w:marTop w:val="0"/>
          <w:marBottom w:val="0"/>
          <w:divBdr>
            <w:top w:val="none" w:sz="0" w:space="0" w:color="auto"/>
            <w:left w:val="none" w:sz="0" w:space="0" w:color="auto"/>
            <w:bottom w:val="none" w:sz="0" w:space="0" w:color="auto"/>
            <w:right w:val="none" w:sz="0" w:space="0" w:color="auto"/>
          </w:divBdr>
          <w:divsChild>
            <w:div w:id="30902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573231">
      <w:bodyDiv w:val="1"/>
      <w:marLeft w:val="0"/>
      <w:marRight w:val="0"/>
      <w:marTop w:val="0"/>
      <w:marBottom w:val="0"/>
      <w:divBdr>
        <w:top w:val="none" w:sz="0" w:space="0" w:color="auto"/>
        <w:left w:val="none" w:sz="0" w:space="0" w:color="auto"/>
        <w:bottom w:val="none" w:sz="0" w:space="0" w:color="auto"/>
        <w:right w:val="none" w:sz="0" w:space="0" w:color="auto"/>
      </w:divBdr>
    </w:div>
    <w:div w:id="1729255354">
      <w:bodyDiv w:val="1"/>
      <w:marLeft w:val="0"/>
      <w:marRight w:val="0"/>
      <w:marTop w:val="0"/>
      <w:marBottom w:val="0"/>
      <w:divBdr>
        <w:top w:val="none" w:sz="0" w:space="0" w:color="auto"/>
        <w:left w:val="none" w:sz="0" w:space="0" w:color="auto"/>
        <w:bottom w:val="none" w:sz="0" w:space="0" w:color="auto"/>
        <w:right w:val="none" w:sz="0" w:space="0" w:color="auto"/>
      </w:divBdr>
    </w:div>
    <w:div w:id="212326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4158E-2014-4FED-9C00-3556CA8FD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1</TotalTime>
  <Pages>3</Pages>
  <Words>1228</Words>
  <Characters>7002</Characters>
  <Application>Microsoft Office Word</Application>
  <DocSecurity>0</DocSecurity>
  <Lines>58</Lines>
  <Paragraphs>16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United Nations</vt:lpstr>
      <vt:lpstr>United Nations</vt:lpstr>
    </vt:vector>
  </TitlesOfParts>
  <Company>CSD</Company>
  <LinksUpToDate>false</LinksUpToDate>
  <CharactersWithSpaces>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rfoster</dc:creator>
  <cp:keywords/>
  <dc:description/>
  <cp:lastModifiedBy>Laurence Berthet</cp:lastModifiedBy>
  <cp:revision>2</cp:revision>
  <cp:lastPrinted>2020-07-03T09:35:00Z</cp:lastPrinted>
  <dcterms:created xsi:type="dcterms:W3CDTF">2020-07-03T09:36:00Z</dcterms:created>
  <dcterms:modified xsi:type="dcterms:W3CDTF">2020-07-03T09:36:00Z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