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4768CC" w14:paraId="56F665EB" w14:textId="77777777" w:rsidTr="00FA63B2">
        <w:trPr>
          <w:cantSplit/>
          <w:trHeight w:hRule="exact" w:val="851"/>
        </w:trPr>
        <w:tc>
          <w:tcPr>
            <w:tcW w:w="9072" w:type="dxa"/>
            <w:tcBorders>
              <w:bottom w:val="single" w:sz="4" w:space="0" w:color="auto"/>
            </w:tcBorders>
            <w:vAlign w:val="bottom"/>
          </w:tcPr>
          <w:p w14:paraId="5DBDD738" w14:textId="5B8F3C5F" w:rsidR="00717408" w:rsidRPr="004768CC" w:rsidRDefault="00FA63B2" w:rsidP="00D660CB">
            <w:pPr>
              <w:jc w:val="right"/>
              <w:rPr>
                <w:b/>
                <w:sz w:val="40"/>
                <w:szCs w:val="40"/>
              </w:rPr>
            </w:pPr>
            <w:r w:rsidRPr="004768CC">
              <w:rPr>
                <w:b/>
                <w:sz w:val="40"/>
                <w:szCs w:val="40"/>
              </w:rPr>
              <w:t>UN/SCEGHS/</w:t>
            </w:r>
            <w:r w:rsidR="000B6ACF" w:rsidRPr="004768CC">
              <w:rPr>
                <w:b/>
                <w:sz w:val="40"/>
                <w:szCs w:val="40"/>
              </w:rPr>
              <w:t>39</w:t>
            </w:r>
            <w:r w:rsidRPr="004768CC">
              <w:rPr>
                <w:b/>
                <w:sz w:val="40"/>
                <w:szCs w:val="40"/>
              </w:rPr>
              <w:t>/INF.</w:t>
            </w:r>
            <w:r w:rsidR="006A7D7A">
              <w:rPr>
                <w:b/>
                <w:sz w:val="40"/>
                <w:szCs w:val="40"/>
              </w:rPr>
              <w:t>6</w:t>
            </w:r>
          </w:p>
        </w:tc>
      </w:tr>
      <w:tr w:rsidR="00717408" w14:paraId="5A401C9D" w14:textId="77777777" w:rsidTr="00FA63B2">
        <w:trPr>
          <w:cantSplit/>
          <w:trHeight w:hRule="exact" w:val="3114"/>
        </w:trPr>
        <w:tc>
          <w:tcPr>
            <w:tcW w:w="9072" w:type="dxa"/>
            <w:tcBorders>
              <w:top w:val="single" w:sz="4" w:space="0" w:color="auto"/>
            </w:tcBorders>
          </w:tcPr>
          <w:p w14:paraId="45B0DBC3" w14:textId="77777777" w:rsidR="00717408" w:rsidRPr="00AD0D70" w:rsidRDefault="00717408" w:rsidP="00FA63B2">
            <w:pPr>
              <w:spacing w:before="120"/>
              <w:rPr>
                <w:b/>
                <w:sz w:val="24"/>
                <w:szCs w:val="24"/>
              </w:rPr>
            </w:pPr>
            <w:r w:rsidRPr="00AD0D70">
              <w:rPr>
                <w:b/>
                <w:sz w:val="24"/>
                <w:szCs w:val="24"/>
              </w:rPr>
              <w:t>Committee of Experts on the Transport of Dangerous Goods</w:t>
            </w:r>
            <w:r w:rsidRPr="00AD0D70">
              <w:rPr>
                <w:b/>
                <w:sz w:val="24"/>
                <w:szCs w:val="24"/>
              </w:rPr>
              <w:br/>
              <w:t>and on the Globally Harmonized System of Classification</w:t>
            </w:r>
            <w:r w:rsidRPr="00AD0D70">
              <w:rPr>
                <w:b/>
                <w:sz w:val="24"/>
                <w:szCs w:val="24"/>
              </w:rPr>
              <w:br/>
              <w:t>and Labelling of Chemicals</w:t>
            </w:r>
          </w:p>
          <w:p w14:paraId="2CEB9731" w14:textId="6CFAECCE" w:rsidR="00717408" w:rsidRPr="00AD0D70" w:rsidRDefault="00FA63B2" w:rsidP="004768CC">
            <w:pPr>
              <w:tabs>
                <w:tab w:val="left" w:pos="7797"/>
              </w:tabs>
              <w:spacing w:before="120"/>
            </w:pPr>
            <w:r w:rsidRPr="00AD0D70">
              <w:rPr>
                <w:b/>
                <w:lang w:val="en-US"/>
              </w:rPr>
              <w:t>Sub-Committee of Experts on the Globally Harmonized</w:t>
            </w:r>
            <w:r w:rsidRPr="00AD0D70">
              <w:rPr>
                <w:b/>
                <w:lang w:val="en-US"/>
              </w:rPr>
              <w:br/>
              <w:t>System of Classification and Labelling of Chemicals</w:t>
            </w:r>
            <w:r w:rsidRPr="00AD0D70">
              <w:t xml:space="preserve"> </w:t>
            </w:r>
            <w:r w:rsidR="00717408" w:rsidRPr="00AD0D70">
              <w:tab/>
            </w:r>
            <w:r w:rsidR="00F81305" w:rsidRPr="00F81305">
              <w:rPr>
                <w:b/>
                <w:bCs/>
              </w:rPr>
              <w:t>1</w:t>
            </w:r>
            <w:r w:rsidR="00FD5578">
              <w:rPr>
                <w:b/>
                <w:bCs/>
              </w:rPr>
              <w:t>1</w:t>
            </w:r>
            <w:bookmarkStart w:id="0" w:name="_GoBack"/>
            <w:bookmarkEnd w:id="0"/>
            <w:r w:rsidR="009F772D">
              <w:rPr>
                <w:b/>
                <w:bCs/>
              </w:rPr>
              <w:t xml:space="preserve"> June</w:t>
            </w:r>
            <w:r w:rsidR="00EF6381" w:rsidRPr="00B23268">
              <w:rPr>
                <w:b/>
                <w:bCs/>
              </w:rPr>
              <w:t xml:space="preserve"> </w:t>
            </w:r>
            <w:r w:rsidR="000B6ACF" w:rsidRPr="00B23268">
              <w:rPr>
                <w:b/>
                <w:bCs/>
              </w:rPr>
              <w:t>2020</w:t>
            </w:r>
          </w:p>
          <w:p w14:paraId="6513F3FD" w14:textId="77777777" w:rsidR="000B6ACF" w:rsidRPr="00AD0D70" w:rsidRDefault="000B6ACF" w:rsidP="000B6ACF">
            <w:pPr>
              <w:spacing w:before="120"/>
              <w:rPr>
                <w:b/>
              </w:rPr>
            </w:pPr>
            <w:bookmarkStart w:id="1" w:name="_Hlk35441056"/>
            <w:r w:rsidRPr="00AD0D70">
              <w:rPr>
                <w:b/>
              </w:rPr>
              <w:t>Thirty-ninth session</w:t>
            </w:r>
          </w:p>
          <w:bookmarkEnd w:id="1"/>
          <w:p w14:paraId="49840BCC" w14:textId="77777777" w:rsidR="000B6ACF" w:rsidRPr="00AD0D70" w:rsidRDefault="000B6ACF" w:rsidP="000B6ACF">
            <w:r w:rsidRPr="00AD0D70">
              <w:t xml:space="preserve">Geneva, 8-10 July 2020 </w:t>
            </w:r>
          </w:p>
          <w:p w14:paraId="1C41EB2C" w14:textId="77777777" w:rsidR="00EF6381" w:rsidRDefault="00EF6381" w:rsidP="00EF6381">
            <w:r>
              <w:t>Item 2 (i) of the provisional agenda</w:t>
            </w:r>
          </w:p>
          <w:p w14:paraId="27E7A884" w14:textId="77777777" w:rsidR="00EF6381" w:rsidRDefault="00EF6381" w:rsidP="00EF6381">
            <w:pPr>
              <w:rPr>
                <w:b/>
                <w:bCs/>
              </w:rPr>
            </w:pPr>
            <w:r>
              <w:rPr>
                <w:b/>
                <w:bCs/>
              </w:rPr>
              <w:t>Classification criteria and related hazard communication:</w:t>
            </w:r>
            <w:r>
              <w:rPr>
                <w:b/>
                <w:bCs/>
              </w:rPr>
              <w:br/>
              <w:t>other issues</w:t>
            </w:r>
          </w:p>
          <w:p w14:paraId="7893D430" w14:textId="552C36DF" w:rsidR="00717408" w:rsidRDefault="00717408" w:rsidP="000B6ACF">
            <w:pPr>
              <w:spacing w:line="240" w:lineRule="exact"/>
            </w:pPr>
          </w:p>
        </w:tc>
      </w:tr>
    </w:tbl>
    <w:p w14:paraId="68969185" w14:textId="54B760BD" w:rsidR="004768CC" w:rsidRPr="00EF6381" w:rsidRDefault="00760F29" w:rsidP="004768CC">
      <w:pPr>
        <w:pStyle w:val="HChG"/>
      </w:pPr>
      <w:r w:rsidRPr="009E7ABD">
        <w:rPr>
          <w:rFonts w:eastAsia="MS Mincho"/>
          <w:lang w:val="en-US" w:eastAsia="ja-JP"/>
        </w:rPr>
        <w:tab/>
      </w:r>
      <w:r>
        <w:rPr>
          <w:rFonts w:eastAsia="MS Mincho"/>
          <w:lang w:val="en-US" w:eastAsia="ja-JP"/>
        </w:rPr>
        <w:tab/>
      </w:r>
      <w:r w:rsidR="00EF6381">
        <w:t>Co</w:t>
      </w:r>
      <w:r w:rsidR="009F772D">
        <w:t xml:space="preserve">mments on </w:t>
      </w:r>
      <w:bookmarkStart w:id="2" w:name="_Hlk42179097"/>
      <w:r w:rsidR="00EF6381" w:rsidRPr="00EF6381">
        <w:t>ST/SG/AC.10/C.4/2020/</w:t>
      </w:r>
      <w:r w:rsidR="00EF6381">
        <w:t>3</w:t>
      </w:r>
      <w:bookmarkEnd w:id="2"/>
      <w:r w:rsidR="00EF6381">
        <w:t xml:space="preserve"> </w:t>
      </w:r>
      <w:r w:rsidR="009F772D">
        <w:t>"Review of decision logics"</w:t>
      </w:r>
    </w:p>
    <w:p w14:paraId="73597707" w14:textId="25894045" w:rsidR="004768CC" w:rsidRDefault="004768CC" w:rsidP="004768CC">
      <w:pPr>
        <w:pStyle w:val="H1G"/>
      </w:pPr>
      <w:r>
        <w:tab/>
      </w:r>
      <w:r>
        <w:tab/>
      </w:r>
      <w:r w:rsidR="009F772D">
        <w:t>Transmitted by the expert from Germany</w:t>
      </w:r>
    </w:p>
    <w:p w14:paraId="63380837" w14:textId="20D5BB9A" w:rsidR="0015677A" w:rsidRDefault="00113712" w:rsidP="00B14403">
      <w:pPr>
        <w:pStyle w:val="SingleTxtG"/>
        <w:kinsoku w:val="0"/>
        <w:overflowPunct w:val="0"/>
        <w:autoSpaceDE w:val="0"/>
        <w:autoSpaceDN w:val="0"/>
        <w:adjustRightInd w:val="0"/>
        <w:snapToGrid w:val="0"/>
      </w:pPr>
      <w:r>
        <w:t>1.</w:t>
      </w:r>
      <w:r>
        <w:tab/>
      </w:r>
      <w:r w:rsidR="009F772D">
        <w:t xml:space="preserve">The </w:t>
      </w:r>
      <w:r w:rsidR="009F772D" w:rsidRPr="00A9061F">
        <w:rPr>
          <w:lang w:val="en-US"/>
        </w:rPr>
        <w:t>expert</w:t>
      </w:r>
      <w:r w:rsidR="009F772D">
        <w:t xml:space="preserve"> from Germany wishes to thank the </w:t>
      </w:r>
      <w:r w:rsidR="00ED21C3">
        <w:t>s</w:t>
      </w:r>
      <w:r w:rsidR="009F772D">
        <w:t xml:space="preserve">ecretariat for </w:t>
      </w:r>
      <w:r w:rsidR="00403FAA">
        <w:t xml:space="preserve">the </w:t>
      </w:r>
      <w:r w:rsidR="009F772D">
        <w:t xml:space="preserve">work provided in document </w:t>
      </w:r>
      <w:r w:rsidR="009F772D" w:rsidRPr="00EF6381">
        <w:t>ST/SG/AC.10/C.4/2020/</w:t>
      </w:r>
      <w:r w:rsidR="009F772D">
        <w:t>3</w:t>
      </w:r>
      <w:r w:rsidR="009B2C62">
        <w:t xml:space="preserve">, it is very much appreciated. </w:t>
      </w:r>
      <w:r w:rsidR="0015677A">
        <w:t>In addition to that, we appreciate that typos present in the most recent published version have been corrected and that the decision logic has been improved and is much clearer in some places/pieces compared to the most recent published version.</w:t>
      </w:r>
    </w:p>
    <w:p w14:paraId="7BDB9AC2" w14:textId="77777777" w:rsidR="0015677A" w:rsidRDefault="0015677A" w:rsidP="0015677A">
      <w:pPr>
        <w:pStyle w:val="SingleTxtG"/>
        <w:kinsoku w:val="0"/>
        <w:overflowPunct w:val="0"/>
        <w:autoSpaceDE w:val="0"/>
        <w:autoSpaceDN w:val="0"/>
        <w:adjustRightInd w:val="0"/>
        <w:snapToGrid w:val="0"/>
      </w:pPr>
      <w:r>
        <w:t>2.</w:t>
      </w:r>
      <w:r>
        <w:tab/>
      </w:r>
      <w:bookmarkStart w:id="3" w:name="_Hlk42594111"/>
      <w:r>
        <w:t>In this document, we would like to make some specific proposals and raise additional issues for future consideration regarding decision logics in the GHS. According to their nature, we have structured our proposals as follows:</w:t>
      </w:r>
    </w:p>
    <w:p w14:paraId="32CCFE50" w14:textId="40D68DF8" w:rsidR="0015677A" w:rsidRPr="00E04E79" w:rsidRDefault="00414970" w:rsidP="00500B5E">
      <w:pPr>
        <w:pStyle w:val="SingleTxtG"/>
        <w:ind w:left="2268" w:hanging="567"/>
      </w:pPr>
      <w:r>
        <w:t>(a)</w:t>
      </w:r>
      <w:r>
        <w:tab/>
      </w:r>
      <w:r w:rsidR="0015677A" w:rsidRPr="00E04E79">
        <w:t>Corrections where errors where accidently introduced in the course of the transfer to the new software</w:t>
      </w:r>
      <w:r w:rsidR="000733F5">
        <w:t xml:space="preserve"> (see </w:t>
      </w:r>
      <w:r w:rsidR="00C75AA5">
        <w:t xml:space="preserve">paragraph 3 and </w:t>
      </w:r>
      <w:r w:rsidR="000733F5">
        <w:t>Annex 1)</w:t>
      </w:r>
      <w:r w:rsidR="0015677A" w:rsidRPr="00E04E79">
        <w:t>.</w:t>
      </w:r>
    </w:p>
    <w:p w14:paraId="7D451AF3" w14:textId="021136A5" w:rsidR="0015677A" w:rsidRPr="00E04E79" w:rsidRDefault="00414970" w:rsidP="00500B5E">
      <w:pPr>
        <w:pStyle w:val="SingleTxtG"/>
        <w:ind w:left="2268" w:hanging="567"/>
      </w:pPr>
      <w:r>
        <w:t>(b)</w:t>
      </w:r>
      <w:r>
        <w:tab/>
      </w:r>
      <w:r w:rsidR="0015677A" w:rsidRPr="00E04E79">
        <w:t>Proposals aiming at simplification regarding the layout</w:t>
      </w:r>
      <w:r w:rsidR="000733F5">
        <w:t xml:space="preserve"> (see </w:t>
      </w:r>
      <w:r w:rsidR="00C75AA5">
        <w:t xml:space="preserve">paragraphs 4 to 10 and </w:t>
      </w:r>
      <w:r w:rsidR="000733F5">
        <w:t>Annex 2)</w:t>
      </w:r>
      <w:r w:rsidR="0015677A">
        <w:t>.</w:t>
      </w:r>
    </w:p>
    <w:p w14:paraId="5F27DEF3" w14:textId="6969F95B" w:rsidR="0015677A" w:rsidRPr="00E04E79" w:rsidRDefault="00414970" w:rsidP="00500B5E">
      <w:pPr>
        <w:pStyle w:val="SingleTxtG"/>
        <w:ind w:left="2268" w:hanging="567"/>
      </w:pPr>
      <w:r>
        <w:t>(c)</w:t>
      </w:r>
      <w:r>
        <w:tab/>
      </w:r>
      <w:r w:rsidR="0015677A" w:rsidRPr="00E04E79">
        <w:t>Proposals aiming at consistent use of terminology, wording and symbols</w:t>
      </w:r>
      <w:r w:rsidR="000733F5">
        <w:t xml:space="preserve"> (see </w:t>
      </w:r>
      <w:r w:rsidR="00C75AA5">
        <w:t>paragraphs 11 to 1</w:t>
      </w:r>
      <w:r w:rsidR="00EF176A">
        <w:t>5</w:t>
      </w:r>
      <w:r w:rsidR="00C75AA5">
        <w:t xml:space="preserve"> and </w:t>
      </w:r>
      <w:r w:rsidR="000733F5">
        <w:t>Annex 2)</w:t>
      </w:r>
      <w:r w:rsidR="0015677A">
        <w:t>.</w:t>
      </w:r>
    </w:p>
    <w:p w14:paraId="17A10817" w14:textId="219018B7" w:rsidR="0015677A" w:rsidRPr="00E04E79" w:rsidRDefault="00414970" w:rsidP="00500B5E">
      <w:pPr>
        <w:pStyle w:val="SingleTxtG"/>
        <w:ind w:left="2268" w:hanging="567"/>
      </w:pPr>
      <w:r>
        <w:t>(d)</w:t>
      </w:r>
      <w:r>
        <w:tab/>
      </w:r>
      <w:r w:rsidR="0015677A" w:rsidRPr="00E04E79">
        <w:t xml:space="preserve">Suggestions </w:t>
      </w:r>
      <w:r w:rsidR="00230534">
        <w:t>regarding</w:t>
      </w:r>
      <w:r w:rsidR="0015677A" w:rsidRPr="00E04E79">
        <w:t xml:space="preserve"> more fundamental issues </w:t>
      </w:r>
      <w:r w:rsidR="00EB5D49">
        <w:t>aiming at</w:t>
      </w:r>
      <w:r w:rsidR="0015677A" w:rsidRPr="00E04E79">
        <w:t xml:space="preserve"> consistent structure of the decision logic</w:t>
      </w:r>
      <w:r w:rsidR="0015677A">
        <w:t>s</w:t>
      </w:r>
      <w:r w:rsidR="00C75AA5">
        <w:t xml:space="preserve"> (see paragraphs 1</w:t>
      </w:r>
      <w:r w:rsidR="00EF176A">
        <w:t>6</w:t>
      </w:r>
      <w:r w:rsidR="00C75AA5">
        <w:t xml:space="preserve"> to 17)</w:t>
      </w:r>
      <w:r w:rsidR="0015677A">
        <w:t>.</w:t>
      </w:r>
    </w:p>
    <w:p w14:paraId="17C01ED8" w14:textId="77777777" w:rsidR="0015677A" w:rsidRPr="00E04E79" w:rsidRDefault="0015677A" w:rsidP="0015677A">
      <w:pPr>
        <w:pStyle w:val="H1G"/>
        <w:kinsoku w:val="0"/>
        <w:overflowPunct w:val="0"/>
        <w:autoSpaceDE w:val="0"/>
        <w:autoSpaceDN w:val="0"/>
        <w:adjustRightInd w:val="0"/>
        <w:snapToGrid w:val="0"/>
        <w:rPr>
          <w:rFonts w:eastAsia="SimSun"/>
          <w:lang w:val="en-US" w:eastAsia="zh-CN"/>
        </w:rPr>
      </w:pPr>
      <w:r>
        <w:rPr>
          <w:rFonts w:eastAsia="SimSun"/>
          <w:lang w:val="en-US" w:eastAsia="zh-CN"/>
        </w:rPr>
        <w:tab/>
      </w:r>
      <w:r>
        <w:rPr>
          <w:rFonts w:eastAsia="SimSun"/>
          <w:lang w:val="en-US" w:eastAsia="zh-CN"/>
        </w:rPr>
        <w:tab/>
      </w:r>
      <w:r w:rsidRPr="00E04E79">
        <w:rPr>
          <w:rFonts w:eastAsia="SimSun"/>
          <w:lang w:val="en-US" w:eastAsia="zh-CN"/>
        </w:rPr>
        <w:t>Corrections</w:t>
      </w:r>
    </w:p>
    <w:bookmarkEnd w:id="3"/>
    <w:p w14:paraId="3959D338" w14:textId="0A65BC4E" w:rsidR="00BA0687" w:rsidRDefault="00113712" w:rsidP="0015677A">
      <w:pPr>
        <w:pStyle w:val="SingleTxtG"/>
        <w:kinsoku w:val="0"/>
        <w:overflowPunct w:val="0"/>
        <w:autoSpaceDE w:val="0"/>
        <w:autoSpaceDN w:val="0"/>
        <w:adjustRightInd w:val="0"/>
        <w:snapToGrid w:val="0"/>
      </w:pPr>
      <w:r>
        <w:t>3.</w:t>
      </w:r>
      <w:r>
        <w:tab/>
      </w:r>
      <w:r w:rsidR="00C40788">
        <w:t xml:space="preserve">We found that </w:t>
      </w:r>
      <w:r w:rsidR="0015677A">
        <w:t>the decision logics in</w:t>
      </w:r>
      <w:r w:rsidR="008C20B8">
        <w:t xml:space="preserve"> the phys</w:t>
      </w:r>
      <w:r w:rsidR="00B0659B">
        <w:t>ical hazards</w:t>
      </w:r>
      <w:r w:rsidR="008C20B8">
        <w:t xml:space="preserve"> section </w:t>
      </w:r>
      <w:r w:rsidR="0015677A">
        <w:t>are</w:t>
      </w:r>
      <w:r w:rsidR="00C40788">
        <w:t xml:space="preserve"> correctly taken over from the most recent published version of the GHS.</w:t>
      </w:r>
      <w:r w:rsidR="00B0659B">
        <w:t xml:space="preserve"> With respect to the health hazards and the environmental hazards section we identified </w:t>
      </w:r>
      <w:r w:rsidR="00C75AA5">
        <w:t>some</w:t>
      </w:r>
      <w:r w:rsidR="00B0659B">
        <w:t xml:space="preserve"> transfer errors that we specified in Annex I.</w:t>
      </w:r>
    </w:p>
    <w:p w14:paraId="1444BD63" w14:textId="5FC55C0C" w:rsidR="0015677A" w:rsidRDefault="0015677A" w:rsidP="00113712">
      <w:pPr>
        <w:pStyle w:val="H1G"/>
        <w:kinsoku w:val="0"/>
        <w:overflowPunct w:val="0"/>
        <w:autoSpaceDE w:val="0"/>
        <w:autoSpaceDN w:val="0"/>
        <w:adjustRightInd w:val="0"/>
        <w:snapToGrid w:val="0"/>
      </w:pPr>
      <w:r>
        <w:tab/>
      </w:r>
      <w:r>
        <w:tab/>
      </w:r>
      <w:r w:rsidRPr="00113712">
        <w:rPr>
          <w:rFonts w:eastAsia="SimSun"/>
          <w:lang w:val="en-US" w:eastAsia="zh-CN"/>
        </w:rPr>
        <w:t>Simplifications</w:t>
      </w:r>
      <w:r>
        <w:t xml:space="preserve"> regarding layout</w:t>
      </w:r>
    </w:p>
    <w:p w14:paraId="773D44C3" w14:textId="600C0D51" w:rsidR="009B2C62" w:rsidRDefault="00113712" w:rsidP="0015677A">
      <w:pPr>
        <w:pStyle w:val="SingleTxtG"/>
        <w:kinsoku w:val="0"/>
        <w:overflowPunct w:val="0"/>
        <w:autoSpaceDE w:val="0"/>
        <w:autoSpaceDN w:val="0"/>
        <w:adjustRightInd w:val="0"/>
        <w:snapToGrid w:val="0"/>
      </w:pPr>
      <w:r>
        <w:t>4.</w:t>
      </w:r>
      <w:r>
        <w:tab/>
      </w:r>
      <w:r w:rsidR="00403FAA">
        <w:t xml:space="preserve">Based on the decision logics provided by the </w:t>
      </w:r>
      <w:r w:rsidR="00ED21C3">
        <w:t>s</w:t>
      </w:r>
      <w:r w:rsidR="00403FAA">
        <w:t>ecretariat, t</w:t>
      </w:r>
      <w:r w:rsidR="009B2C62">
        <w:t xml:space="preserve">he expert from Germany would like to make a few suggestions for simplification. </w:t>
      </w:r>
    </w:p>
    <w:p w14:paraId="1DA97BD8" w14:textId="2CDCAE1E" w:rsidR="00D64A37" w:rsidRDefault="00113712" w:rsidP="0015677A">
      <w:pPr>
        <w:pStyle w:val="SingleTxtG"/>
        <w:kinsoku w:val="0"/>
        <w:overflowPunct w:val="0"/>
        <w:autoSpaceDE w:val="0"/>
        <w:autoSpaceDN w:val="0"/>
        <w:adjustRightInd w:val="0"/>
        <w:snapToGrid w:val="0"/>
      </w:pPr>
      <w:r>
        <w:t>5.</w:t>
      </w:r>
      <w:r>
        <w:tab/>
      </w:r>
      <w:r w:rsidR="009B2C62">
        <w:t xml:space="preserve">Elements that are purely layout gadgets but do not convey any message should be avoided. It is therefore proposed to refrain from using </w:t>
      </w:r>
      <w:r w:rsidR="00D64A37">
        <w:t>"shadows" as currently used for the boxes and the arrows.</w:t>
      </w:r>
    </w:p>
    <w:p w14:paraId="584036E8" w14:textId="77777777" w:rsidR="00414970" w:rsidRDefault="00414970">
      <w:pPr>
        <w:suppressAutoHyphens w:val="0"/>
        <w:spacing w:line="240" w:lineRule="auto"/>
      </w:pPr>
      <w:r>
        <w:br w:type="page"/>
      </w:r>
    </w:p>
    <w:p w14:paraId="522C666D" w14:textId="099C9D03" w:rsidR="00325B51" w:rsidRDefault="00113712" w:rsidP="00414970">
      <w:pPr>
        <w:pStyle w:val="SingleTxtG"/>
        <w:kinsoku w:val="0"/>
        <w:overflowPunct w:val="0"/>
        <w:autoSpaceDE w:val="0"/>
        <w:autoSpaceDN w:val="0"/>
        <w:adjustRightInd w:val="0"/>
        <w:snapToGrid w:val="0"/>
        <w:spacing w:after="240"/>
      </w:pPr>
      <w:r>
        <w:lastRenderedPageBreak/>
        <w:t>6.</w:t>
      </w:r>
      <w:r>
        <w:tab/>
      </w:r>
      <w:r w:rsidR="003B24CA">
        <w:t xml:space="preserve">As mentioned before, we would appreciate if the decision logics </w:t>
      </w:r>
      <w:r w:rsidR="00403FAA">
        <w:t>would conform to</w:t>
      </w:r>
      <w:r w:rsidR="00325B51">
        <w:t xml:space="preserve"> the international standard </w:t>
      </w:r>
      <w:r w:rsidR="00D64A37">
        <w:t>ISO</w:t>
      </w:r>
      <w:r w:rsidR="00403FAA">
        <w:t> </w:t>
      </w:r>
      <w:r w:rsidR="003B24CA">
        <w:t>5807 (which is an adoption of ANSI symbols)</w:t>
      </w:r>
      <w:r w:rsidR="001F4343">
        <w:t>, nowadays applied in many work areas for depicting all kinds of processes</w:t>
      </w:r>
      <w:r w:rsidR="00325B51">
        <w:t>. According to this standard, the following symbols are used (amongst others):</w:t>
      </w:r>
    </w:p>
    <w:tbl>
      <w:tblPr>
        <w:tblStyle w:val="TableGrid"/>
        <w:tblW w:w="7427" w:type="dxa"/>
        <w:tblInd w:w="1134" w:type="dxa"/>
        <w:tblLayout w:type="fixed"/>
        <w:tblCellMar>
          <w:top w:w="57" w:type="dxa"/>
          <w:left w:w="57" w:type="dxa"/>
          <w:bottom w:w="57" w:type="dxa"/>
          <w:right w:w="57" w:type="dxa"/>
        </w:tblCellMar>
        <w:tblLook w:val="04A0" w:firstRow="1" w:lastRow="0" w:firstColumn="1" w:lastColumn="0" w:noHBand="0" w:noVBand="1"/>
      </w:tblPr>
      <w:tblGrid>
        <w:gridCol w:w="907"/>
        <w:gridCol w:w="6520"/>
      </w:tblGrid>
      <w:tr w:rsidR="00FF014B" w14:paraId="1B3733CC" w14:textId="77777777" w:rsidTr="00EB5D49">
        <w:tc>
          <w:tcPr>
            <w:tcW w:w="907" w:type="dxa"/>
          </w:tcPr>
          <w:p w14:paraId="44417519" w14:textId="62D1D3B4" w:rsidR="00CD22D8" w:rsidRDefault="00CD22D8" w:rsidP="0073032A">
            <w:pPr>
              <w:pStyle w:val="SingleTxtG"/>
              <w:kinsoku w:val="0"/>
              <w:overflowPunct w:val="0"/>
              <w:autoSpaceDE w:val="0"/>
              <w:autoSpaceDN w:val="0"/>
              <w:adjustRightInd w:val="0"/>
              <w:snapToGrid w:val="0"/>
              <w:spacing w:after="0"/>
              <w:ind w:left="0" w:right="0"/>
            </w:pPr>
            <w:r>
              <w:object w:dxaOrig="1441" w:dyaOrig="598" w14:anchorId="75DAB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15pt;mso-position-horizontal:absolute" o:ole="">
                  <v:imagedata r:id="rId11" o:title=""/>
                </v:shape>
                <o:OLEObject Type="Embed" ProgID="Visio.Drawing.15" ShapeID="_x0000_i1025" DrawAspect="Content" ObjectID="_1653374178" r:id="rId12"/>
              </w:object>
            </w:r>
          </w:p>
        </w:tc>
        <w:tc>
          <w:tcPr>
            <w:tcW w:w="6520" w:type="dxa"/>
          </w:tcPr>
          <w:p w14:paraId="1E361102" w14:textId="2F0B29C3" w:rsidR="00CD22D8" w:rsidRDefault="00CD22D8" w:rsidP="0073032A">
            <w:pPr>
              <w:pStyle w:val="SingleTxtG"/>
              <w:kinsoku w:val="0"/>
              <w:overflowPunct w:val="0"/>
              <w:autoSpaceDE w:val="0"/>
              <w:autoSpaceDN w:val="0"/>
              <w:adjustRightInd w:val="0"/>
              <w:snapToGrid w:val="0"/>
              <w:spacing w:after="0"/>
              <w:ind w:left="0" w:right="0"/>
              <w:jc w:val="left"/>
            </w:pPr>
            <w:r w:rsidRPr="00CD22D8">
              <w:t>Terminator: Indicates the beginning and ending of a program or sub-process. Represented as a stadium, oval or rounded (fillet) rectangle. They usually contain the word "Start" or "End", or another phrase signalling the start or end of a process, such as "submit inquiry" or "receive product".</w:t>
            </w:r>
          </w:p>
        </w:tc>
      </w:tr>
      <w:tr w:rsidR="00FF014B" w14:paraId="4DA94F75" w14:textId="77777777" w:rsidTr="00EB5D49">
        <w:tc>
          <w:tcPr>
            <w:tcW w:w="907" w:type="dxa"/>
          </w:tcPr>
          <w:p w14:paraId="2FCAEA2F" w14:textId="4D05EC66" w:rsidR="00CD22D8" w:rsidRDefault="00CD22D8" w:rsidP="0073032A">
            <w:pPr>
              <w:pStyle w:val="SingleTxtG"/>
              <w:kinsoku w:val="0"/>
              <w:overflowPunct w:val="0"/>
              <w:autoSpaceDE w:val="0"/>
              <w:autoSpaceDN w:val="0"/>
              <w:adjustRightInd w:val="0"/>
              <w:snapToGrid w:val="0"/>
              <w:spacing w:after="0"/>
              <w:ind w:left="0" w:right="0"/>
            </w:pPr>
            <w:r>
              <w:object w:dxaOrig="1441" w:dyaOrig="883" w14:anchorId="0A006A98">
                <v:shape id="_x0000_i1026" type="#_x0000_t75" style="width:36.85pt;height:23.05pt;mso-position-horizontal:absolute" o:ole="">
                  <v:imagedata r:id="rId13" o:title=""/>
                </v:shape>
                <o:OLEObject Type="Embed" ProgID="Visio.Drawing.15" ShapeID="_x0000_i1026" DrawAspect="Content" ObjectID="_1653374179" r:id="rId14"/>
              </w:object>
            </w:r>
          </w:p>
        </w:tc>
        <w:tc>
          <w:tcPr>
            <w:tcW w:w="6520" w:type="dxa"/>
          </w:tcPr>
          <w:p w14:paraId="1686D515" w14:textId="0A31C11F" w:rsidR="00CD22D8" w:rsidRDefault="00CD22D8" w:rsidP="0073032A">
            <w:pPr>
              <w:pStyle w:val="SingleTxtG"/>
              <w:kinsoku w:val="0"/>
              <w:overflowPunct w:val="0"/>
              <w:autoSpaceDE w:val="0"/>
              <w:autoSpaceDN w:val="0"/>
              <w:adjustRightInd w:val="0"/>
              <w:snapToGrid w:val="0"/>
              <w:spacing w:after="0"/>
              <w:ind w:left="0" w:right="0"/>
              <w:jc w:val="left"/>
            </w:pPr>
            <w:r w:rsidRPr="00CD22D8">
              <w:t>Decision: Shows a conditional operation that determines which one of the two paths the program will take. The operation is commonly a yes/no question or true/false test. Represented as a diamond (rhombus).</w:t>
            </w:r>
          </w:p>
        </w:tc>
      </w:tr>
      <w:tr w:rsidR="00FF014B" w14:paraId="6416C010" w14:textId="77777777" w:rsidTr="00EB5D49">
        <w:tc>
          <w:tcPr>
            <w:tcW w:w="907" w:type="dxa"/>
          </w:tcPr>
          <w:p w14:paraId="735A2A9F" w14:textId="5E84036B" w:rsidR="00CD22D8" w:rsidRDefault="00CD22D8" w:rsidP="0073032A">
            <w:pPr>
              <w:pStyle w:val="SingleTxtG"/>
              <w:kinsoku w:val="0"/>
              <w:overflowPunct w:val="0"/>
              <w:autoSpaceDE w:val="0"/>
              <w:autoSpaceDN w:val="0"/>
              <w:adjustRightInd w:val="0"/>
              <w:snapToGrid w:val="0"/>
              <w:spacing w:after="0"/>
              <w:ind w:left="0" w:right="0"/>
            </w:pPr>
            <w:r>
              <w:object w:dxaOrig="1441" w:dyaOrig="883" w14:anchorId="7DCA8CAF">
                <v:shape id="_x0000_i1027" type="#_x0000_t75" style="width:36.85pt;height:23.05pt;mso-position-horizontal:absolute" o:ole="">
                  <v:imagedata r:id="rId15" o:title=""/>
                </v:shape>
                <o:OLEObject Type="Embed" ProgID="Visio.Drawing.15" ShapeID="_x0000_i1027" DrawAspect="Content" ObjectID="_1653374180" r:id="rId16"/>
              </w:object>
            </w:r>
          </w:p>
        </w:tc>
        <w:tc>
          <w:tcPr>
            <w:tcW w:w="6520" w:type="dxa"/>
          </w:tcPr>
          <w:p w14:paraId="6521FDE9" w14:textId="2A7E1FFC" w:rsidR="00CD22D8" w:rsidRDefault="009960AE" w:rsidP="0073032A">
            <w:pPr>
              <w:pStyle w:val="SingleTxtG"/>
              <w:kinsoku w:val="0"/>
              <w:overflowPunct w:val="0"/>
              <w:autoSpaceDE w:val="0"/>
              <w:autoSpaceDN w:val="0"/>
              <w:adjustRightInd w:val="0"/>
              <w:snapToGrid w:val="0"/>
              <w:spacing w:after="0"/>
              <w:ind w:left="0" w:right="0"/>
              <w:jc w:val="left"/>
            </w:pPr>
            <w:r w:rsidRPr="00CD22D8">
              <w:t>Process: Represents a set of operations that changes value, form, or location of data. Represented as a rectangle.</w:t>
            </w:r>
          </w:p>
        </w:tc>
      </w:tr>
      <w:tr w:rsidR="00FF014B" w14:paraId="01493150" w14:textId="77777777" w:rsidTr="00EB5D49">
        <w:tc>
          <w:tcPr>
            <w:tcW w:w="907" w:type="dxa"/>
          </w:tcPr>
          <w:p w14:paraId="57D31FA5" w14:textId="41E88BB2" w:rsidR="00CD22D8" w:rsidRDefault="00CD22D8" w:rsidP="0073032A">
            <w:pPr>
              <w:pStyle w:val="SingleTxtG"/>
              <w:kinsoku w:val="0"/>
              <w:overflowPunct w:val="0"/>
              <w:autoSpaceDE w:val="0"/>
              <w:autoSpaceDN w:val="0"/>
              <w:adjustRightInd w:val="0"/>
              <w:snapToGrid w:val="0"/>
              <w:spacing w:after="0"/>
              <w:ind w:left="0" w:right="0"/>
            </w:pPr>
            <w:r>
              <w:object w:dxaOrig="1441" w:dyaOrig="883" w14:anchorId="40276207">
                <v:shape id="_x0000_i1028" type="#_x0000_t75" style="width:34pt;height:20.75pt;mso-position-horizontal:absolute" o:ole="">
                  <v:imagedata r:id="rId17" o:title=""/>
                </v:shape>
                <o:OLEObject Type="Embed" ProgID="Visio.Drawing.15" ShapeID="_x0000_i1028" DrawAspect="Content" ObjectID="_1653374181" r:id="rId18"/>
              </w:object>
            </w:r>
          </w:p>
        </w:tc>
        <w:tc>
          <w:tcPr>
            <w:tcW w:w="6520" w:type="dxa"/>
          </w:tcPr>
          <w:p w14:paraId="5971E41E" w14:textId="61CF9AC4" w:rsidR="00CD22D8" w:rsidRDefault="009960AE" w:rsidP="0073032A">
            <w:pPr>
              <w:pStyle w:val="SingleTxtG"/>
              <w:kinsoku w:val="0"/>
              <w:overflowPunct w:val="0"/>
              <w:autoSpaceDE w:val="0"/>
              <w:autoSpaceDN w:val="0"/>
              <w:adjustRightInd w:val="0"/>
              <w:snapToGrid w:val="0"/>
              <w:spacing w:after="0"/>
              <w:ind w:left="0" w:right="0"/>
              <w:jc w:val="left"/>
            </w:pPr>
            <w:r>
              <w:t xml:space="preserve">Document: </w:t>
            </w:r>
            <w:r w:rsidRPr="00812E01">
              <w:t xml:space="preserve">Single documents represented </w:t>
            </w:r>
            <w:r>
              <w:t xml:space="preserve">as </w:t>
            </w:r>
            <w:r w:rsidRPr="00812E01">
              <w:t>a rectangle with a wavy base</w:t>
            </w:r>
          </w:p>
        </w:tc>
      </w:tr>
      <w:tr w:rsidR="00FF014B" w14:paraId="0C84EB34" w14:textId="77777777" w:rsidTr="00EB5D49">
        <w:tc>
          <w:tcPr>
            <w:tcW w:w="907" w:type="dxa"/>
          </w:tcPr>
          <w:p w14:paraId="6FF57871" w14:textId="13D79BA2" w:rsidR="00CD22D8" w:rsidRDefault="0073032A" w:rsidP="0073032A">
            <w:pPr>
              <w:pStyle w:val="SingleTxtG"/>
              <w:kinsoku w:val="0"/>
              <w:overflowPunct w:val="0"/>
              <w:autoSpaceDE w:val="0"/>
              <w:autoSpaceDN w:val="0"/>
              <w:adjustRightInd w:val="0"/>
              <w:snapToGrid w:val="0"/>
              <w:spacing w:after="0"/>
              <w:ind w:left="0" w:right="0"/>
            </w:pPr>
            <w:r>
              <w:object w:dxaOrig="707" w:dyaOrig="707" w14:anchorId="2E2C431D">
                <v:shape id="_x0000_i1029" type="#_x0000_t75" style="width:24.75pt;height:24.75pt" o:ole="">
                  <v:imagedata r:id="rId19" o:title=""/>
                </v:shape>
                <o:OLEObject Type="Embed" ProgID="Visio.Drawing.15" ShapeID="_x0000_i1029" DrawAspect="Content" ObjectID="_1653374182" r:id="rId20"/>
              </w:object>
            </w:r>
          </w:p>
        </w:tc>
        <w:tc>
          <w:tcPr>
            <w:tcW w:w="6520" w:type="dxa"/>
          </w:tcPr>
          <w:p w14:paraId="371A719A" w14:textId="40A8E4B3" w:rsidR="00CD22D8" w:rsidRDefault="00CD22D8" w:rsidP="0073032A">
            <w:pPr>
              <w:pStyle w:val="SingleTxtG"/>
              <w:kinsoku w:val="0"/>
              <w:overflowPunct w:val="0"/>
              <w:autoSpaceDE w:val="0"/>
              <w:autoSpaceDN w:val="0"/>
              <w:adjustRightInd w:val="0"/>
              <w:snapToGrid w:val="0"/>
              <w:spacing w:after="0"/>
              <w:ind w:left="0" w:right="0"/>
              <w:jc w:val="left"/>
            </w:pPr>
            <w:r w:rsidRPr="00CD22D8">
              <w:t>Off-page connector: A labelled connector for use when the target is on another page. Represented as a home plate-shaped pentagon.</w:t>
            </w:r>
          </w:p>
        </w:tc>
      </w:tr>
    </w:tbl>
    <w:p w14:paraId="1BCF78C8" w14:textId="2CF5C74A" w:rsidR="00232A53" w:rsidRDefault="00113712" w:rsidP="00414970">
      <w:pPr>
        <w:pStyle w:val="SingleTxtG"/>
        <w:kinsoku w:val="0"/>
        <w:overflowPunct w:val="0"/>
        <w:autoSpaceDE w:val="0"/>
        <w:autoSpaceDN w:val="0"/>
        <w:adjustRightInd w:val="0"/>
        <w:snapToGrid w:val="0"/>
        <w:spacing w:before="240"/>
      </w:pPr>
      <w:r>
        <w:t>7.</w:t>
      </w:r>
      <w:r>
        <w:tab/>
      </w:r>
      <w:r w:rsidR="00325B51">
        <w:t xml:space="preserve">We understand that using the </w:t>
      </w:r>
      <w:r w:rsidR="00B51183">
        <w:t>diamond</w:t>
      </w:r>
      <w:r w:rsidR="00232A53">
        <w:t xml:space="preserve"> </w:t>
      </w:r>
      <w:r w:rsidR="00325B51">
        <w:t xml:space="preserve">as stipulated </w:t>
      </w:r>
      <w:r w:rsidR="00232A53">
        <w:t xml:space="preserve">for decision making </w:t>
      </w:r>
      <w:r w:rsidR="00D64A37">
        <w:t xml:space="preserve">is not practical because </w:t>
      </w:r>
      <w:r w:rsidR="00232A53">
        <w:t xml:space="preserve">it allows for much less text than a rectangle. </w:t>
      </w:r>
      <w:r w:rsidR="00D64A37">
        <w:t>This is already challenging for some of the boxes in English but might be even more challenging for other languages. Therefore</w:t>
      </w:r>
      <w:r w:rsidR="00403FAA">
        <w:t>,</w:t>
      </w:r>
      <w:r w:rsidR="00D64A37">
        <w:t xml:space="preserve"> we would agree to us</w:t>
      </w:r>
      <w:r w:rsidR="00D0604F">
        <w:t>ing</w:t>
      </w:r>
      <w:r w:rsidR="00D64A37">
        <w:t xml:space="preserve"> rectangles for decision making boxes as foreseen by the </w:t>
      </w:r>
      <w:r w:rsidR="00ED21C3">
        <w:t>s</w:t>
      </w:r>
      <w:r w:rsidR="00D64A37">
        <w:t>ecretariat.</w:t>
      </w:r>
    </w:p>
    <w:p w14:paraId="3E5865A3" w14:textId="1B79380D" w:rsidR="00F648DE" w:rsidRDefault="00113712" w:rsidP="0015677A">
      <w:pPr>
        <w:pStyle w:val="SingleTxtG"/>
        <w:kinsoku w:val="0"/>
        <w:overflowPunct w:val="0"/>
        <w:autoSpaceDE w:val="0"/>
        <w:autoSpaceDN w:val="0"/>
        <w:adjustRightInd w:val="0"/>
        <w:snapToGrid w:val="0"/>
      </w:pPr>
      <w:r>
        <w:t>8.</w:t>
      </w:r>
      <w:r>
        <w:tab/>
      </w:r>
      <w:r w:rsidR="00403FAA">
        <w:t xml:space="preserve">Apart from that, we </w:t>
      </w:r>
      <w:r w:rsidR="00D0604F">
        <w:t>should</w:t>
      </w:r>
      <w:r w:rsidR="00403FAA">
        <w:t xml:space="preserve"> try to stick to ISO</w:t>
      </w:r>
      <w:r w:rsidR="00D0604F">
        <w:t> </w:t>
      </w:r>
      <w:r w:rsidR="00403FAA">
        <w:t xml:space="preserve">5807 </w:t>
      </w:r>
      <w:r w:rsidR="005D6230">
        <w:t xml:space="preserve">and internationally acknowledged conventions </w:t>
      </w:r>
      <w:r w:rsidR="00403FAA">
        <w:t xml:space="preserve">as close as possible. Therefore, </w:t>
      </w:r>
      <w:r w:rsidR="00232A53">
        <w:t xml:space="preserve">we would like to suggest using the terminator as foreseen for the start and the end. </w:t>
      </w:r>
      <w:r w:rsidR="00F648DE">
        <w:t>The decision logics in the GHS aim at summarizing the classification process. Thus</w:t>
      </w:r>
      <w:r w:rsidR="00403FAA">
        <w:t>,</w:t>
      </w:r>
      <w:r w:rsidR="00F648DE">
        <w:t xml:space="preserve"> the outcome is a classification (or the decision that no classification is needed</w:t>
      </w:r>
      <w:r w:rsidR="00403FAA">
        <w:t>)</w:t>
      </w:r>
      <w:r w:rsidR="00F648DE">
        <w:t>. This is not a document and we therefore do not need to use the more complicated and spacious form foreseen for documents</w:t>
      </w:r>
      <w:r w:rsidR="00B51183">
        <w:t xml:space="preserve"> (rectangle with a wavy base)</w:t>
      </w:r>
      <w:r w:rsidR="00F648DE">
        <w:t xml:space="preserve">. The </w:t>
      </w:r>
      <w:r w:rsidR="00D0604F">
        <w:t>much simpler</w:t>
      </w:r>
      <w:r w:rsidR="00F648DE">
        <w:t xml:space="preserve"> terminator form would be appropriate.</w:t>
      </w:r>
    </w:p>
    <w:p w14:paraId="7C0130DE" w14:textId="20A5364E" w:rsidR="00937A9A" w:rsidRDefault="00113712" w:rsidP="0015677A">
      <w:pPr>
        <w:pStyle w:val="SingleTxtG"/>
        <w:kinsoku w:val="0"/>
        <w:overflowPunct w:val="0"/>
        <w:autoSpaceDE w:val="0"/>
        <w:autoSpaceDN w:val="0"/>
        <w:adjustRightInd w:val="0"/>
        <w:snapToGrid w:val="0"/>
      </w:pPr>
      <w:r>
        <w:t>9.</w:t>
      </w:r>
      <w:r>
        <w:tab/>
      </w:r>
      <w:r w:rsidR="00937A9A">
        <w:t>We also would like to recommend that arrows are aligned with the other arrows as far as possible, see decision logic 3.3.1 for an example (3</w:t>
      </w:r>
      <w:r w:rsidR="00937A9A" w:rsidRPr="00937A9A">
        <w:rPr>
          <w:vertAlign w:val="superscript"/>
        </w:rPr>
        <w:t>rd</w:t>
      </w:r>
      <w:r w:rsidR="00937A9A">
        <w:t xml:space="preserve"> "yes"-arrow). </w:t>
      </w:r>
      <w:r w:rsidR="001E2D63">
        <w:t>The example as shown in Annex 2 shows also how that could be handled.</w:t>
      </w:r>
    </w:p>
    <w:p w14:paraId="6ACE8ED1" w14:textId="49EA6C29" w:rsidR="008E45C8" w:rsidRDefault="00937A9A" w:rsidP="0015677A">
      <w:pPr>
        <w:pStyle w:val="SingleTxtG"/>
        <w:kinsoku w:val="0"/>
        <w:overflowPunct w:val="0"/>
        <w:autoSpaceDE w:val="0"/>
        <w:autoSpaceDN w:val="0"/>
        <w:adjustRightInd w:val="0"/>
        <w:snapToGrid w:val="0"/>
      </w:pPr>
      <w:r>
        <w:t>10.</w:t>
      </w:r>
      <w:r>
        <w:tab/>
      </w:r>
      <w:r w:rsidR="008E45C8">
        <w:t xml:space="preserve">If it is agreed that the </w:t>
      </w:r>
      <w:r w:rsidR="00F648DE">
        <w:t xml:space="preserve">purpose of the decision logics in the GHS </w:t>
      </w:r>
      <w:r w:rsidR="00C83965">
        <w:t xml:space="preserve">is </w:t>
      </w:r>
      <w:r w:rsidR="00F648DE">
        <w:t xml:space="preserve">depicting the classification process </w:t>
      </w:r>
      <w:r w:rsidR="008E45C8">
        <w:t>(</w:t>
      </w:r>
      <w:r w:rsidR="00F648DE">
        <w:t xml:space="preserve">as </w:t>
      </w:r>
      <w:r w:rsidR="00C83965">
        <w:t xml:space="preserve">also </w:t>
      </w:r>
      <w:r w:rsidR="00F648DE">
        <w:t>explicitly stated before the decision logics</w:t>
      </w:r>
      <w:r w:rsidR="00B51183">
        <w:t xml:space="preserve"> in the GHS</w:t>
      </w:r>
      <w:r w:rsidR="00F648DE">
        <w:t xml:space="preserve">) </w:t>
      </w:r>
      <w:r w:rsidR="008E45C8">
        <w:t>but not aiming at labelling information (for that we have Annex 1, now freshly revised), we could simplify even more: We could remove labelling information, i.e. the symbol and the signal word (one could also wonder why we indicate the symbol and the signal word but not the hazard statement anyway).</w:t>
      </w:r>
    </w:p>
    <w:p w14:paraId="549FDEC9" w14:textId="2E198CEF" w:rsidR="00113712" w:rsidRDefault="00113712" w:rsidP="00113712">
      <w:pPr>
        <w:pStyle w:val="H1G"/>
      </w:pPr>
      <w:r>
        <w:tab/>
      </w:r>
      <w:r>
        <w:tab/>
        <w:t>Consistent use of terminology, wording and symbols</w:t>
      </w:r>
      <w:r w:rsidR="00EB5D49">
        <w:t xml:space="preserve"> in the text</w:t>
      </w:r>
    </w:p>
    <w:p w14:paraId="5C3F4AD8" w14:textId="64F1D409" w:rsidR="00363E88" w:rsidRDefault="00113712" w:rsidP="0015677A">
      <w:pPr>
        <w:pStyle w:val="SingleTxtG"/>
        <w:kinsoku w:val="0"/>
        <w:overflowPunct w:val="0"/>
        <w:autoSpaceDE w:val="0"/>
        <w:autoSpaceDN w:val="0"/>
        <w:adjustRightInd w:val="0"/>
        <w:snapToGrid w:val="0"/>
      </w:pPr>
      <w:r>
        <w:t>1</w:t>
      </w:r>
      <w:r w:rsidR="001E2D63">
        <w:t>1</w:t>
      </w:r>
      <w:r>
        <w:t>.</w:t>
      </w:r>
      <w:r>
        <w:tab/>
      </w:r>
      <w:r w:rsidR="00363E88">
        <w:t xml:space="preserve">In addition, when looking through the decision logics of the GHS, we found that they are inconsistent with regard to </w:t>
      </w:r>
      <w:r w:rsidR="007D43A4">
        <w:t xml:space="preserve">the </w:t>
      </w:r>
      <w:r w:rsidR="00363E88">
        <w:t xml:space="preserve">use of </w:t>
      </w:r>
      <w:r w:rsidR="007D43A4">
        <w:t xml:space="preserve">the </w:t>
      </w:r>
      <w:r w:rsidR="00363E88">
        <w:t>symbols &gt;, ≥, &lt; and ≤. For example, they are not used in decision logic 2.2 for flammable gases whereas they are used in the decision logics for aerosols</w:t>
      </w:r>
      <w:r w:rsidR="00923089">
        <w:t xml:space="preserve"> (sometimes it is even done inconsistently within a decision logic, see for example that for oxidizing liquids)</w:t>
      </w:r>
      <w:r w:rsidR="00363E88">
        <w:t>. We therefore would like to decide on consistent use (or not-use) of these symbols. For the sake of further simplifying and shortening the text, we would be in favour of consistently using the symbols instead of the much longer wording (for example "equal to or greater than").</w:t>
      </w:r>
    </w:p>
    <w:p w14:paraId="344B28A1" w14:textId="77777777" w:rsidR="00414970" w:rsidRDefault="00414970">
      <w:pPr>
        <w:suppressAutoHyphens w:val="0"/>
        <w:spacing w:line="240" w:lineRule="auto"/>
      </w:pPr>
      <w:r>
        <w:br w:type="page"/>
      </w:r>
    </w:p>
    <w:p w14:paraId="11C73B44" w14:textId="73E50704" w:rsidR="00D66E77" w:rsidRDefault="00B14403" w:rsidP="0015677A">
      <w:pPr>
        <w:pStyle w:val="SingleTxtG"/>
        <w:kinsoku w:val="0"/>
        <w:overflowPunct w:val="0"/>
        <w:autoSpaceDE w:val="0"/>
        <w:autoSpaceDN w:val="0"/>
        <w:adjustRightInd w:val="0"/>
        <w:snapToGrid w:val="0"/>
      </w:pPr>
      <w:r>
        <w:lastRenderedPageBreak/>
        <w:t>1</w:t>
      </w:r>
      <w:r w:rsidR="001E2D63">
        <w:t>2</w:t>
      </w:r>
      <w:r>
        <w:t>.</w:t>
      </w:r>
      <w:r>
        <w:tab/>
      </w:r>
      <w:r w:rsidR="003A3AA3">
        <w:t xml:space="preserve">Furthermore, </w:t>
      </w:r>
      <w:r w:rsidR="00A610DC">
        <w:t xml:space="preserve">we found that the </w:t>
      </w:r>
      <w:r w:rsidR="00115A69">
        <w:t>starting</w:t>
      </w:r>
      <w:r w:rsidR="00A610DC">
        <w:t xml:space="preserve"> point is worded differently even in cases where </w:t>
      </w:r>
      <w:r w:rsidR="00593E76">
        <w:t>it is absolutely equivalent</w:t>
      </w:r>
      <w:r w:rsidR="00A610DC">
        <w:t xml:space="preserve">. For example, for flammable gases </w:t>
      </w:r>
      <w:r w:rsidR="00D66E77">
        <w:t xml:space="preserve">it </w:t>
      </w:r>
      <w:r w:rsidR="00A610DC">
        <w:t>is "The substance/mixture is a gas", whereas it is "Gaseous substance or mixture of gases"</w:t>
      </w:r>
      <w:r w:rsidR="00D66E77">
        <w:t xml:space="preserve"> for oxidizing gases</w:t>
      </w:r>
      <w:r w:rsidR="00A610DC">
        <w:t>. We suggest using consistent wording (where appropriate</w:t>
      </w:r>
      <w:r w:rsidR="00D66E77">
        <w:t>)</w:t>
      </w:r>
      <w:r w:rsidR="00A610DC">
        <w:t xml:space="preserve"> here as well, for example "Gaseous substance/mixture for classification" or "Liquid</w:t>
      </w:r>
      <w:r w:rsidR="00D66E77">
        <w:t xml:space="preserve"> </w:t>
      </w:r>
      <w:r w:rsidR="00A610DC">
        <w:t>substance/mixture for classification</w:t>
      </w:r>
      <w:r w:rsidR="00D66E77">
        <w:t>" or even shorter "Liquid for classification"</w:t>
      </w:r>
      <w:r w:rsidR="00593E76">
        <w:t xml:space="preserve"> or "Substance/mixture for classification" where the physical state is not known</w:t>
      </w:r>
      <w:r w:rsidR="00D66E77">
        <w:t>.</w:t>
      </w:r>
    </w:p>
    <w:p w14:paraId="73EAE96F" w14:textId="0B7F0DAD" w:rsidR="0073032A" w:rsidRDefault="00B14403" w:rsidP="0073032A">
      <w:pPr>
        <w:pStyle w:val="SingleTxtG"/>
        <w:kinsoku w:val="0"/>
        <w:overflowPunct w:val="0"/>
        <w:autoSpaceDE w:val="0"/>
        <w:autoSpaceDN w:val="0"/>
        <w:adjustRightInd w:val="0"/>
        <w:snapToGrid w:val="0"/>
      </w:pPr>
      <w:r>
        <w:t>1</w:t>
      </w:r>
      <w:r w:rsidR="001E2D63">
        <w:t>3</w:t>
      </w:r>
      <w:r>
        <w:t>.</w:t>
      </w:r>
      <w:r>
        <w:tab/>
      </w:r>
      <w:r w:rsidR="0073032A">
        <w:t xml:space="preserve">In addition to the previous point, we suggest a consistent use of </w:t>
      </w:r>
      <w:r w:rsidR="0073032A" w:rsidRPr="007E1FA7">
        <w:t>the prefix</w:t>
      </w:r>
      <w:r w:rsidR="0073032A">
        <w:t xml:space="preserve"> “substance” or “mixture” at the beginning of the 1</w:t>
      </w:r>
      <w:r w:rsidR="0073032A" w:rsidRPr="00CB0413">
        <w:rPr>
          <w:vertAlign w:val="superscript"/>
        </w:rPr>
        <w:t>st</w:t>
      </w:r>
      <w:r w:rsidR="0073032A">
        <w:t xml:space="preserve"> decision box in a decision tree, e.g. the word “mixture” has been added at the beginning of the 1</w:t>
      </w:r>
      <w:r w:rsidR="0073032A" w:rsidRPr="00CB0413">
        <w:rPr>
          <w:vertAlign w:val="superscript"/>
        </w:rPr>
        <w:t>st</w:t>
      </w:r>
      <w:r w:rsidR="0073032A">
        <w:t xml:space="preserve"> decision box in decision logic 3.8.2, but not in </w:t>
      </w:r>
      <w:r w:rsidR="00EB5D49">
        <w:t xml:space="preserve">decision logic </w:t>
      </w:r>
      <w:r w:rsidR="0073032A">
        <w:t>3.1.2.</w:t>
      </w:r>
    </w:p>
    <w:p w14:paraId="2A1E34F4" w14:textId="4FEB24D2" w:rsidR="00B14403" w:rsidRDefault="00EF176A" w:rsidP="00B14403">
      <w:pPr>
        <w:pStyle w:val="SingleTxtG"/>
        <w:kinsoku w:val="0"/>
        <w:overflowPunct w:val="0"/>
        <w:autoSpaceDE w:val="0"/>
        <w:autoSpaceDN w:val="0"/>
        <w:adjustRightInd w:val="0"/>
        <w:snapToGrid w:val="0"/>
      </w:pPr>
      <w:r>
        <w:t>14.</w:t>
      </w:r>
      <w:r>
        <w:tab/>
      </w:r>
      <w:r w:rsidR="00B14403">
        <w:t>We also found that in the "classification-terminator" sometimes the wording "Not classified" is used (see for example oxidizing gases) and sometimes "Not classified as …" (see for example flammable gases). We suggest also consistent terminology here and would prefer "Not classified as …" because the substance might still be classified in other hazard classes.</w:t>
      </w:r>
    </w:p>
    <w:p w14:paraId="5074B4D7" w14:textId="3579B244" w:rsidR="00234884" w:rsidRDefault="00234884" w:rsidP="00234884">
      <w:pPr>
        <w:pStyle w:val="SingleTxtG"/>
        <w:kinsoku w:val="0"/>
        <w:overflowPunct w:val="0"/>
        <w:autoSpaceDE w:val="0"/>
        <w:autoSpaceDN w:val="0"/>
        <w:adjustRightInd w:val="0"/>
        <w:snapToGrid w:val="0"/>
      </w:pPr>
      <w:r>
        <w:t>1</w:t>
      </w:r>
      <w:r w:rsidR="00EF176A">
        <w:t>5</w:t>
      </w:r>
      <w:r>
        <w:t>.</w:t>
      </w:r>
      <w:r>
        <w:tab/>
        <w:t xml:space="preserve">In Annex </w:t>
      </w:r>
      <w:r w:rsidR="00106393">
        <w:t>2</w:t>
      </w:r>
      <w:r>
        <w:t>, you can find an example of the design of a decision logic according to our above proposals rega</w:t>
      </w:r>
      <w:r w:rsidR="001E2D63">
        <w:t>r</w:t>
      </w:r>
      <w:r>
        <w:t>ding simplification of layout and consistent use of wording and symbols (paragraphs 4 to 1</w:t>
      </w:r>
      <w:r w:rsidR="001E2D63">
        <w:t>3</w:t>
      </w:r>
      <w:r>
        <w:t>)</w:t>
      </w:r>
      <w:r w:rsidR="001E2D63">
        <w:t xml:space="preserve"> It c</w:t>
      </w:r>
      <w:r>
        <w:t>orrespond</w:t>
      </w:r>
      <w:r w:rsidR="001E2D63">
        <w:t>s</w:t>
      </w:r>
      <w:r>
        <w:t xml:space="preserve"> to the first decision logic given in document </w:t>
      </w:r>
      <w:r w:rsidRPr="001C3663">
        <w:t>ST/SG/AC.10/C.4/2020/3</w:t>
      </w:r>
      <w:r>
        <w:t xml:space="preserve"> (prepared with MS Visio, as requested by the </w:t>
      </w:r>
      <w:r w:rsidR="00ED21C3">
        <w:t>s</w:t>
      </w:r>
      <w:r>
        <w:t>ecretariat).</w:t>
      </w:r>
    </w:p>
    <w:p w14:paraId="394E62B8" w14:textId="6B5AC7B1" w:rsidR="00113712" w:rsidRDefault="00B14403" w:rsidP="00113712">
      <w:pPr>
        <w:pStyle w:val="H1G"/>
      </w:pPr>
      <w:r>
        <w:tab/>
      </w:r>
      <w:r>
        <w:tab/>
      </w:r>
      <w:r w:rsidR="00113712">
        <w:t>M</w:t>
      </w:r>
      <w:r w:rsidR="00113712" w:rsidRPr="00E04E79">
        <w:t xml:space="preserve">ore fundamental issues </w:t>
      </w:r>
      <w:r w:rsidR="00EB5D49">
        <w:t>aiming at</w:t>
      </w:r>
      <w:r w:rsidR="00113712" w:rsidRPr="00E04E79">
        <w:t xml:space="preserve"> consistent structure of the decision logic</w:t>
      </w:r>
      <w:r w:rsidR="00EB5D49">
        <w:t>s</w:t>
      </w:r>
    </w:p>
    <w:p w14:paraId="18192C18" w14:textId="7ECC0CAB" w:rsidR="004F6CB2" w:rsidRDefault="00B14403" w:rsidP="0015677A">
      <w:pPr>
        <w:pStyle w:val="SingleTxtG"/>
        <w:kinsoku w:val="0"/>
        <w:overflowPunct w:val="0"/>
        <w:autoSpaceDE w:val="0"/>
        <w:autoSpaceDN w:val="0"/>
        <w:adjustRightInd w:val="0"/>
        <w:snapToGrid w:val="0"/>
      </w:pPr>
      <w:r>
        <w:t>1</w:t>
      </w:r>
      <w:r w:rsidR="001E2D63">
        <w:t>6</w:t>
      </w:r>
      <w:r>
        <w:t>.</w:t>
      </w:r>
      <w:r>
        <w:tab/>
      </w:r>
      <w:r w:rsidR="004F6CB2">
        <w:t xml:space="preserve">In addition to these rather specific points, we would like to take the opportunity to raise the following </w:t>
      </w:r>
      <w:r w:rsidR="009079AB">
        <w:t xml:space="preserve">general </w:t>
      </w:r>
      <w:r w:rsidR="004F6CB2">
        <w:t>points for future discussion and</w:t>
      </w:r>
      <w:r w:rsidR="009079AB">
        <w:t xml:space="preserve"> </w:t>
      </w:r>
      <w:r w:rsidR="009079AB" w:rsidRPr="007E1FA7">
        <w:t xml:space="preserve">deem </w:t>
      </w:r>
      <w:r w:rsidR="0052612D" w:rsidRPr="007E1FA7">
        <w:t>it useful to develop Guiding principles for the design of decision logics</w:t>
      </w:r>
      <w:r w:rsidR="0052612D">
        <w:t xml:space="preserve"> </w:t>
      </w:r>
      <w:r w:rsidR="004F6CB2">
        <w:t>for the purpose of consistency throughout the different sections of the GHS:</w:t>
      </w:r>
    </w:p>
    <w:p w14:paraId="3C548BE1" w14:textId="750EF2A8" w:rsidR="00F6363A" w:rsidRDefault="00414970" w:rsidP="00797D49">
      <w:pPr>
        <w:pStyle w:val="SingleTxtG"/>
        <w:ind w:left="2268" w:hanging="567"/>
      </w:pPr>
      <w:r>
        <w:t>(a)</w:t>
      </w:r>
      <w:r>
        <w:tab/>
      </w:r>
      <w:r w:rsidR="008C506B">
        <w:t>Strategy of u</w:t>
      </w:r>
      <w:r w:rsidR="00CF4E69">
        <w:t>s</w:t>
      </w:r>
      <w:r w:rsidR="008C506B">
        <w:t>ing</w:t>
      </w:r>
      <w:r w:rsidR="00CF4E69">
        <w:t xml:space="preserve">, </w:t>
      </w:r>
      <w:r w:rsidR="00F6363A">
        <w:t>structur</w:t>
      </w:r>
      <w:r w:rsidR="008C506B">
        <w:t>ing</w:t>
      </w:r>
      <w:r w:rsidR="00F6363A">
        <w:t xml:space="preserve"> and format</w:t>
      </w:r>
      <w:r w:rsidR="00234884">
        <w:t>t</w:t>
      </w:r>
      <w:r w:rsidR="008C506B">
        <w:t>ing</w:t>
      </w:r>
      <w:r w:rsidR="00F6363A">
        <w:t xml:space="preserve"> figure </w:t>
      </w:r>
      <w:r w:rsidR="00F6363A" w:rsidRPr="004822ED">
        <w:t>captions</w:t>
      </w:r>
      <w:r w:rsidR="008C506B">
        <w:t>/heading</w:t>
      </w:r>
      <w:r w:rsidR="00234884">
        <w:t>s</w:t>
      </w:r>
      <w:r w:rsidR="00CF4E69">
        <w:t xml:space="preserve"> and subheadings</w:t>
      </w:r>
      <w:r w:rsidR="00797D49">
        <w:t>;</w:t>
      </w:r>
      <w:r w:rsidR="00D95BAC" w:rsidRPr="004822ED">
        <w:t xml:space="preserve"> </w:t>
      </w:r>
    </w:p>
    <w:p w14:paraId="18516E9F" w14:textId="59801595" w:rsidR="004F6CB2" w:rsidRDefault="00414970" w:rsidP="00797D49">
      <w:pPr>
        <w:pStyle w:val="SingleTxtG"/>
        <w:ind w:left="2268" w:hanging="567"/>
      </w:pPr>
      <w:r>
        <w:t>(b)</w:t>
      </w:r>
      <w:r>
        <w:tab/>
      </w:r>
      <w:r w:rsidR="008C506B">
        <w:t>C</w:t>
      </w:r>
      <w:r w:rsidR="009079AB">
        <w:t>onsistent use of footnotes throughout the document</w:t>
      </w:r>
      <w:r w:rsidR="00797D49">
        <w:t>;</w:t>
      </w:r>
      <w:r w:rsidR="0005632F">
        <w:t xml:space="preserve"> </w:t>
      </w:r>
    </w:p>
    <w:p w14:paraId="081F126F" w14:textId="21C8ED64" w:rsidR="00084774" w:rsidRDefault="00414970" w:rsidP="00797D49">
      <w:pPr>
        <w:pStyle w:val="SingleTxtG"/>
        <w:ind w:left="2268" w:hanging="567"/>
      </w:pPr>
      <w:r>
        <w:t>(c)</w:t>
      </w:r>
      <w:r>
        <w:tab/>
      </w:r>
      <w:r w:rsidR="008C506B">
        <w:t>C</w:t>
      </w:r>
      <w:r w:rsidR="00084774">
        <w:t>onsistent use of decimal digits</w:t>
      </w:r>
      <w:r w:rsidR="00797D49">
        <w:t>;</w:t>
      </w:r>
    </w:p>
    <w:p w14:paraId="0915553B" w14:textId="44001534" w:rsidR="0005632F" w:rsidRDefault="00414970" w:rsidP="00797D49">
      <w:pPr>
        <w:pStyle w:val="SingleTxtG"/>
        <w:ind w:left="2268" w:hanging="567"/>
      </w:pPr>
      <w:r>
        <w:t>(d)</w:t>
      </w:r>
      <w:r>
        <w:tab/>
      </w:r>
      <w:r w:rsidR="008C506B">
        <w:t>Strategy of text formatting, i.e.</w:t>
      </w:r>
      <w:r w:rsidR="0005632F" w:rsidRPr="0005632F">
        <w:t xml:space="preserve"> highlight</w:t>
      </w:r>
      <w:r w:rsidR="008C506B">
        <w:t>ing</w:t>
      </w:r>
      <w:r w:rsidR="0005632F" w:rsidRPr="0005632F">
        <w:t xml:space="preserve"> </w:t>
      </w:r>
      <w:r w:rsidR="0005632F">
        <w:t>subtle, but important,</w:t>
      </w:r>
      <w:r w:rsidR="0005632F" w:rsidRPr="0005632F">
        <w:t xml:space="preserve"> differences in </w:t>
      </w:r>
      <w:r w:rsidR="0005632F">
        <w:t xml:space="preserve">wording, </w:t>
      </w:r>
      <w:r w:rsidR="008C506B">
        <w:t>e.g.</w:t>
      </w:r>
      <w:r w:rsidR="0005632F">
        <w:t xml:space="preserve"> in consecutive decision boxes, </w:t>
      </w:r>
      <w:r w:rsidR="0005632F" w:rsidRPr="0005632F">
        <w:t xml:space="preserve">to aid the readers’ understanding, e.g. bold font for “the additivity approach may </w:t>
      </w:r>
      <w:r w:rsidR="0005632F" w:rsidRPr="00797D49">
        <w:t>not</w:t>
      </w:r>
      <w:r w:rsidR="0005632F" w:rsidRPr="0005632F">
        <w:t xml:space="preserve"> </w:t>
      </w:r>
      <w:r w:rsidR="0005632F" w:rsidRPr="00797D49">
        <w:t>apply</w:t>
      </w:r>
      <w:r w:rsidR="0005632F" w:rsidRPr="0005632F">
        <w:t xml:space="preserve">” vs. </w:t>
      </w:r>
      <w:r w:rsidR="008C506B" w:rsidRPr="0005632F">
        <w:t>“</w:t>
      </w:r>
      <w:r w:rsidR="008C506B">
        <w:t>the</w:t>
      </w:r>
      <w:r w:rsidR="004C2384">
        <w:t xml:space="preserve"> </w:t>
      </w:r>
      <w:r w:rsidR="004C2384" w:rsidRPr="0005632F">
        <w:t xml:space="preserve">additivity approach </w:t>
      </w:r>
      <w:r w:rsidR="0005632F" w:rsidRPr="00797D49">
        <w:t>applies</w:t>
      </w:r>
      <w:r w:rsidR="0005632F" w:rsidRPr="0005632F">
        <w:t>”</w:t>
      </w:r>
      <w:r w:rsidR="00797D49">
        <w:t>;</w:t>
      </w:r>
    </w:p>
    <w:p w14:paraId="6B4A5163" w14:textId="523A38C4" w:rsidR="00CF4E69" w:rsidRPr="00CF4E69" w:rsidRDefault="00414970" w:rsidP="00797D49">
      <w:pPr>
        <w:pStyle w:val="SingleTxtG"/>
        <w:ind w:left="2268" w:hanging="567"/>
      </w:pPr>
      <w:r>
        <w:t>(e)</w:t>
      </w:r>
      <w:r>
        <w:tab/>
      </w:r>
      <w:r w:rsidR="008C506B">
        <w:t>H</w:t>
      </w:r>
      <w:r w:rsidR="00CF4E69" w:rsidRPr="00410440">
        <w:t>ow and when sections</w:t>
      </w:r>
      <w:r w:rsidR="00CF4E69">
        <w:t xml:space="preserve"> of the text body </w:t>
      </w:r>
      <w:r w:rsidR="008C506B">
        <w:t xml:space="preserve">should be referred to </w:t>
      </w:r>
      <w:r w:rsidR="008C506B" w:rsidRPr="00580EEA">
        <w:t>in figures</w:t>
      </w:r>
      <w:r w:rsidR="008C506B">
        <w:t>?</w:t>
      </w:r>
      <w:r w:rsidR="00797D49">
        <w:t>;</w:t>
      </w:r>
    </w:p>
    <w:p w14:paraId="7D693450" w14:textId="01CBB42E" w:rsidR="007C0763" w:rsidRDefault="00414970" w:rsidP="00797D49">
      <w:pPr>
        <w:pStyle w:val="SingleTxtG"/>
        <w:ind w:left="2268" w:hanging="567"/>
      </w:pPr>
      <w:r>
        <w:t>(f)</w:t>
      </w:r>
      <w:r>
        <w:tab/>
      </w:r>
      <w:r w:rsidR="00BA5A58">
        <w:t>I</w:t>
      </w:r>
      <w:r w:rsidR="00C945F6">
        <w:t>mproving</w:t>
      </w:r>
      <w:r w:rsidR="007C0763">
        <w:t xml:space="preserve"> the format </w:t>
      </w:r>
      <w:r w:rsidR="00C945F6">
        <w:t>of</w:t>
      </w:r>
      <w:r w:rsidR="007C0763">
        <w:t xml:space="preserve"> input from another decision logic</w:t>
      </w:r>
      <w:r w:rsidR="002F1D5D">
        <w:t xml:space="preserve"> by using </w:t>
      </w:r>
      <w:r w:rsidR="001B17E7">
        <w:t xml:space="preserve">systematic symbols for </w:t>
      </w:r>
      <w:r w:rsidR="002F1D5D" w:rsidRPr="00522883">
        <w:t>connector</w:t>
      </w:r>
      <w:r w:rsidR="001B17E7">
        <w:t>s (see example “off-page connector</w:t>
      </w:r>
      <w:r w:rsidR="008203A6">
        <w:t>”</w:t>
      </w:r>
      <w:r w:rsidR="001B17E7">
        <w:t xml:space="preserve"> </w:t>
      </w:r>
      <w:r w:rsidR="002F1D5D">
        <w:t>in the table in paragraph 6 of this document</w:t>
      </w:r>
      <w:r w:rsidR="001B17E7">
        <w:t>)</w:t>
      </w:r>
      <w:r w:rsidR="008203A6">
        <w:t>;</w:t>
      </w:r>
      <w:r w:rsidR="007C0763">
        <w:t xml:space="preserve"> </w:t>
      </w:r>
      <w:r w:rsidR="005338FF">
        <w:t xml:space="preserve">this </w:t>
      </w:r>
      <w:r w:rsidR="001B17E7">
        <w:t>applies e.g. to</w:t>
      </w:r>
      <w:r w:rsidR="002F1D5D">
        <w:t xml:space="preserve"> </w:t>
      </w:r>
      <w:r w:rsidR="007C0763">
        <w:t>decision logic 4.1.1 on mixtures</w:t>
      </w:r>
      <w:r w:rsidR="008203A6">
        <w:t xml:space="preserve"> for</w:t>
      </w:r>
      <w:r w:rsidR="007C0763">
        <w:t xml:space="preserve"> the arrow introducing and referring to contents of the “Values for mixtures from decision logic 4.1.2”</w:t>
      </w:r>
      <w:r w:rsidR="00A228F3">
        <w:t xml:space="preserve">, </w:t>
      </w:r>
      <w:r w:rsidR="008203A6">
        <w:t xml:space="preserve">which could be supported by </w:t>
      </w:r>
      <w:r w:rsidR="001B17E7">
        <w:t>a connector symbol.</w:t>
      </w:r>
    </w:p>
    <w:p w14:paraId="102B775F" w14:textId="51956ED7" w:rsidR="003763A4" w:rsidRDefault="00B14403" w:rsidP="0015677A">
      <w:pPr>
        <w:pStyle w:val="SingleTxtG"/>
        <w:kinsoku w:val="0"/>
        <w:overflowPunct w:val="0"/>
        <w:autoSpaceDE w:val="0"/>
        <w:autoSpaceDN w:val="0"/>
        <w:adjustRightInd w:val="0"/>
        <w:snapToGrid w:val="0"/>
      </w:pPr>
      <w:r>
        <w:t>1</w:t>
      </w:r>
      <w:r w:rsidR="001E2D63">
        <w:t>7</w:t>
      </w:r>
      <w:r>
        <w:t>.</w:t>
      </w:r>
      <w:r>
        <w:tab/>
      </w:r>
      <w:r w:rsidR="003763A4">
        <w:t>Moreover, we identified in certain decision logics that the message was not quite clear with respect to the way decisions should be taken. For ex</w:t>
      </w:r>
      <w:r w:rsidR="00ED21C3">
        <w:t>a</w:t>
      </w:r>
      <w:r w:rsidR="003763A4">
        <w:t>mple</w:t>
      </w:r>
      <w:r w:rsidR="00ED21C3">
        <w:t>,</w:t>
      </w:r>
      <w:r w:rsidR="003763A4">
        <w:t xml:space="preserve"> the answering option “No” from box 2 to box 3 does not seem to be an ideal option with regards to the questions asked and the information flow in d</w:t>
      </w:r>
      <w:r w:rsidR="00342D20">
        <w:t xml:space="preserve">ecision logic 3.8.2 and 3.9.2. </w:t>
      </w:r>
      <w:r w:rsidR="003763A4">
        <w:t xml:space="preserve">On that background a future update might improve certain decision logics. We would propose to take that into account for further work on the chapters. </w:t>
      </w:r>
    </w:p>
    <w:p w14:paraId="56A92852" w14:textId="20E65354" w:rsidR="00981D79" w:rsidRDefault="00981D79" w:rsidP="00981D79">
      <w:pPr>
        <w:pStyle w:val="H1G"/>
      </w:pPr>
      <w:r>
        <w:lastRenderedPageBreak/>
        <w:tab/>
      </w:r>
      <w:r>
        <w:tab/>
        <w:t>Request to the Sub-Committee</w:t>
      </w:r>
    </w:p>
    <w:p w14:paraId="6848689F" w14:textId="19AE06AB" w:rsidR="004768CC" w:rsidRDefault="00B14403" w:rsidP="00981D79">
      <w:pPr>
        <w:pStyle w:val="SingleTxtG"/>
        <w:kinsoku w:val="0"/>
        <w:overflowPunct w:val="0"/>
        <w:autoSpaceDE w:val="0"/>
        <w:autoSpaceDN w:val="0"/>
        <w:adjustRightInd w:val="0"/>
        <w:snapToGrid w:val="0"/>
      </w:pPr>
      <w:r>
        <w:t>1</w:t>
      </w:r>
      <w:r w:rsidR="001E2D63">
        <w:t>8</w:t>
      </w:r>
      <w:r>
        <w:t>.</w:t>
      </w:r>
      <w:r>
        <w:tab/>
      </w:r>
      <w:r w:rsidR="00981D79">
        <w:t xml:space="preserve">The Sub-Committee is invited to consider the specific proposals for corrections and improvement of the decision logics </w:t>
      </w:r>
      <w:r w:rsidR="000733F5">
        <w:t xml:space="preserve">as described above </w:t>
      </w:r>
      <w:r w:rsidR="009960AE">
        <w:t xml:space="preserve">in paragraphs 3 to 15 </w:t>
      </w:r>
      <w:r w:rsidR="000733F5">
        <w:t xml:space="preserve">and shown in Annex 1 and 2 </w:t>
      </w:r>
      <w:r w:rsidR="00981D79">
        <w:t>and to consider the general issues as raised in paragraphs 1</w:t>
      </w:r>
      <w:r w:rsidR="009960AE">
        <w:t>6</w:t>
      </w:r>
      <w:r w:rsidR="00981D79">
        <w:t xml:space="preserve"> to 1</w:t>
      </w:r>
      <w:r w:rsidR="009960AE">
        <w:t>7</w:t>
      </w:r>
      <w:r w:rsidR="00981D79">
        <w:t>.</w:t>
      </w:r>
    </w:p>
    <w:p w14:paraId="6108367F" w14:textId="77777777" w:rsidR="00414970" w:rsidRDefault="00414970">
      <w:pPr>
        <w:suppressAutoHyphens w:val="0"/>
        <w:spacing w:line="240" w:lineRule="auto"/>
        <w:rPr>
          <w:b/>
          <w:sz w:val="28"/>
        </w:rPr>
      </w:pPr>
      <w:r>
        <w:br w:type="page"/>
      </w:r>
    </w:p>
    <w:p w14:paraId="7CB824A7" w14:textId="12FFCC9E" w:rsidR="00414970" w:rsidRDefault="00797D49" w:rsidP="00414970">
      <w:pPr>
        <w:pStyle w:val="HChG"/>
      </w:pPr>
      <w:r>
        <w:lastRenderedPageBreak/>
        <w:tab/>
      </w:r>
      <w:r>
        <w:tab/>
      </w:r>
      <w:r w:rsidR="0033144A">
        <w:t>An</w:t>
      </w:r>
      <w:r w:rsidR="00414970">
        <w:t>n</w:t>
      </w:r>
      <w:r w:rsidR="0033144A">
        <w:t xml:space="preserve">ex </w:t>
      </w:r>
      <w:r w:rsidR="00F83795">
        <w:t>I</w:t>
      </w:r>
    </w:p>
    <w:p w14:paraId="701ED0EF" w14:textId="03367270" w:rsidR="0033144A" w:rsidRDefault="00414970" w:rsidP="00414970">
      <w:pPr>
        <w:pStyle w:val="H1G"/>
        <w:keepNext w:val="0"/>
        <w:keepLines w:val="0"/>
      </w:pPr>
      <w:r>
        <w:tab/>
      </w:r>
      <w:r>
        <w:tab/>
      </w:r>
      <w:r w:rsidR="0033144A">
        <w:t>E</w:t>
      </w:r>
      <w:r w:rsidR="0033144A" w:rsidRPr="00E04E79">
        <w:t>rrors accidently introduced in the course of the transfer to the new software</w:t>
      </w:r>
    </w:p>
    <w:p w14:paraId="63EE09B2" w14:textId="09006B3E" w:rsidR="00981D79" w:rsidRDefault="000B008D" w:rsidP="00414970">
      <w:pPr>
        <w:pStyle w:val="SingleTxtG"/>
      </w:pPr>
      <w:r>
        <w:tab/>
      </w:r>
      <w:r w:rsidR="00981D79">
        <w:t xml:space="preserve">This Annex outlines and specifies the transfer errors identified in the health hazards and the environmental hazards section between the original version, the most recent published version of the GHS, and the work provided in document </w:t>
      </w:r>
      <w:r w:rsidR="00981D79" w:rsidRPr="00EF6381">
        <w:t>ST/SG/AC.10/C.4/2020/</w:t>
      </w:r>
      <w:r w:rsidR="00981D79">
        <w:t xml:space="preserve">3. </w:t>
      </w:r>
    </w:p>
    <w:p w14:paraId="3DF6EA26" w14:textId="77777777" w:rsidR="00981D79" w:rsidRDefault="00981D79" w:rsidP="00414970">
      <w:pPr>
        <w:pStyle w:val="SingleTxtG"/>
      </w:pPr>
      <w:r>
        <w:t>We illustrate the individual transfer errors with screenshots of the respective decision trees concerned highlighting the potential error to facilitate the review and correction process of those.</w:t>
      </w:r>
    </w:p>
    <w:p w14:paraId="62496FEF" w14:textId="43D4F277" w:rsidR="00981D79" w:rsidRDefault="0033144A" w:rsidP="00414970">
      <w:pPr>
        <w:pStyle w:val="SingleTxtG"/>
        <w:kinsoku w:val="0"/>
        <w:overflowPunct w:val="0"/>
        <w:autoSpaceDE w:val="0"/>
        <w:autoSpaceDN w:val="0"/>
        <w:adjustRightInd w:val="0"/>
        <w:snapToGrid w:val="0"/>
      </w:pPr>
      <w:r>
        <w:t>1.</w:t>
      </w:r>
      <w:r>
        <w:tab/>
      </w:r>
      <w:r w:rsidR="00981D79">
        <w:t>Decision logic 3.1.2</w:t>
      </w:r>
    </w:p>
    <w:p w14:paraId="3657FC2A" w14:textId="7C7440ED" w:rsidR="00981D79" w:rsidRDefault="00414970" w:rsidP="00797D49">
      <w:pPr>
        <w:pStyle w:val="SingleTxtG"/>
        <w:ind w:left="2268" w:hanging="567"/>
      </w:pPr>
      <w:r>
        <w:t>(a)</w:t>
      </w:r>
      <w:r>
        <w:tab/>
      </w:r>
      <w:r w:rsidR="00981D79">
        <w:t>In the ATE calculation box as outlined in the screenshot below, we recommend to move the word “where” to its previous position like in the original version, the most recent published version of the GHS, i.e. after the formula introducing the variables. Subsequently the comma has to be removed. This has been transferred correctly in other decision trees containing formulas, such as decision logic 4.1.2.</w:t>
      </w:r>
    </w:p>
    <w:p w14:paraId="6871B704" w14:textId="12EBC115" w:rsidR="00981D79" w:rsidRDefault="00414970" w:rsidP="00797D49">
      <w:pPr>
        <w:pStyle w:val="SingleTxtG"/>
        <w:ind w:left="2268" w:hanging="567"/>
      </w:pPr>
      <w:r>
        <w:t>(b)</w:t>
      </w:r>
      <w:r>
        <w:tab/>
      </w:r>
      <w:r w:rsidR="00981D79">
        <w:t>In addition, it would look clearer, if the “=” equal signs would be aligned.</w:t>
      </w:r>
    </w:p>
    <w:p w14:paraId="6D86F389" w14:textId="77777777" w:rsidR="00981D79" w:rsidRDefault="00981D79" w:rsidP="00414970">
      <w:pPr>
        <w:pStyle w:val="SingleTxtG"/>
        <w:rPr>
          <w:u w:val="single"/>
        </w:rPr>
      </w:pPr>
      <w:r>
        <w:rPr>
          <w:noProof/>
          <w:lang w:val="de-DE" w:eastAsia="de-DE"/>
        </w:rPr>
        <w:drawing>
          <wp:inline distT="0" distB="0" distL="0" distR="0" wp14:anchorId="670DB956" wp14:editId="300F855D">
            <wp:extent cx="4531158" cy="3387090"/>
            <wp:effectExtent l="0" t="0" r="3175"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45685" cy="3397949"/>
                    </a:xfrm>
                    <a:prstGeom prst="rect">
                      <a:avLst/>
                    </a:prstGeom>
                  </pic:spPr>
                </pic:pic>
              </a:graphicData>
            </a:graphic>
          </wp:inline>
        </w:drawing>
      </w:r>
    </w:p>
    <w:p w14:paraId="5AE8F91B" w14:textId="77777777" w:rsidR="00981D79" w:rsidRDefault="00981D79" w:rsidP="00414970">
      <w:pPr>
        <w:suppressAutoHyphens w:val="0"/>
        <w:spacing w:line="240" w:lineRule="auto"/>
      </w:pPr>
      <w:r>
        <w:br w:type="page"/>
      </w:r>
    </w:p>
    <w:p w14:paraId="36A96956" w14:textId="1509632A" w:rsidR="00981D79" w:rsidRDefault="00106393" w:rsidP="00414970">
      <w:pPr>
        <w:pStyle w:val="SingleTxtG"/>
        <w:kinsoku w:val="0"/>
        <w:overflowPunct w:val="0"/>
        <w:autoSpaceDE w:val="0"/>
        <w:autoSpaceDN w:val="0"/>
        <w:adjustRightInd w:val="0"/>
        <w:snapToGrid w:val="0"/>
      </w:pPr>
      <w:r>
        <w:lastRenderedPageBreak/>
        <w:t>2.</w:t>
      </w:r>
      <w:r>
        <w:tab/>
      </w:r>
      <w:r w:rsidR="00981D79" w:rsidRPr="0013131C">
        <w:t>Decision logic 3.4.1</w:t>
      </w:r>
      <w:r w:rsidR="00981D79">
        <w:t xml:space="preserve"> and d</w:t>
      </w:r>
      <w:r w:rsidR="00981D79" w:rsidRPr="0013131C">
        <w:t>ecision logic 3.4.</w:t>
      </w:r>
      <w:r w:rsidR="00981D79">
        <w:t>2</w:t>
      </w:r>
    </w:p>
    <w:p w14:paraId="1C3ACAA2" w14:textId="77777777" w:rsidR="00981D79" w:rsidRDefault="00981D79" w:rsidP="00F83795">
      <w:pPr>
        <w:pStyle w:val="SingleTxtG"/>
        <w:spacing w:after="240"/>
        <w:ind w:left="1701"/>
      </w:pPr>
      <w:r>
        <w:t>We recommend to amend the last decision box in accordance with the original documents wording and add a “≥” prior to the indicated concertation as outlined in the screenshot below. Those are missing in the current version of the decision tree compared to the most recent published version of the GHS.</w:t>
      </w:r>
    </w:p>
    <w:p w14:paraId="3B8D1896" w14:textId="77777777" w:rsidR="00981D79" w:rsidRDefault="00981D79" w:rsidP="00414970">
      <w:pPr>
        <w:pStyle w:val="SingleTxtG"/>
        <w:ind w:left="1854"/>
      </w:pPr>
      <w:r>
        <w:rPr>
          <w:noProof/>
          <w:lang w:val="de-DE" w:eastAsia="de-DE"/>
        </w:rPr>
        <w:drawing>
          <wp:inline distT="0" distB="0" distL="0" distR="0" wp14:anchorId="5956EFD7" wp14:editId="773BF799">
            <wp:extent cx="3583934" cy="3808675"/>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13222" cy="3839800"/>
                    </a:xfrm>
                    <a:prstGeom prst="rect">
                      <a:avLst/>
                    </a:prstGeom>
                  </pic:spPr>
                </pic:pic>
              </a:graphicData>
            </a:graphic>
          </wp:inline>
        </w:drawing>
      </w:r>
    </w:p>
    <w:p w14:paraId="2EF4FE8C" w14:textId="77777777" w:rsidR="00981D79" w:rsidRPr="007867BF" w:rsidRDefault="00981D79" w:rsidP="00414970"/>
    <w:p w14:paraId="07D6025A" w14:textId="77777777" w:rsidR="00981D79" w:rsidRDefault="00981D79" w:rsidP="00414970">
      <w:pPr>
        <w:tabs>
          <w:tab w:val="left" w:pos="2454"/>
        </w:tabs>
        <w:jc w:val="center"/>
      </w:pPr>
      <w:r>
        <w:rPr>
          <w:noProof/>
          <w:lang w:val="de-DE" w:eastAsia="de-DE"/>
        </w:rPr>
        <w:drawing>
          <wp:inline distT="0" distB="0" distL="0" distR="0" wp14:anchorId="5296A962" wp14:editId="78ECF7BB">
            <wp:extent cx="3329257" cy="3283889"/>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344561" cy="3298984"/>
                    </a:xfrm>
                    <a:prstGeom prst="rect">
                      <a:avLst/>
                    </a:prstGeom>
                  </pic:spPr>
                </pic:pic>
              </a:graphicData>
            </a:graphic>
          </wp:inline>
        </w:drawing>
      </w:r>
    </w:p>
    <w:p w14:paraId="79CE3BF3" w14:textId="77777777" w:rsidR="00981D79" w:rsidRDefault="00981D79" w:rsidP="00414970">
      <w:pPr>
        <w:suppressAutoHyphens w:val="0"/>
        <w:spacing w:line="240" w:lineRule="auto"/>
        <w:rPr>
          <w:rFonts w:ascii="Calibri" w:eastAsiaTheme="minorHAnsi" w:hAnsi="Calibri" w:cs="Calibri"/>
          <w:sz w:val="22"/>
          <w:szCs w:val="22"/>
        </w:rPr>
      </w:pPr>
      <w:r>
        <w:br w:type="page"/>
      </w:r>
    </w:p>
    <w:p w14:paraId="77DEC732" w14:textId="601A19B4" w:rsidR="00981D79" w:rsidRDefault="00106393" w:rsidP="00414970">
      <w:pPr>
        <w:pStyle w:val="SingleTxtG"/>
        <w:kinsoku w:val="0"/>
        <w:overflowPunct w:val="0"/>
        <w:autoSpaceDE w:val="0"/>
        <w:autoSpaceDN w:val="0"/>
        <w:adjustRightInd w:val="0"/>
        <w:snapToGrid w:val="0"/>
      </w:pPr>
      <w:r>
        <w:lastRenderedPageBreak/>
        <w:t>3.</w:t>
      </w:r>
      <w:r>
        <w:tab/>
      </w:r>
      <w:r w:rsidR="00981D79" w:rsidRPr="0028667C">
        <w:t>Decision logic 3.8.2</w:t>
      </w:r>
    </w:p>
    <w:p w14:paraId="388CB4FD" w14:textId="77777777" w:rsidR="00981D79" w:rsidRDefault="00981D79" w:rsidP="00F83795">
      <w:pPr>
        <w:pStyle w:val="SingleTxtG"/>
        <w:ind w:left="1701"/>
      </w:pPr>
      <w:r>
        <w:t>We would recommend to delete the dot “.” following the question mark in the last decision box.</w:t>
      </w:r>
    </w:p>
    <w:p w14:paraId="09081013" w14:textId="77777777" w:rsidR="00981D79" w:rsidRDefault="00981D79" w:rsidP="00414970">
      <w:pPr>
        <w:pStyle w:val="CommentText"/>
        <w:ind w:left="1854"/>
      </w:pPr>
      <w:r>
        <w:rPr>
          <w:noProof/>
          <w:lang w:val="de-DE" w:eastAsia="de-DE"/>
        </w:rPr>
        <w:drawing>
          <wp:inline distT="0" distB="0" distL="0" distR="0" wp14:anchorId="35E8A6B0" wp14:editId="394F7B30">
            <wp:extent cx="4200020" cy="399155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12209" cy="4003139"/>
                    </a:xfrm>
                    <a:prstGeom prst="rect">
                      <a:avLst/>
                    </a:prstGeom>
                  </pic:spPr>
                </pic:pic>
              </a:graphicData>
            </a:graphic>
          </wp:inline>
        </w:drawing>
      </w:r>
    </w:p>
    <w:p w14:paraId="155D6B4B" w14:textId="4C7987A0" w:rsidR="00981D79" w:rsidRDefault="00106393" w:rsidP="00414970">
      <w:pPr>
        <w:pStyle w:val="SingleTxtG"/>
        <w:kinsoku w:val="0"/>
        <w:overflowPunct w:val="0"/>
        <w:autoSpaceDE w:val="0"/>
        <w:autoSpaceDN w:val="0"/>
        <w:adjustRightInd w:val="0"/>
        <w:snapToGrid w:val="0"/>
      </w:pPr>
      <w:r>
        <w:t>4.</w:t>
      </w:r>
      <w:r>
        <w:tab/>
      </w:r>
      <w:r w:rsidR="00981D79" w:rsidRPr="0028667C">
        <w:t xml:space="preserve">Decision logic </w:t>
      </w:r>
      <w:r w:rsidR="00981D79">
        <w:t>4.1.1 [mixture]</w:t>
      </w:r>
    </w:p>
    <w:p w14:paraId="13710247" w14:textId="77777777" w:rsidR="00981D79" w:rsidRDefault="00981D79" w:rsidP="00F83795">
      <w:pPr>
        <w:pStyle w:val="SingleTxtG"/>
        <w:ind w:left="1701"/>
      </w:pPr>
      <w:r w:rsidRPr="005B5DB6">
        <w:t>We recommend to amend the answering label “No”</w:t>
      </w:r>
      <w:r>
        <w:t xml:space="preserve"> </w:t>
      </w:r>
      <w:r w:rsidRPr="005B5DB6">
        <w:t>resulting in Acute aqu</w:t>
      </w:r>
      <w:r>
        <w:t xml:space="preserve">atic </w:t>
      </w:r>
      <w:r w:rsidRPr="005B5DB6">
        <w:t>tox</w:t>
      </w:r>
      <w:r>
        <w:t xml:space="preserve">icity </w:t>
      </w:r>
      <w:r w:rsidRPr="005B5DB6">
        <w:t>Cat.1 to “Yes” based on the original document.</w:t>
      </w:r>
    </w:p>
    <w:p w14:paraId="1D5F2B52" w14:textId="77777777" w:rsidR="00981D79" w:rsidRPr="00FC1CBF" w:rsidRDefault="00981D79" w:rsidP="00414970">
      <w:pPr>
        <w:pStyle w:val="ListParagraph"/>
        <w:tabs>
          <w:tab w:val="left" w:pos="1139"/>
        </w:tabs>
        <w:ind w:left="1854"/>
        <w:rPr>
          <w:rFonts w:ascii="Times New Roman" w:hAnsi="Times New Roman" w:cs="Times New Roman"/>
          <w:sz w:val="20"/>
          <w:szCs w:val="20"/>
        </w:rPr>
      </w:pPr>
      <w:r>
        <w:rPr>
          <w:noProof/>
          <w:lang w:val="de-DE" w:eastAsia="de-DE"/>
        </w:rPr>
        <w:drawing>
          <wp:inline distT="0" distB="0" distL="0" distR="0" wp14:anchorId="3935C4B1" wp14:editId="5EC7957D">
            <wp:extent cx="3878856" cy="3586631"/>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893415" cy="3600093"/>
                    </a:xfrm>
                    <a:prstGeom prst="rect">
                      <a:avLst/>
                    </a:prstGeom>
                  </pic:spPr>
                </pic:pic>
              </a:graphicData>
            </a:graphic>
          </wp:inline>
        </w:drawing>
      </w:r>
    </w:p>
    <w:p w14:paraId="44ED53A9" w14:textId="317DBD09" w:rsidR="00F83795" w:rsidRDefault="00797D49" w:rsidP="00F83795">
      <w:pPr>
        <w:pStyle w:val="HChG"/>
      </w:pPr>
      <w:r>
        <w:lastRenderedPageBreak/>
        <w:tab/>
      </w:r>
      <w:r>
        <w:tab/>
      </w:r>
      <w:r w:rsidR="00106393">
        <w:t xml:space="preserve">Annex </w:t>
      </w:r>
      <w:r w:rsidR="00F83795">
        <w:t>II</w:t>
      </w:r>
    </w:p>
    <w:p w14:paraId="020DB182" w14:textId="639B7AD7" w:rsidR="00106393" w:rsidRDefault="00F83795" w:rsidP="00414970">
      <w:pPr>
        <w:pStyle w:val="H1G"/>
        <w:keepNext w:val="0"/>
        <w:keepLines w:val="0"/>
      </w:pPr>
      <w:r>
        <w:tab/>
      </w:r>
      <w:r>
        <w:tab/>
      </w:r>
      <w:r w:rsidR="00106393">
        <w:t>Simplification and consistency of decision logics</w:t>
      </w:r>
    </w:p>
    <w:p w14:paraId="19CC2E9F" w14:textId="7FF6158C" w:rsidR="00106393" w:rsidRDefault="005D6230" w:rsidP="00414970">
      <w:pPr>
        <w:pStyle w:val="SingleTxtG"/>
      </w:pPr>
      <w:r>
        <w:tab/>
      </w:r>
      <w:r w:rsidR="00106393">
        <w:t>In the following</w:t>
      </w:r>
      <w:r w:rsidR="001E2D63">
        <w:t>,</w:t>
      </w:r>
      <w:r w:rsidR="00106393">
        <w:t xml:space="preserve"> an example of the design of a decision logic according to our above proposals regarding simplification of layout and consistent use of wording and symbols is shown</w:t>
      </w:r>
      <w:r>
        <w:t xml:space="preserve">. It corresponds </w:t>
      </w:r>
      <w:r w:rsidR="00106393">
        <w:t xml:space="preserve">to the first decision logic given in document </w:t>
      </w:r>
      <w:r w:rsidR="00106393" w:rsidRPr="001C3663">
        <w:t>ST/SG/AC.10/C.4/2020/3</w:t>
      </w:r>
      <w:r w:rsidR="00106393">
        <w:t xml:space="preserve"> (prepared with MS Visio, as requested by the </w:t>
      </w:r>
      <w:r w:rsidR="00ED21C3">
        <w:t>s</w:t>
      </w:r>
      <w:r w:rsidR="00106393">
        <w:t>ecretariat).</w:t>
      </w:r>
    </w:p>
    <w:p w14:paraId="54883965" w14:textId="35E2CBCB" w:rsidR="000B008D" w:rsidRDefault="00EB5D49" w:rsidP="00414970">
      <w:pPr>
        <w:pStyle w:val="H1G"/>
        <w:keepNext w:val="0"/>
        <w:keepLines w:val="0"/>
      </w:pPr>
      <w:r>
        <w:tab/>
      </w:r>
      <w:r>
        <w:tab/>
      </w:r>
      <w:r w:rsidR="000B008D">
        <w:t>Chapter 2.2: Flammable gases</w:t>
      </w:r>
    </w:p>
    <w:p w14:paraId="090EB38F" w14:textId="6E4C7B59" w:rsidR="000B008D" w:rsidRPr="00BC2FF2" w:rsidRDefault="000B008D" w:rsidP="00414970">
      <w:pPr>
        <w:pStyle w:val="H23G"/>
        <w:keepNext w:val="0"/>
        <w:keepLines w:val="0"/>
        <w:spacing w:after="240"/>
        <w:rPr>
          <w:i/>
          <w:iCs/>
        </w:rPr>
      </w:pPr>
      <w:r>
        <w:tab/>
      </w:r>
      <w:r>
        <w:tab/>
      </w:r>
      <w:r w:rsidRPr="00BC2FF2">
        <w:rPr>
          <w:i/>
          <w:iCs/>
        </w:rPr>
        <w:t>Decision logic 2.2</w:t>
      </w:r>
      <w:r w:rsidR="00BC2FF2" w:rsidRPr="00BC2FF2">
        <w:rPr>
          <w:i/>
          <w:iCs/>
        </w:rPr>
        <w:t xml:space="preserve"> </w:t>
      </w:r>
      <w:r w:rsidR="00BC2FF2" w:rsidRPr="000F6040">
        <w:rPr>
          <w:i/>
          <w:iCs/>
          <w:u w:val="single"/>
        </w:rPr>
        <w:t>for flammable gases, part 1</w:t>
      </w:r>
    </w:p>
    <w:p w14:paraId="4A843A03" w14:textId="2B75F072" w:rsidR="00FF014B" w:rsidRDefault="00BC2FF2" w:rsidP="00414970">
      <w:pPr>
        <w:pStyle w:val="SingleTxtG"/>
        <w:jc w:val="center"/>
        <w:rPr>
          <w:u w:val="single"/>
        </w:rPr>
      </w:pPr>
      <w:r>
        <w:object w:dxaOrig="9727" w:dyaOrig="11534" w14:anchorId="414880B0">
          <v:shape id="_x0000_i1030" type="#_x0000_t75" style="width:368.05pt;height:463.7pt" o:ole="">
            <v:imagedata r:id="rId26" o:title="" cropleft="3820f"/>
          </v:shape>
          <o:OLEObject Type="Embed" ProgID="Visio.Drawing.15" ShapeID="_x0000_i1030" DrawAspect="Content" ObjectID="_1653374183" r:id="rId27"/>
        </w:object>
      </w:r>
    </w:p>
    <w:p w14:paraId="7FBCDBE1" w14:textId="42381A24" w:rsidR="00EF6381" w:rsidRDefault="00EF6381" w:rsidP="001E2D63">
      <w:pPr>
        <w:pStyle w:val="SingleTxtG"/>
        <w:jc w:val="center"/>
        <w:rPr>
          <w:u w:val="single"/>
        </w:rPr>
      </w:pPr>
      <w:r>
        <w:rPr>
          <w:u w:val="single"/>
        </w:rPr>
        <w:tab/>
      </w:r>
      <w:r w:rsidR="001E2D63">
        <w:rPr>
          <w:u w:val="single"/>
        </w:rPr>
        <w:tab/>
      </w:r>
      <w:r w:rsidR="00FF014B">
        <w:rPr>
          <w:u w:val="single"/>
        </w:rPr>
        <w:tab/>
      </w:r>
      <w:r>
        <w:rPr>
          <w:u w:val="single"/>
        </w:rPr>
        <w:tab/>
      </w:r>
    </w:p>
    <w:sectPr w:rsidR="00EF6381" w:rsidSect="00FF014B">
      <w:headerReference w:type="even" r:id="rId28"/>
      <w:headerReference w:type="default" r:id="rId29"/>
      <w:footerReference w:type="even" r:id="rId30"/>
      <w:footerReference w:type="default" r:id="rId31"/>
      <w:headerReference w:type="first" r:id="rId32"/>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41987" w14:textId="77777777" w:rsidR="00E362FE" w:rsidRDefault="00E362FE" w:rsidP="00760F29">
      <w:pPr>
        <w:spacing w:line="240" w:lineRule="auto"/>
      </w:pPr>
      <w:r>
        <w:separator/>
      </w:r>
    </w:p>
  </w:endnote>
  <w:endnote w:type="continuationSeparator" w:id="0">
    <w:p w14:paraId="3541F1E4" w14:textId="77777777" w:rsidR="00E362FE" w:rsidRDefault="00E362FE"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841143"/>
      <w:docPartObj>
        <w:docPartGallery w:val="Page Numbers (Bottom of Page)"/>
        <w:docPartUnique/>
      </w:docPartObj>
    </w:sdtPr>
    <w:sdtEndPr>
      <w:rPr>
        <w:b/>
        <w:noProof/>
        <w:sz w:val="18"/>
      </w:rPr>
    </w:sdtEndPr>
    <w:sdtContent>
      <w:p w14:paraId="71999A95" w14:textId="1247B1F7" w:rsidR="00430A54" w:rsidRPr="00836133" w:rsidRDefault="00C83965" w:rsidP="00836133">
        <w:pPr>
          <w:pStyle w:val="Footer"/>
          <w:tabs>
            <w:tab w:val="right" w:pos="9638"/>
          </w:tabs>
        </w:pPr>
        <w:r w:rsidRPr="0095385C">
          <w:rPr>
            <w:b/>
            <w:sz w:val="18"/>
          </w:rPr>
          <w:fldChar w:fldCharType="begin"/>
        </w:r>
        <w:r w:rsidRPr="0095385C">
          <w:rPr>
            <w:b/>
            <w:sz w:val="18"/>
          </w:rPr>
          <w:instrText xml:space="preserve"> PAGE  \* MERGEFORMAT </w:instrText>
        </w:r>
        <w:r w:rsidRPr="0095385C">
          <w:rPr>
            <w:b/>
            <w:sz w:val="18"/>
          </w:rPr>
          <w:fldChar w:fldCharType="separate"/>
        </w:r>
        <w:r w:rsidR="005338FF">
          <w:rPr>
            <w:b/>
            <w:noProof/>
            <w:sz w:val="18"/>
          </w:rPr>
          <w:t>6</w:t>
        </w:r>
        <w:r w:rsidRPr="0095385C">
          <w:rPr>
            <w:b/>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527124"/>
      <w:docPartObj>
        <w:docPartGallery w:val="Page Numbers (Bottom of Page)"/>
        <w:docPartUnique/>
      </w:docPartObj>
    </w:sdtPr>
    <w:sdtEndPr>
      <w:rPr>
        <w:b/>
        <w:noProof/>
        <w:sz w:val="18"/>
      </w:rPr>
    </w:sdtEndPr>
    <w:sdtContent>
      <w:p w14:paraId="3054A36D" w14:textId="2F0B59DF" w:rsidR="00430A54" w:rsidRPr="00AA3D2B" w:rsidRDefault="00430A54">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5338FF">
          <w:rPr>
            <w:b/>
            <w:noProof/>
            <w:sz w:val="18"/>
          </w:rPr>
          <w:t>3</w:t>
        </w:r>
        <w:r w:rsidRPr="00AA3D2B">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A811F" w14:textId="77777777" w:rsidR="00E362FE" w:rsidRDefault="00E362FE" w:rsidP="00760F29">
      <w:pPr>
        <w:spacing w:line="240" w:lineRule="auto"/>
      </w:pPr>
      <w:r>
        <w:separator/>
      </w:r>
    </w:p>
  </w:footnote>
  <w:footnote w:type="continuationSeparator" w:id="0">
    <w:p w14:paraId="027F9432" w14:textId="77777777" w:rsidR="00E362FE" w:rsidRDefault="00E362FE" w:rsidP="00760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F824A" w14:textId="2F08E1FF" w:rsidR="00C83965" w:rsidRPr="0095385C" w:rsidRDefault="00836133" w:rsidP="00C83965">
    <w:pPr>
      <w:pStyle w:val="Header"/>
    </w:pPr>
    <w:bookmarkStart w:id="4" w:name="_Hlk42246861"/>
    <w:r w:rsidRPr="00836133">
      <w:t>UN/SCEGHS/39/INF.</w:t>
    </w:r>
    <w:r w:rsidR="00414970">
      <w:t>6</w:t>
    </w:r>
  </w:p>
  <w:bookmarkEnd w:i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052D" w14:textId="15B96A6A" w:rsidR="000B008D" w:rsidRPr="0095385C" w:rsidRDefault="000B008D" w:rsidP="000B008D">
    <w:pPr>
      <w:pStyle w:val="Header"/>
      <w:jc w:val="right"/>
    </w:pPr>
    <w:r w:rsidRPr="00836133">
      <w:t>UN/SCEGHS/39/INF.</w:t>
    </w:r>
    <w:r w:rsidR="00414970">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F59E" w14:textId="77777777" w:rsidR="00C83965" w:rsidRPr="00C83965" w:rsidRDefault="00C83965" w:rsidP="00C8396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F631FB"/>
    <w:multiLevelType w:val="multilevel"/>
    <w:tmpl w:val="5FD60F10"/>
    <w:lvl w:ilvl="0">
      <w:start w:val="1"/>
      <w:numFmt w:val="lowerLetter"/>
      <w:pStyle w:val="Bullet1G"/>
      <w:lvlText w:val="%1."/>
      <w:lvlJc w:val="left"/>
      <w:pPr>
        <w:tabs>
          <w:tab w:val="num" w:pos="1701"/>
        </w:tabs>
        <w:ind w:left="1701" w:hanging="283"/>
      </w:pPr>
      <w:rPr>
        <w:rFonts w:hint="default"/>
      </w:rPr>
    </w:lvl>
    <w:lvl w:ilvl="1">
      <w:start w:val="1"/>
      <w:numFmt w:val="lowerLetter"/>
      <w:lvlText w:val="%2."/>
      <w:lvlJc w:val="left"/>
      <w:pPr>
        <w:ind w:left="2971" w:hanging="360"/>
      </w:pPr>
      <w:rPr>
        <w:rFonts w:hint="default"/>
      </w:rPr>
    </w:lvl>
    <w:lvl w:ilvl="2">
      <w:start w:val="1"/>
      <w:numFmt w:val="lowerLetter"/>
      <w:lvlText w:val="%3."/>
      <w:lvlJc w:val="left"/>
      <w:pPr>
        <w:ind w:left="3691" w:hanging="180"/>
      </w:pPr>
      <w:rPr>
        <w:rFonts w:hint="default"/>
      </w:rPr>
    </w:lvl>
    <w:lvl w:ilvl="3">
      <w:start w:val="1"/>
      <w:numFmt w:val="decimal"/>
      <w:lvlText w:val="%4."/>
      <w:lvlJc w:val="left"/>
      <w:pPr>
        <w:ind w:left="4411" w:hanging="360"/>
      </w:pPr>
      <w:rPr>
        <w:rFonts w:hint="default"/>
      </w:rPr>
    </w:lvl>
    <w:lvl w:ilvl="4">
      <w:start w:val="1"/>
      <w:numFmt w:val="lowerLetter"/>
      <w:lvlText w:val="%5."/>
      <w:lvlJc w:val="left"/>
      <w:pPr>
        <w:ind w:left="5131" w:hanging="360"/>
      </w:pPr>
      <w:rPr>
        <w:rFonts w:hint="default"/>
      </w:rPr>
    </w:lvl>
    <w:lvl w:ilvl="5">
      <w:start w:val="1"/>
      <w:numFmt w:val="lowerRoman"/>
      <w:lvlText w:val="%6."/>
      <w:lvlJc w:val="right"/>
      <w:pPr>
        <w:ind w:left="5851" w:hanging="180"/>
      </w:pPr>
      <w:rPr>
        <w:rFonts w:hint="default"/>
      </w:rPr>
    </w:lvl>
    <w:lvl w:ilvl="6">
      <w:start w:val="1"/>
      <w:numFmt w:val="decimal"/>
      <w:lvlText w:val="%7."/>
      <w:lvlJc w:val="left"/>
      <w:pPr>
        <w:ind w:left="6571" w:hanging="360"/>
      </w:pPr>
      <w:rPr>
        <w:rFonts w:hint="default"/>
      </w:rPr>
    </w:lvl>
    <w:lvl w:ilvl="7">
      <w:start w:val="1"/>
      <w:numFmt w:val="lowerLetter"/>
      <w:lvlText w:val="%8."/>
      <w:lvlJc w:val="left"/>
      <w:pPr>
        <w:ind w:left="7291" w:hanging="360"/>
      </w:pPr>
      <w:rPr>
        <w:rFonts w:hint="default"/>
      </w:rPr>
    </w:lvl>
    <w:lvl w:ilvl="8">
      <w:start w:val="1"/>
      <w:numFmt w:val="lowerRoman"/>
      <w:lvlText w:val="%9."/>
      <w:lvlJc w:val="right"/>
      <w:pPr>
        <w:ind w:left="8011" w:hanging="180"/>
      </w:pPr>
      <w:rPr>
        <w:rFonts w:hint="default"/>
      </w:rPr>
    </w:lvl>
  </w:abstractNum>
  <w:abstractNum w:abstractNumId="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08"/>
    <w:rsid w:val="000214BC"/>
    <w:rsid w:val="0003079A"/>
    <w:rsid w:val="00031773"/>
    <w:rsid w:val="0005632F"/>
    <w:rsid w:val="0006039D"/>
    <w:rsid w:val="000733F5"/>
    <w:rsid w:val="00084774"/>
    <w:rsid w:val="000A7964"/>
    <w:rsid w:val="000B008D"/>
    <w:rsid w:val="000B6ACF"/>
    <w:rsid w:val="000F3FA0"/>
    <w:rsid w:val="000F6040"/>
    <w:rsid w:val="0010166A"/>
    <w:rsid w:val="00106393"/>
    <w:rsid w:val="00113712"/>
    <w:rsid w:val="00115A69"/>
    <w:rsid w:val="0011752B"/>
    <w:rsid w:val="0015677A"/>
    <w:rsid w:val="001568BC"/>
    <w:rsid w:val="001B17E7"/>
    <w:rsid w:val="001C3663"/>
    <w:rsid w:val="001C5FE4"/>
    <w:rsid w:val="001E2D63"/>
    <w:rsid w:val="001F4343"/>
    <w:rsid w:val="00221BCF"/>
    <w:rsid w:val="00223F9F"/>
    <w:rsid w:val="00225747"/>
    <w:rsid w:val="00226CEA"/>
    <w:rsid w:val="00230534"/>
    <w:rsid w:val="00232A53"/>
    <w:rsid w:val="00234884"/>
    <w:rsid w:val="00236385"/>
    <w:rsid w:val="00250B75"/>
    <w:rsid w:val="00272194"/>
    <w:rsid w:val="002B4FBB"/>
    <w:rsid w:val="002F1D5D"/>
    <w:rsid w:val="00325B51"/>
    <w:rsid w:val="0032727C"/>
    <w:rsid w:val="0033144A"/>
    <w:rsid w:val="00342D20"/>
    <w:rsid w:val="003450F7"/>
    <w:rsid w:val="00363E88"/>
    <w:rsid w:val="00370E42"/>
    <w:rsid w:val="00371089"/>
    <w:rsid w:val="00374AAB"/>
    <w:rsid w:val="003763A4"/>
    <w:rsid w:val="003A2A96"/>
    <w:rsid w:val="003A3245"/>
    <w:rsid w:val="003A3AA3"/>
    <w:rsid w:val="003B24CA"/>
    <w:rsid w:val="003B2653"/>
    <w:rsid w:val="003C10B9"/>
    <w:rsid w:val="003C27B2"/>
    <w:rsid w:val="003E64B9"/>
    <w:rsid w:val="0040348E"/>
    <w:rsid w:val="00403FAA"/>
    <w:rsid w:val="00406A6B"/>
    <w:rsid w:val="00410440"/>
    <w:rsid w:val="00414970"/>
    <w:rsid w:val="00430A54"/>
    <w:rsid w:val="00437F3A"/>
    <w:rsid w:val="0046607C"/>
    <w:rsid w:val="00467F8E"/>
    <w:rsid w:val="004768CC"/>
    <w:rsid w:val="004822ED"/>
    <w:rsid w:val="004852BE"/>
    <w:rsid w:val="004B5A77"/>
    <w:rsid w:val="004C2384"/>
    <w:rsid w:val="004D2031"/>
    <w:rsid w:val="004E7435"/>
    <w:rsid w:val="004F6CB2"/>
    <w:rsid w:val="00500B5E"/>
    <w:rsid w:val="00522D72"/>
    <w:rsid w:val="0052612D"/>
    <w:rsid w:val="005338FF"/>
    <w:rsid w:val="00574027"/>
    <w:rsid w:val="00592369"/>
    <w:rsid w:val="00593E76"/>
    <w:rsid w:val="005C0B65"/>
    <w:rsid w:val="005C4E09"/>
    <w:rsid w:val="005D6230"/>
    <w:rsid w:val="005E79BB"/>
    <w:rsid w:val="005F7AE9"/>
    <w:rsid w:val="0062617C"/>
    <w:rsid w:val="00630265"/>
    <w:rsid w:val="00633F54"/>
    <w:rsid w:val="006443C2"/>
    <w:rsid w:val="00664E01"/>
    <w:rsid w:val="00686B73"/>
    <w:rsid w:val="0069387B"/>
    <w:rsid w:val="006A2C7D"/>
    <w:rsid w:val="006A7D7A"/>
    <w:rsid w:val="006D3E76"/>
    <w:rsid w:val="00717408"/>
    <w:rsid w:val="0073032A"/>
    <w:rsid w:val="00760F29"/>
    <w:rsid w:val="00780F9F"/>
    <w:rsid w:val="0079353F"/>
    <w:rsid w:val="0079466E"/>
    <w:rsid w:val="00797D49"/>
    <w:rsid w:val="007A0A9C"/>
    <w:rsid w:val="007A5031"/>
    <w:rsid w:val="007B54F1"/>
    <w:rsid w:val="007C0763"/>
    <w:rsid w:val="007C1E4D"/>
    <w:rsid w:val="007C61DB"/>
    <w:rsid w:val="007C7B45"/>
    <w:rsid w:val="007D43A4"/>
    <w:rsid w:val="007E1FA7"/>
    <w:rsid w:val="007F1D3F"/>
    <w:rsid w:val="00806928"/>
    <w:rsid w:val="0081065C"/>
    <w:rsid w:val="00812E01"/>
    <w:rsid w:val="00820189"/>
    <w:rsid w:val="008203A6"/>
    <w:rsid w:val="00822F3B"/>
    <w:rsid w:val="0082308E"/>
    <w:rsid w:val="00823C8C"/>
    <w:rsid w:val="00827EB5"/>
    <w:rsid w:val="00836133"/>
    <w:rsid w:val="00854053"/>
    <w:rsid w:val="0087351F"/>
    <w:rsid w:val="00892DA1"/>
    <w:rsid w:val="008C20B8"/>
    <w:rsid w:val="008C506B"/>
    <w:rsid w:val="008E45C8"/>
    <w:rsid w:val="008E4E2E"/>
    <w:rsid w:val="00903E1A"/>
    <w:rsid w:val="009079AB"/>
    <w:rsid w:val="009172EA"/>
    <w:rsid w:val="00923089"/>
    <w:rsid w:val="00930F93"/>
    <w:rsid w:val="00937A9A"/>
    <w:rsid w:val="0094551F"/>
    <w:rsid w:val="00981D79"/>
    <w:rsid w:val="009855D0"/>
    <w:rsid w:val="009960AE"/>
    <w:rsid w:val="009B2C62"/>
    <w:rsid w:val="009E1F11"/>
    <w:rsid w:val="009E245E"/>
    <w:rsid w:val="009E42E4"/>
    <w:rsid w:val="009F54A4"/>
    <w:rsid w:val="009F772D"/>
    <w:rsid w:val="00A03283"/>
    <w:rsid w:val="00A228F3"/>
    <w:rsid w:val="00A44539"/>
    <w:rsid w:val="00A55A91"/>
    <w:rsid w:val="00A55BFD"/>
    <w:rsid w:val="00A57ACB"/>
    <w:rsid w:val="00A610DC"/>
    <w:rsid w:val="00A83A4A"/>
    <w:rsid w:val="00A87A85"/>
    <w:rsid w:val="00A9061F"/>
    <w:rsid w:val="00A91B52"/>
    <w:rsid w:val="00AA1315"/>
    <w:rsid w:val="00AA3D2B"/>
    <w:rsid w:val="00AD0D70"/>
    <w:rsid w:val="00AE7491"/>
    <w:rsid w:val="00AF3680"/>
    <w:rsid w:val="00B0659B"/>
    <w:rsid w:val="00B14403"/>
    <w:rsid w:val="00B23268"/>
    <w:rsid w:val="00B51183"/>
    <w:rsid w:val="00B64854"/>
    <w:rsid w:val="00B64CDA"/>
    <w:rsid w:val="00B77E3D"/>
    <w:rsid w:val="00B85035"/>
    <w:rsid w:val="00BA0687"/>
    <w:rsid w:val="00BA5A58"/>
    <w:rsid w:val="00BC2FF2"/>
    <w:rsid w:val="00BF0E50"/>
    <w:rsid w:val="00C13576"/>
    <w:rsid w:val="00C13F89"/>
    <w:rsid w:val="00C40788"/>
    <w:rsid w:val="00C60AE5"/>
    <w:rsid w:val="00C64CCA"/>
    <w:rsid w:val="00C65283"/>
    <w:rsid w:val="00C75AA5"/>
    <w:rsid w:val="00C83965"/>
    <w:rsid w:val="00C945F6"/>
    <w:rsid w:val="00CA28D8"/>
    <w:rsid w:val="00CA5128"/>
    <w:rsid w:val="00CB0413"/>
    <w:rsid w:val="00CD22D8"/>
    <w:rsid w:val="00CE031D"/>
    <w:rsid w:val="00CF4E69"/>
    <w:rsid w:val="00D0604F"/>
    <w:rsid w:val="00D603F2"/>
    <w:rsid w:val="00D64A37"/>
    <w:rsid w:val="00D652F5"/>
    <w:rsid w:val="00D660CB"/>
    <w:rsid w:val="00D66E77"/>
    <w:rsid w:val="00D841B8"/>
    <w:rsid w:val="00D95BAC"/>
    <w:rsid w:val="00DB521F"/>
    <w:rsid w:val="00DD396E"/>
    <w:rsid w:val="00E15AE8"/>
    <w:rsid w:val="00E1727E"/>
    <w:rsid w:val="00E33A1A"/>
    <w:rsid w:val="00E362FE"/>
    <w:rsid w:val="00E952B4"/>
    <w:rsid w:val="00EA3F81"/>
    <w:rsid w:val="00EA5B52"/>
    <w:rsid w:val="00EB5D49"/>
    <w:rsid w:val="00ED21C3"/>
    <w:rsid w:val="00EF176A"/>
    <w:rsid w:val="00EF6381"/>
    <w:rsid w:val="00F03FE9"/>
    <w:rsid w:val="00F22714"/>
    <w:rsid w:val="00F27F2C"/>
    <w:rsid w:val="00F41826"/>
    <w:rsid w:val="00F41B6B"/>
    <w:rsid w:val="00F6363A"/>
    <w:rsid w:val="00F648DE"/>
    <w:rsid w:val="00F6640C"/>
    <w:rsid w:val="00F81305"/>
    <w:rsid w:val="00F83795"/>
    <w:rsid w:val="00F84D75"/>
    <w:rsid w:val="00FA63B2"/>
    <w:rsid w:val="00FD5578"/>
    <w:rsid w:val="00FE179E"/>
    <w:rsid w:val="00FF01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C0DB45"/>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5"/>
      </w:numPr>
      <w:spacing w:after="120"/>
      <w:ind w:right="1134"/>
      <w:jc w:val="both"/>
    </w:pPr>
  </w:style>
  <w:style w:type="paragraph" w:customStyle="1" w:styleId="Bullet2G">
    <w:name w:val="_Bullet 2_G"/>
    <w:basedOn w:val="Normal"/>
    <w:qFormat/>
    <w:rsid w:val="00930F93"/>
    <w:pPr>
      <w:numPr>
        <w:numId w:val="1"/>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rsid w:val="00930F93"/>
    <w:rPr>
      <w:color w:val="auto"/>
      <w:u w:val="none"/>
    </w:rPr>
  </w:style>
  <w:style w:type="paragraph" w:styleId="Footer">
    <w:name w:val="footer"/>
    <w:aliases w:val="3_G"/>
    <w:basedOn w:val="Normal"/>
    <w:link w:val="FooterChar"/>
    <w:qFormat/>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paragraph" w:customStyle="1" w:styleId="ParNoG">
    <w:name w:val="_ParNo_G"/>
    <w:basedOn w:val="SingleTxtG"/>
    <w:qFormat/>
    <w:rsid w:val="004768CC"/>
    <w:pPr>
      <w:numPr>
        <w:numId w:val="4"/>
      </w:numPr>
      <w:suppressAutoHyphens w:val="0"/>
    </w:pPr>
    <w:rPr>
      <w:lang w:eastAsia="zh-CN"/>
    </w:rPr>
  </w:style>
  <w:style w:type="numbering" w:styleId="111111">
    <w:name w:val="Outline List 2"/>
    <w:basedOn w:val="NoList"/>
    <w:semiHidden/>
    <w:rsid w:val="004768CC"/>
    <w:pPr>
      <w:numPr>
        <w:numId w:val="2"/>
      </w:numPr>
    </w:pPr>
  </w:style>
  <w:style w:type="numbering" w:styleId="1ai">
    <w:name w:val="Outline List 1"/>
    <w:basedOn w:val="NoList"/>
    <w:semiHidden/>
    <w:rsid w:val="004768CC"/>
    <w:pPr>
      <w:numPr>
        <w:numId w:val="3"/>
      </w:numPr>
    </w:pPr>
  </w:style>
  <w:style w:type="paragraph" w:styleId="ListParagraph">
    <w:name w:val="List Paragraph"/>
    <w:basedOn w:val="Normal"/>
    <w:uiPriority w:val="34"/>
    <w:qFormat/>
    <w:rsid w:val="004768CC"/>
    <w:pPr>
      <w:suppressAutoHyphens w:val="0"/>
      <w:spacing w:line="240" w:lineRule="auto"/>
      <w:ind w:left="720"/>
    </w:pPr>
    <w:rPr>
      <w:rFonts w:ascii="Calibri" w:eastAsiaTheme="minorHAnsi" w:hAnsi="Calibri" w:cs="Calibri"/>
      <w:sz w:val="22"/>
      <w:szCs w:val="22"/>
    </w:rPr>
  </w:style>
  <w:style w:type="character" w:customStyle="1" w:styleId="StyleBold">
    <w:name w:val="Style Bold"/>
    <w:semiHidden/>
    <w:rsid w:val="004768CC"/>
    <w:rPr>
      <w:rFonts w:ascii="Times New Roman" w:hAnsi="Times New Roman" w:cs="Times New Roman" w:hint="default"/>
      <w:b/>
      <w:bCs/>
    </w:rPr>
  </w:style>
  <w:style w:type="character" w:customStyle="1" w:styleId="StyleItalic">
    <w:name w:val="Style Italic"/>
    <w:semiHidden/>
    <w:rsid w:val="004768CC"/>
    <w:rPr>
      <w:rFonts w:ascii="Times New Roman" w:hAnsi="Times New Roman"/>
      <w:i/>
      <w:iCs/>
    </w:rPr>
  </w:style>
  <w:style w:type="paragraph" w:customStyle="1" w:styleId="Style1">
    <w:name w:val="Style1"/>
    <w:basedOn w:val="Normal"/>
    <w:rsid w:val="004768CC"/>
    <w:pPr>
      <w:widowControl w:val="0"/>
      <w:suppressAutoHyphens w:val="0"/>
      <w:spacing w:line="240" w:lineRule="auto"/>
      <w:jc w:val="both"/>
    </w:pPr>
    <w:rPr>
      <w:snapToGrid w:val="0"/>
      <w:sz w:val="24"/>
      <w:lang w:val="en-US"/>
    </w:rPr>
  </w:style>
  <w:style w:type="paragraph" w:customStyle="1" w:styleId="GHSBodyText">
    <w:name w:val="GHSBody Text"/>
    <w:basedOn w:val="BodyText"/>
    <w:link w:val="GHSBodyTextChar"/>
    <w:rsid w:val="004768CC"/>
    <w:pPr>
      <w:tabs>
        <w:tab w:val="left" w:pos="1418"/>
        <w:tab w:val="left" w:pos="1985"/>
        <w:tab w:val="left" w:pos="2552"/>
        <w:tab w:val="left" w:pos="3119"/>
        <w:tab w:val="left" w:pos="3686"/>
      </w:tabs>
      <w:suppressAutoHyphens w:val="0"/>
      <w:kinsoku/>
      <w:overflowPunct/>
      <w:snapToGrid/>
      <w:spacing w:after="240" w:line="240" w:lineRule="auto"/>
      <w:jc w:val="both"/>
    </w:pPr>
    <w:rPr>
      <w:rFonts w:eastAsia="Times New Roman"/>
      <w:sz w:val="22"/>
      <w:lang w:eastAsia="en-US"/>
    </w:rPr>
  </w:style>
  <w:style w:type="character" w:customStyle="1" w:styleId="GHSBodyTextChar">
    <w:name w:val="GHSBody Text Char"/>
    <w:link w:val="GHSBodyText"/>
    <w:rsid w:val="004768CC"/>
    <w:rPr>
      <w:rFonts w:eastAsia="Times New Roman"/>
      <w:sz w:val="22"/>
      <w:lang w:eastAsia="en-US"/>
    </w:rPr>
  </w:style>
  <w:style w:type="paragraph" w:styleId="BodyText">
    <w:name w:val="Body Text"/>
    <w:basedOn w:val="Normal"/>
    <w:link w:val="BodyTextChar"/>
    <w:uiPriority w:val="99"/>
    <w:semiHidden/>
    <w:unhideWhenUsed/>
    <w:rsid w:val="004768CC"/>
    <w:pPr>
      <w:kinsoku w:val="0"/>
      <w:overflowPunct w:val="0"/>
      <w:autoSpaceDE w:val="0"/>
      <w:autoSpaceDN w:val="0"/>
      <w:adjustRightInd w:val="0"/>
      <w:snapToGrid w:val="0"/>
      <w:spacing w:after="120"/>
    </w:pPr>
    <w:rPr>
      <w:rFonts w:eastAsia="SimSun"/>
      <w:lang w:eastAsia="zh-CN"/>
    </w:rPr>
  </w:style>
  <w:style w:type="character" w:customStyle="1" w:styleId="BodyTextChar">
    <w:name w:val="Body Text Char"/>
    <w:basedOn w:val="DefaultParagraphFont"/>
    <w:link w:val="BodyText"/>
    <w:uiPriority w:val="99"/>
    <w:semiHidden/>
    <w:rsid w:val="004768CC"/>
    <w:rPr>
      <w:rFonts w:eastAsia="SimSun"/>
    </w:rPr>
  </w:style>
  <w:style w:type="character" w:styleId="CommentReference">
    <w:name w:val="annotation reference"/>
    <w:basedOn w:val="DefaultParagraphFont"/>
    <w:uiPriority w:val="99"/>
    <w:semiHidden/>
    <w:unhideWhenUsed/>
    <w:rsid w:val="008C20B8"/>
    <w:rPr>
      <w:sz w:val="16"/>
      <w:szCs w:val="16"/>
    </w:rPr>
  </w:style>
  <w:style w:type="paragraph" w:styleId="CommentText">
    <w:name w:val="annotation text"/>
    <w:basedOn w:val="Normal"/>
    <w:link w:val="CommentTextChar"/>
    <w:uiPriority w:val="99"/>
    <w:unhideWhenUsed/>
    <w:rsid w:val="008C20B8"/>
    <w:pPr>
      <w:spacing w:line="240" w:lineRule="auto"/>
    </w:pPr>
  </w:style>
  <w:style w:type="character" w:customStyle="1" w:styleId="CommentTextChar">
    <w:name w:val="Comment Text Char"/>
    <w:basedOn w:val="DefaultParagraphFont"/>
    <w:link w:val="CommentText"/>
    <w:uiPriority w:val="99"/>
    <w:rsid w:val="008C20B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8C20B8"/>
    <w:rPr>
      <w:b/>
      <w:bCs/>
    </w:rPr>
  </w:style>
  <w:style w:type="character" w:customStyle="1" w:styleId="CommentSubjectChar">
    <w:name w:val="Comment Subject Char"/>
    <w:basedOn w:val="CommentTextChar"/>
    <w:link w:val="CommentSubject"/>
    <w:uiPriority w:val="99"/>
    <w:semiHidden/>
    <w:rsid w:val="008C20B8"/>
    <w:rPr>
      <w:rFonts w:eastAsia="Times New Roman"/>
      <w:b/>
      <w:bCs/>
      <w:lang w:eastAsia="en-US"/>
    </w:rPr>
  </w:style>
  <w:style w:type="character" w:customStyle="1" w:styleId="H1GChar">
    <w:name w:val="_ H_1_G Char"/>
    <w:link w:val="H1G"/>
    <w:rsid w:val="0015677A"/>
    <w:rPr>
      <w:rFonts w:eastAsia="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image" Target="media/image11.emf"/><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9.pn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8.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image" Target="media/image7.png"/><Relationship Id="rId27" Type="http://schemas.openxmlformats.org/officeDocument/2006/relationships/package" Target="embeddings/Microsoft_Visio_Drawing5.vsdx"/><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475A417A49ED4589B0B37B859D28C1" ma:contentTypeVersion="7" ma:contentTypeDescription="Create a new document." ma:contentTypeScope="" ma:versionID="07162a58d42ef0febf210192e77e6874">
  <xsd:schema xmlns:xsd="http://www.w3.org/2001/XMLSchema" xmlns:xs="http://www.w3.org/2001/XMLSchema" xmlns:p="http://schemas.microsoft.com/office/2006/metadata/properties" xmlns:ns3="de084f63-6b68-4f66-aa5e-ed6f9f387458" targetNamespace="http://schemas.microsoft.com/office/2006/metadata/properties" ma:root="true" ma:fieldsID="962d83a8bc1d9f42e9b00e63c9563f98" ns3:_="">
    <xsd:import namespace="de084f63-6b68-4f66-aa5e-ed6f9f3874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84f63-6b68-4f66-aa5e-ed6f9f387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CC99C-CEDB-44E6-B43A-F06826D0E4EC}">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de084f63-6b68-4f66-aa5e-ed6f9f387458"/>
    <ds:schemaRef ds:uri="http://www.w3.org/XML/1998/namespace"/>
  </ds:schemaRefs>
</ds:datastoreItem>
</file>

<file path=customXml/itemProps2.xml><?xml version="1.0" encoding="utf-8"?>
<ds:datastoreItem xmlns:ds="http://schemas.openxmlformats.org/officeDocument/2006/customXml" ds:itemID="{9A3E58E4-CEC4-4F91-91D3-23BBDB542341}">
  <ds:schemaRefs>
    <ds:schemaRef ds:uri="http://schemas.microsoft.com/sharepoint/v3/contenttype/forms"/>
  </ds:schemaRefs>
</ds:datastoreItem>
</file>

<file path=customXml/itemProps3.xml><?xml version="1.0" encoding="utf-8"?>
<ds:datastoreItem xmlns:ds="http://schemas.openxmlformats.org/officeDocument/2006/customXml" ds:itemID="{1D3D8829-55C8-4534-9229-024830CCC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84f63-6b68-4f66-aa5e-ed6f9f387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A37972-0B45-4D59-AE1B-46376F94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1777</Words>
  <Characters>10130</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ECE-ISU</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Garcia-Couto</dc:creator>
  <cp:lastModifiedBy>Laurence Berthet</cp:lastModifiedBy>
  <cp:revision>6</cp:revision>
  <cp:lastPrinted>2020-06-11T07:49:00Z</cp:lastPrinted>
  <dcterms:created xsi:type="dcterms:W3CDTF">2020-06-10T09:54:00Z</dcterms:created>
  <dcterms:modified xsi:type="dcterms:W3CDTF">2020-06-11T07:50:00Z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0x01010029475A417A49ED4589B0B37B859D28C1</vt:lpwstr>
  </property>
</Properties>
</file>