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421B292" w14:textId="77777777" w:rsidTr="00F01738">
        <w:trPr>
          <w:trHeight w:hRule="exact" w:val="851"/>
        </w:trPr>
        <w:tc>
          <w:tcPr>
            <w:tcW w:w="1276" w:type="dxa"/>
            <w:tcBorders>
              <w:bottom w:val="single" w:sz="4" w:space="0" w:color="auto"/>
            </w:tcBorders>
          </w:tcPr>
          <w:p w14:paraId="270B7796" w14:textId="77777777" w:rsidR="00132EA9" w:rsidRPr="00DB58B5" w:rsidRDefault="00132EA9" w:rsidP="00907863">
            <w:bookmarkStart w:id="0" w:name="_GoBack"/>
            <w:bookmarkEnd w:id="0"/>
          </w:p>
        </w:tc>
        <w:tc>
          <w:tcPr>
            <w:tcW w:w="2268" w:type="dxa"/>
            <w:tcBorders>
              <w:bottom w:val="single" w:sz="4" w:space="0" w:color="auto"/>
            </w:tcBorders>
            <w:vAlign w:val="bottom"/>
          </w:tcPr>
          <w:p w14:paraId="7DF7827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5417CC" w14:textId="77777777" w:rsidR="00132EA9" w:rsidRPr="00DB58B5" w:rsidRDefault="00907863" w:rsidP="00907863">
            <w:pPr>
              <w:jc w:val="right"/>
            </w:pPr>
            <w:r w:rsidRPr="00907863">
              <w:rPr>
                <w:sz w:val="40"/>
              </w:rPr>
              <w:t>ST</w:t>
            </w:r>
            <w:r>
              <w:t>/SG/AC.10/C.4/76</w:t>
            </w:r>
          </w:p>
        </w:tc>
      </w:tr>
      <w:tr w:rsidR="00132EA9" w:rsidRPr="00DB58B5" w14:paraId="40F2C155" w14:textId="77777777" w:rsidTr="00F01738">
        <w:trPr>
          <w:trHeight w:hRule="exact" w:val="2835"/>
        </w:trPr>
        <w:tc>
          <w:tcPr>
            <w:tcW w:w="1276" w:type="dxa"/>
            <w:tcBorders>
              <w:top w:val="single" w:sz="4" w:space="0" w:color="auto"/>
              <w:bottom w:val="single" w:sz="12" w:space="0" w:color="auto"/>
            </w:tcBorders>
          </w:tcPr>
          <w:p w14:paraId="1BCC4D21" w14:textId="77777777" w:rsidR="00132EA9" w:rsidRPr="00DB58B5" w:rsidRDefault="00132EA9" w:rsidP="00F01738">
            <w:pPr>
              <w:spacing w:before="120"/>
              <w:jc w:val="center"/>
            </w:pPr>
            <w:r>
              <w:rPr>
                <w:noProof/>
                <w:lang w:eastAsia="fr-CH"/>
              </w:rPr>
              <w:drawing>
                <wp:inline distT="0" distB="0" distL="0" distR="0" wp14:anchorId="47CBE57E" wp14:editId="742FFC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B7A66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B77BF32" w14:textId="77777777" w:rsidR="00132EA9" w:rsidRDefault="00907863" w:rsidP="00F01738">
            <w:pPr>
              <w:spacing w:before="240"/>
            </w:pPr>
            <w:proofErr w:type="spellStart"/>
            <w:r>
              <w:t>Distr</w:t>
            </w:r>
            <w:proofErr w:type="spellEnd"/>
            <w:r>
              <w:t xml:space="preserve">. </w:t>
            </w:r>
            <w:proofErr w:type="gramStart"/>
            <w:r>
              <w:t>générale</w:t>
            </w:r>
            <w:proofErr w:type="gramEnd"/>
          </w:p>
          <w:p w14:paraId="2BEEABB8" w14:textId="77777777" w:rsidR="00907863" w:rsidRDefault="00907863" w:rsidP="00907863">
            <w:pPr>
              <w:spacing w:line="240" w:lineRule="exact"/>
            </w:pPr>
            <w:r>
              <w:t>8 janvier 2020</w:t>
            </w:r>
          </w:p>
          <w:p w14:paraId="7E3E816A" w14:textId="77777777" w:rsidR="00907863" w:rsidRDefault="00907863" w:rsidP="00907863">
            <w:pPr>
              <w:spacing w:line="240" w:lineRule="exact"/>
            </w:pPr>
            <w:r>
              <w:t>Français</w:t>
            </w:r>
          </w:p>
          <w:p w14:paraId="3EF7BBF7" w14:textId="77777777" w:rsidR="00907863" w:rsidRPr="00DB58B5" w:rsidRDefault="00907863" w:rsidP="00907863">
            <w:pPr>
              <w:spacing w:line="240" w:lineRule="exact"/>
            </w:pPr>
            <w:r>
              <w:t>Original : anglais</w:t>
            </w:r>
          </w:p>
        </w:tc>
      </w:tr>
    </w:tbl>
    <w:p w14:paraId="3BEFA21C" w14:textId="77777777" w:rsidR="00006F01" w:rsidRPr="00CA0680" w:rsidRDefault="00006F01" w:rsidP="000305D3">
      <w:pPr>
        <w:spacing w:before="120"/>
        <w:rPr>
          <w:b/>
          <w:sz w:val="24"/>
          <w:szCs w:val="24"/>
        </w:rPr>
      </w:pPr>
      <w:r w:rsidRPr="00CA0680">
        <w:rPr>
          <w:b/>
          <w:sz w:val="24"/>
          <w:szCs w:val="24"/>
        </w:rPr>
        <w:t>Comité d</w:t>
      </w:r>
      <w:r w:rsidR="00975D4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975D4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32AE9E8" w14:textId="77777777" w:rsidR="00006F01" w:rsidRPr="00CA0680" w:rsidRDefault="00006F01" w:rsidP="000305D3">
      <w:pPr>
        <w:spacing w:before="120"/>
        <w:rPr>
          <w:b/>
        </w:rPr>
      </w:pPr>
      <w:r w:rsidRPr="00CA0680">
        <w:rPr>
          <w:b/>
        </w:rPr>
        <w:t>Sous</w:t>
      </w:r>
      <w:r>
        <w:rPr>
          <w:b/>
        </w:rPr>
        <w:t>-</w:t>
      </w:r>
      <w:r w:rsidRPr="00CA0680">
        <w:rPr>
          <w:b/>
        </w:rPr>
        <w:t>Comité d</w:t>
      </w:r>
      <w:r w:rsidR="00975D4C">
        <w:rPr>
          <w:b/>
        </w:rPr>
        <w:t>’</w:t>
      </w:r>
      <w:r w:rsidRPr="00CA0680">
        <w:rPr>
          <w:b/>
        </w:rPr>
        <w:t xml:space="preserve">experts </w:t>
      </w:r>
      <w:r>
        <w:rPr>
          <w:b/>
        </w:rPr>
        <w:t>du Système général harmonisé</w:t>
      </w:r>
      <w:r>
        <w:rPr>
          <w:b/>
        </w:rPr>
        <w:br/>
        <w:t>de classification et d</w:t>
      </w:r>
      <w:r w:rsidR="00975D4C">
        <w:rPr>
          <w:b/>
        </w:rPr>
        <w:t>’</w:t>
      </w:r>
      <w:r>
        <w:rPr>
          <w:b/>
        </w:rPr>
        <w:t>étiquetage des produits chimiques</w:t>
      </w:r>
    </w:p>
    <w:p w14:paraId="505C4C09" w14:textId="77777777" w:rsidR="00006F01" w:rsidRPr="00E255F8" w:rsidRDefault="00006F01" w:rsidP="00006F01">
      <w:pPr>
        <w:pStyle w:val="HChG"/>
        <w:rPr>
          <w:lang w:val="fr-FR"/>
        </w:rPr>
      </w:pPr>
      <w:r>
        <w:rPr>
          <w:lang w:val="fr-FR"/>
        </w:rPr>
        <w:tab/>
      </w:r>
      <w:r>
        <w:rPr>
          <w:lang w:val="fr-FR"/>
        </w:rPr>
        <w:tab/>
        <w:t>Rapport du Sous-Comité d</w:t>
      </w:r>
      <w:r w:rsidR="00975D4C">
        <w:rPr>
          <w:lang w:val="fr-FR"/>
        </w:rPr>
        <w:t>’</w:t>
      </w:r>
      <w:r>
        <w:rPr>
          <w:lang w:val="fr-FR"/>
        </w:rPr>
        <w:t>experts du Système général harmonisé de classification et d</w:t>
      </w:r>
      <w:r w:rsidR="00975D4C">
        <w:rPr>
          <w:lang w:val="fr-FR"/>
        </w:rPr>
        <w:t>’</w:t>
      </w:r>
      <w:r>
        <w:rPr>
          <w:lang w:val="fr-FR"/>
        </w:rPr>
        <w:t>étiquetage des produits chimiques sur sa trente-huitième session</w:t>
      </w:r>
    </w:p>
    <w:p w14:paraId="7FDDDEB1" w14:textId="77777777" w:rsidR="00006F01" w:rsidRPr="00E255F8" w:rsidRDefault="00006F01" w:rsidP="00006F01">
      <w:pPr>
        <w:pStyle w:val="H56G"/>
        <w:rPr>
          <w:b/>
          <w:lang w:val="fr-FR"/>
        </w:rPr>
      </w:pPr>
      <w:r>
        <w:rPr>
          <w:lang w:val="fr-FR"/>
        </w:rPr>
        <w:tab/>
      </w:r>
      <w:r>
        <w:rPr>
          <w:lang w:val="fr-FR"/>
        </w:rPr>
        <w:tab/>
        <w:t>Qui s</w:t>
      </w:r>
      <w:r w:rsidR="00975D4C">
        <w:rPr>
          <w:lang w:val="fr-FR"/>
        </w:rPr>
        <w:t>’</w:t>
      </w:r>
      <w:r>
        <w:rPr>
          <w:lang w:val="fr-FR"/>
        </w:rPr>
        <w:t>est tenue à Genève du 11 au 13</w:t>
      </w:r>
      <w:r w:rsidR="00066B2D">
        <w:rPr>
          <w:lang w:val="fr-FR"/>
        </w:rPr>
        <w:t> </w:t>
      </w:r>
      <w:r>
        <w:rPr>
          <w:lang w:val="fr-FR"/>
        </w:rPr>
        <w:t>décembre 2019</w:t>
      </w:r>
    </w:p>
    <w:p w14:paraId="7DB51BF1" w14:textId="77777777" w:rsidR="00446FE5" w:rsidRPr="00006F01" w:rsidRDefault="00006F01" w:rsidP="00006F01">
      <w:pPr>
        <w:spacing w:after="120"/>
        <w:rPr>
          <w:sz w:val="28"/>
        </w:rPr>
      </w:pPr>
      <w:r w:rsidRPr="00006F01">
        <w:rPr>
          <w:sz w:val="28"/>
        </w:rPr>
        <w:t>Table des matières</w:t>
      </w:r>
    </w:p>
    <w:p w14:paraId="27FDDF45" w14:textId="77777777" w:rsidR="00006F01" w:rsidRPr="00006F01" w:rsidRDefault="00006F01" w:rsidP="00006F01">
      <w:pPr>
        <w:tabs>
          <w:tab w:val="right" w:pos="8929"/>
          <w:tab w:val="right" w:pos="9638"/>
        </w:tabs>
        <w:spacing w:after="120"/>
        <w:ind w:left="283"/>
        <w:rPr>
          <w:i/>
          <w:sz w:val="18"/>
        </w:rPr>
      </w:pPr>
      <w:r w:rsidRPr="00006F01">
        <w:rPr>
          <w:i/>
          <w:sz w:val="18"/>
        </w:rPr>
        <w:tab/>
        <w:t>Paragraphes</w:t>
      </w:r>
      <w:r w:rsidRPr="00006F01">
        <w:rPr>
          <w:i/>
          <w:sz w:val="18"/>
        </w:rPr>
        <w:tab/>
        <w:t>Page</w:t>
      </w:r>
    </w:p>
    <w:p w14:paraId="516B1123" w14:textId="77777777" w:rsidR="00906B85" w:rsidRDefault="00906B85" w:rsidP="00906B85">
      <w:pPr>
        <w:tabs>
          <w:tab w:val="right" w:pos="850"/>
          <w:tab w:val="right" w:leader="dot" w:pos="7654"/>
          <w:tab w:val="right" w:pos="8929"/>
          <w:tab w:val="right" w:pos="9638"/>
        </w:tabs>
        <w:spacing w:after="120"/>
        <w:ind w:left="1134" w:hanging="1134"/>
      </w:pPr>
      <w:bookmarkStart w:id="1" w:name="_Hlk42182444"/>
      <w:r>
        <w:tab/>
        <w:t>I.</w:t>
      </w:r>
      <w:r>
        <w:tab/>
      </w:r>
      <w:r w:rsidRPr="00006F01">
        <w:rPr>
          <w:lang w:val="fr-FR"/>
        </w:rPr>
        <w:t>Participation</w:t>
      </w:r>
      <w:r>
        <w:tab/>
      </w:r>
      <w:r>
        <w:tab/>
        <w:t>1−5</w:t>
      </w:r>
      <w:r>
        <w:tab/>
        <w:t>4</w:t>
      </w:r>
    </w:p>
    <w:p w14:paraId="137D58F7" w14:textId="77777777" w:rsidR="00906B85" w:rsidRDefault="00906B85" w:rsidP="00906B85">
      <w:pPr>
        <w:tabs>
          <w:tab w:val="right" w:pos="850"/>
          <w:tab w:val="right" w:leader="dot" w:pos="7654"/>
          <w:tab w:val="right" w:pos="8929"/>
          <w:tab w:val="right" w:pos="9638"/>
        </w:tabs>
        <w:spacing w:after="120"/>
        <w:ind w:left="1134" w:hanging="1134"/>
      </w:pPr>
      <w:r>
        <w:tab/>
        <w:t>II.</w:t>
      </w:r>
      <w:r>
        <w:tab/>
      </w:r>
      <w:r w:rsidRPr="00006F01">
        <w:rPr>
          <w:lang w:val="fr-FR"/>
        </w:rPr>
        <w:t>Adoption de l</w:t>
      </w:r>
      <w:r>
        <w:rPr>
          <w:lang w:val="fr-FR"/>
        </w:rPr>
        <w:t>’</w:t>
      </w:r>
      <w:r w:rsidRPr="00006F01">
        <w:rPr>
          <w:lang w:val="fr-FR"/>
        </w:rPr>
        <w:t>ordre du jour (point 1 de l</w:t>
      </w:r>
      <w:r>
        <w:rPr>
          <w:lang w:val="fr-FR"/>
        </w:rPr>
        <w:t>’</w:t>
      </w:r>
      <w:r w:rsidRPr="00006F01">
        <w:rPr>
          <w:lang w:val="fr-FR"/>
        </w:rPr>
        <w:t>ordre du jour)</w:t>
      </w:r>
      <w:r>
        <w:tab/>
      </w:r>
      <w:r>
        <w:tab/>
        <w:t>6−13</w:t>
      </w:r>
      <w:r>
        <w:tab/>
        <w:t>4</w:t>
      </w:r>
    </w:p>
    <w:p w14:paraId="4ACAA8C3" w14:textId="77777777" w:rsidR="00906B85" w:rsidRDefault="00906B85" w:rsidP="00906B85">
      <w:pPr>
        <w:tabs>
          <w:tab w:val="right" w:leader="dot" w:pos="7654"/>
          <w:tab w:val="right" w:pos="8929"/>
          <w:tab w:val="right" w:pos="9638"/>
        </w:tabs>
        <w:spacing w:after="120"/>
        <w:ind w:left="1559" w:hanging="425"/>
      </w:pPr>
      <w:r>
        <w:t>A.</w:t>
      </w:r>
      <w:r>
        <w:tab/>
      </w:r>
      <w:r w:rsidRPr="00006F01">
        <w:rPr>
          <w:lang w:val="fr-FR"/>
        </w:rPr>
        <w:t>Point sur les publications</w:t>
      </w:r>
      <w:r>
        <w:tab/>
      </w:r>
      <w:r>
        <w:tab/>
        <w:t>7</w:t>
      </w:r>
      <w:r>
        <w:tab/>
        <w:t>4</w:t>
      </w:r>
    </w:p>
    <w:p w14:paraId="5BB9210C" w14:textId="77777777" w:rsidR="00906B85" w:rsidRDefault="00906B85" w:rsidP="00906B85">
      <w:pPr>
        <w:tabs>
          <w:tab w:val="right" w:leader="dot" w:pos="7654"/>
          <w:tab w:val="right" w:pos="8929"/>
          <w:tab w:val="right" w:pos="9638"/>
        </w:tabs>
        <w:spacing w:after="120"/>
        <w:ind w:left="1559" w:hanging="425"/>
      </w:pPr>
      <w:r>
        <w:t>B.</w:t>
      </w:r>
      <w:r>
        <w:tab/>
      </w:r>
      <w:r w:rsidRPr="00006F01">
        <w:rPr>
          <w:lang w:val="fr-FR"/>
        </w:rPr>
        <w:t>Accréditation des experts</w:t>
      </w:r>
      <w:r>
        <w:tab/>
      </w:r>
      <w:r>
        <w:tab/>
        <w:t>8−13</w:t>
      </w:r>
      <w:r>
        <w:tab/>
        <w:t>4</w:t>
      </w:r>
    </w:p>
    <w:p w14:paraId="6835ABE3" w14:textId="77777777" w:rsidR="00906B85" w:rsidRDefault="00906B85" w:rsidP="00906B85">
      <w:pPr>
        <w:tabs>
          <w:tab w:val="right" w:pos="850"/>
          <w:tab w:val="right" w:leader="dot" w:pos="7654"/>
          <w:tab w:val="right" w:pos="8929"/>
          <w:tab w:val="right" w:pos="9638"/>
        </w:tabs>
        <w:spacing w:after="120"/>
        <w:ind w:left="1134" w:hanging="1134"/>
      </w:pPr>
      <w:r>
        <w:tab/>
        <w:t>III.</w:t>
      </w:r>
      <w:r>
        <w:tab/>
      </w:r>
      <w:r w:rsidRPr="00006F01">
        <w:rPr>
          <w:lang w:val="fr-FR"/>
        </w:rPr>
        <w:t xml:space="preserve">Critères de classification et communication des dangers y relatifs </w:t>
      </w:r>
      <w:r>
        <w:rPr>
          <w:lang w:val="fr-FR"/>
        </w:rPr>
        <w:br/>
      </w:r>
      <w:r w:rsidRPr="00006F01">
        <w:rPr>
          <w:lang w:val="fr-FR"/>
        </w:rPr>
        <w:t>(point 2 de l</w:t>
      </w:r>
      <w:r>
        <w:rPr>
          <w:lang w:val="fr-FR"/>
        </w:rPr>
        <w:t>’</w:t>
      </w:r>
      <w:r w:rsidRPr="00006F01">
        <w:rPr>
          <w:lang w:val="fr-FR"/>
        </w:rPr>
        <w:t>ordre du jour)</w:t>
      </w:r>
      <w:r>
        <w:tab/>
      </w:r>
      <w:r>
        <w:tab/>
        <w:t>14−32</w:t>
      </w:r>
      <w:r>
        <w:tab/>
        <w:t>5</w:t>
      </w:r>
    </w:p>
    <w:p w14:paraId="6E101E32" w14:textId="77777777" w:rsidR="00906B85" w:rsidRDefault="00906B85" w:rsidP="00906B85">
      <w:pPr>
        <w:tabs>
          <w:tab w:val="right" w:leader="dot" w:pos="7654"/>
          <w:tab w:val="right" w:pos="8929"/>
          <w:tab w:val="right" w:pos="9638"/>
        </w:tabs>
        <w:spacing w:after="120"/>
        <w:ind w:left="1559" w:hanging="425"/>
      </w:pPr>
      <w:r>
        <w:t>A.</w:t>
      </w:r>
      <w:r>
        <w:tab/>
      </w:r>
      <w:r w:rsidRPr="00006F01">
        <w:rPr>
          <w:lang w:val="fr-FR"/>
        </w:rPr>
        <w:t>Travaux du Sous-Comité d</w:t>
      </w:r>
      <w:r>
        <w:rPr>
          <w:lang w:val="fr-FR"/>
        </w:rPr>
        <w:t>’</w:t>
      </w:r>
      <w:r w:rsidRPr="00006F01">
        <w:rPr>
          <w:lang w:val="fr-FR"/>
        </w:rPr>
        <w:t xml:space="preserve">experts du transport des marchandises </w:t>
      </w:r>
      <w:r>
        <w:rPr>
          <w:lang w:val="fr-FR"/>
        </w:rPr>
        <w:br/>
      </w:r>
      <w:r w:rsidRPr="00006F01">
        <w:rPr>
          <w:lang w:val="fr-FR"/>
        </w:rPr>
        <w:t>dangereuses (TMD) sur des questions intéressant le Sous-Comité SGH</w:t>
      </w:r>
      <w:r>
        <w:tab/>
      </w:r>
      <w:r>
        <w:tab/>
        <w:t>14−16</w:t>
      </w:r>
      <w:r>
        <w:tab/>
        <w:t>5</w:t>
      </w:r>
    </w:p>
    <w:p w14:paraId="7B63523B"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Épreuves relatives aux matières comburantes</w:t>
      </w:r>
      <w:r>
        <w:tab/>
      </w:r>
      <w:r>
        <w:tab/>
        <w:t>14</w:t>
      </w:r>
      <w:r>
        <w:tab/>
        <w:t>5</w:t>
      </w:r>
    </w:p>
    <w:p w14:paraId="2C569B32"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Examen des épreuves de la série H</w:t>
      </w:r>
      <w:r>
        <w:tab/>
      </w:r>
      <w:r>
        <w:tab/>
        <w:t>15−16</w:t>
      </w:r>
      <w:r>
        <w:tab/>
        <w:t>5</w:t>
      </w:r>
    </w:p>
    <w:p w14:paraId="118C8716" w14:textId="77777777" w:rsidR="00906B85" w:rsidRDefault="00906B85" w:rsidP="00906B85">
      <w:pPr>
        <w:tabs>
          <w:tab w:val="right" w:leader="dot" w:pos="7654"/>
          <w:tab w:val="right" w:pos="8929"/>
          <w:tab w:val="right" w:pos="9638"/>
        </w:tabs>
        <w:spacing w:after="120"/>
        <w:ind w:left="1559" w:hanging="425"/>
      </w:pPr>
      <w:r>
        <w:t>B.</w:t>
      </w:r>
      <w:r>
        <w:tab/>
      </w:r>
      <w:r w:rsidRPr="00006F01">
        <w:rPr>
          <w:lang w:val="fr-FR"/>
        </w:rPr>
        <w:t>Révision du chapitre 2.1</w:t>
      </w:r>
      <w:r>
        <w:tab/>
      </w:r>
      <w:r>
        <w:tab/>
        <w:t>17</w:t>
      </w:r>
      <w:r>
        <w:tab/>
        <w:t>6</w:t>
      </w:r>
    </w:p>
    <w:p w14:paraId="57271A20" w14:textId="77777777" w:rsidR="00906B85" w:rsidRDefault="00906B85" w:rsidP="00906B85">
      <w:pPr>
        <w:tabs>
          <w:tab w:val="right" w:leader="dot" w:pos="7654"/>
          <w:tab w:val="right" w:pos="8929"/>
          <w:tab w:val="right" w:pos="9638"/>
        </w:tabs>
        <w:spacing w:after="120"/>
        <w:ind w:left="1559" w:hanging="425"/>
      </w:pPr>
      <w:r>
        <w:t>C.</w:t>
      </w:r>
      <w:r>
        <w:tab/>
      </w:r>
      <w:r w:rsidRPr="00066B2D">
        <w:rPr>
          <w:spacing w:val="-1"/>
          <w:lang w:val="fr-FR"/>
        </w:rPr>
        <w:t>Utilisation de méthodes d’expérimentation non animales pour le classement</w:t>
      </w:r>
      <w:r>
        <w:rPr>
          <w:lang w:val="fr-FR"/>
        </w:rPr>
        <w:br/>
      </w:r>
      <w:r w:rsidRPr="00006F01">
        <w:rPr>
          <w:lang w:val="fr-FR"/>
        </w:rPr>
        <w:t>des dangers pour la santé</w:t>
      </w:r>
      <w:r>
        <w:tab/>
      </w:r>
      <w:r>
        <w:tab/>
        <w:t>18−19</w:t>
      </w:r>
      <w:r>
        <w:tab/>
        <w:t>6</w:t>
      </w:r>
    </w:p>
    <w:p w14:paraId="1222343D" w14:textId="77777777" w:rsidR="00906B85" w:rsidRDefault="00906B85" w:rsidP="00906B85">
      <w:pPr>
        <w:tabs>
          <w:tab w:val="right" w:leader="dot" w:pos="7654"/>
          <w:tab w:val="right" w:pos="8929"/>
          <w:tab w:val="right" w:pos="9638"/>
        </w:tabs>
        <w:spacing w:after="120"/>
        <w:ind w:left="1559" w:hanging="425"/>
      </w:pPr>
      <w:r>
        <w:t>D.</w:t>
      </w:r>
      <w:r>
        <w:tab/>
      </w:r>
      <w:r w:rsidRPr="00006F01">
        <w:rPr>
          <w:lang w:val="fr-FR"/>
        </w:rPr>
        <w:t>Questions pratiques de classification</w:t>
      </w:r>
      <w:r>
        <w:tab/>
      </w:r>
      <w:r>
        <w:tab/>
        <w:t>20−22</w:t>
      </w:r>
      <w:r>
        <w:tab/>
        <w:t>6</w:t>
      </w:r>
    </w:p>
    <w:p w14:paraId="453AD03E" w14:textId="77777777" w:rsidR="00906B85" w:rsidRDefault="00906B85" w:rsidP="00906B85">
      <w:pPr>
        <w:tabs>
          <w:tab w:val="right" w:leader="dot" w:pos="7654"/>
          <w:tab w:val="right" w:pos="8929"/>
          <w:tab w:val="right" w:pos="9638"/>
        </w:tabs>
        <w:spacing w:after="120"/>
        <w:ind w:left="1559" w:hanging="425"/>
      </w:pPr>
      <w:r>
        <w:t>E.</w:t>
      </w:r>
      <w:r>
        <w:tab/>
      </w:r>
      <w:r w:rsidRPr="00006F01">
        <w:rPr>
          <w:lang w:val="fr-FR"/>
        </w:rPr>
        <w:t>Danger par aspiration</w:t>
      </w:r>
      <w:r>
        <w:tab/>
      </w:r>
      <w:r>
        <w:tab/>
        <w:t>23</w:t>
      </w:r>
      <w:r>
        <w:tab/>
        <w:t>7</w:t>
      </w:r>
    </w:p>
    <w:p w14:paraId="7C53AA52" w14:textId="77777777" w:rsidR="00906B85" w:rsidRDefault="00906B85" w:rsidP="00906B85">
      <w:pPr>
        <w:tabs>
          <w:tab w:val="right" w:leader="dot" w:pos="7654"/>
          <w:tab w:val="right" w:pos="8929"/>
          <w:tab w:val="right" w:pos="9638"/>
        </w:tabs>
        <w:spacing w:after="120"/>
        <w:ind w:left="1559" w:hanging="425"/>
      </w:pPr>
      <w:r>
        <w:t>F.</w:t>
      </w:r>
      <w:r>
        <w:tab/>
      </w:r>
      <w:r w:rsidRPr="00006F01">
        <w:rPr>
          <w:lang w:val="fr-FR"/>
        </w:rPr>
        <w:t>Nanomatériaux</w:t>
      </w:r>
      <w:r>
        <w:tab/>
      </w:r>
      <w:r>
        <w:tab/>
        <w:t>24</w:t>
      </w:r>
      <w:r>
        <w:tab/>
        <w:t>7</w:t>
      </w:r>
    </w:p>
    <w:p w14:paraId="30B9F6CA" w14:textId="77777777" w:rsidR="00906B85" w:rsidRDefault="00906B85" w:rsidP="00906B85">
      <w:pPr>
        <w:tabs>
          <w:tab w:val="right" w:leader="dot" w:pos="7654"/>
          <w:tab w:val="right" w:pos="8929"/>
          <w:tab w:val="right" w:pos="9638"/>
        </w:tabs>
        <w:spacing w:after="120"/>
        <w:ind w:left="1559" w:hanging="425"/>
      </w:pPr>
      <w:r>
        <w:t>G.</w:t>
      </w:r>
      <w:r>
        <w:tab/>
      </w:r>
      <w:r w:rsidRPr="00006F01">
        <w:rPr>
          <w:lang w:val="fr-FR"/>
        </w:rPr>
        <w:t xml:space="preserve">Classification simultanée dans les classes de danger physique </w:t>
      </w:r>
      <w:r>
        <w:rPr>
          <w:lang w:val="fr-FR"/>
        </w:rPr>
        <w:br/>
      </w:r>
      <w:r w:rsidRPr="00006F01">
        <w:rPr>
          <w:lang w:val="fr-FR"/>
        </w:rPr>
        <w:t>et précédence des dangers</w:t>
      </w:r>
      <w:r>
        <w:tab/>
      </w:r>
      <w:r>
        <w:tab/>
        <w:t>25</w:t>
      </w:r>
      <w:r>
        <w:tab/>
        <w:t>7</w:t>
      </w:r>
    </w:p>
    <w:p w14:paraId="693D658B" w14:textId="77777777" w:rsidR="00906B85" w:rsidRDefault="00906B85" w:rsidP="00906B85">
      <w:pPr>
        <w:tabs>
          <w:tab w:val="right" w:leader="dot" w:pos="7654"/>
          <w:tab w:val="right" w:pos="8929"/>
          <w:tab w:val="right" w:pos="9638"/>
        </w:tabs>
        <w:spacing w:after="120"/>
        <w:ind w:left="1559" w:hanging="425"/>
      </w:pPr>
      <w:r>
        <w:t>H.</w:t>
      </w:r>
      <w:r>
        <w:tab/>
      </w:r>
      <w:r w:rsidRPr="00006F01">
        <w:rPr>
          <w:lang w:val="fr-FR"/>
        </w:rPr>
        <w:t>Autres questions</w:t>
      </w:r>
      <w:r>
        <w:tab/>
      </w:r>
      <w:r>
        <w:tab/>
        <w:t>26−32</w:t>
      </w:r>
      <w:r>
        <w:tab/>
        <w:t>7</w:t>
      </w:r>
    </w:p>
    <w:p w14:paraId="736D6E3E"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Références au Règlement type</w:t>
      </w:r>
      <w:r>
        <w:tab/>
      </w:r>
      <w:r>
        <w:tab/>
        <w:t>26−27</w:t>
      </w:r>
      <w:r>
        <w:tab/>
        <w:t>7</w:t>
      </w:r>
    </w:p>
    <w:p w14:paraId="482B3E2E"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Corrections à la huitième édition révisée du SGH</w:t>
      </w:r>
      <w:r>
        <w:tab/>
      </w:r>
      <w:r>
        <w:tab/>
        <w:t>28</w:t>
      </w:r>
      <w:r>
        <w:tab/>
        <w:t>8</w:t>
      </w:r>
    </w:p>
    <w:p w14:paraId="3DFD35B7" w14:textId="77777777" w:rsidR="00906B85" w:rsidRDefault="00906B85" w:rsidP="00906B85">
      <w:pPr>
        <w:tabs>
          <w:tab w:val="right" w:leader="dot" w:pos="7654"/>
          <w:tab w:val="right" w:pos="8929"/>
          <w:tab w:val="right" w:pos="9638"/>
        </w:tabs>
        <w:spacing w:after="120"/>
        <w:ind w:left="1984" w:hanging="425"/>
      </w:pPr>
      <w:r>
        <w:lastRenderedPageBreak/>
        <w:t>3.</w:t>
      </w:r>
      <w:r>
        <w:tab/>
      </w:r>
      <w:r w:rsidRPr="00006F01">
        <w:rPr>
          <w:lang w:val="fr-FR"/>
        </w:rPr>
        <w:t xml:space="preserve">Clarification du paragraphe 2.9.3.4.3.4 du Règlement type </w:t>
      </w:r>
      <w:r>
        <w:rPr>
          <w:lang w:val="fr-FR"/>
        </w:rPr>
        <w:br/>
      </w:r>
      <w:r w:rsidRPr="00006F01">
        <w:rPr>
          <w:lang w:val="fr-FR"/>
        </w:rPr>
        <w:t>et du paragraphe 4.1.3.3.4 du SGH</w:t>
      </w:r>
      <w:r>
        <w:tab/>
      </w:r>
      <w:r>
        <w:tab/>
        <w:t>29−30</w:t>
      </w:r>
      <w:r>
        <w:tab/>
        <w:t>8</w:t>
      </w:r>
    </w:p>
    <w:p w14:paraId="36028080" w14:textId="77777777" w:rsidR="00906B85" w:rsidRDefault="00906B85" w:rsidP="00906B85">
      <w:pPr>
        <w:tabs>
          <w:tab w:val="right" w:leader="dot" w:pos="7654"/>
          <w:tab w:val="right" w:pos="8929"/>
          <w:tab w:val="right" w:pos="9638"/>
        </w:tabs>
        <w:spacing w:after="120"/>
        <w:ind w:left="1984" w:hanging="425"/>
      </w:pPr>
      <w:r>
        <w:t>4.</w:t>
      </w:r>
      <w:r>
        <w:tab/>
      </w:r>
      <w:r w:rsidRPr="00006F01">
        <w:rPr>
          <w:lang w:val="fr-FR"/>
        </w:rPr>
        <w:t xml:space="preserve">Proposition de clarification des sous-catégories de matières irritantes </w:t>
      </w:r>
      <w:r>
        <w:rPr>
          <w:lang w:val="fr-FR"/>
        </w:rPr>
        <w:br/>
      </w:r>
      <w:r w:rsidRPr="00006F01">
        <w:rPr>
          <w:lang w:val="fr-FR"/>
        </w:rPr>
        <w:t>pour les yeux</w:t>
      </w:r>
      <w:r>
        <w:tab/>
      </w:r>
      <w:r>
        <w:tab/>
        <w:t>31−32</w:t>
      </w:r>
      <w:r>
        <w:tab/>
        <w:t>8</w:t>
      </w:r>
    </w:p>
    <w:p w14:paraId="1908923B" w14:textId="77777777" w:rsidR="00906B85" w:rsidRDefault="00906B85" w:rsidP="00906B85">
      <w:pPr>
        <w:tabs>
          <w:tab w:val="right" w:pos="850"/>
          <w:tab w:val="right" w:leader="dot" w:pos="7654"/>
          <w:tab w:val="right" w:pos="8929"/>
          <w:tab w:val="right" w:pos="9638"/>
        </w:tabs>
        <w:spacing w:after="120"/>
        <w:ind w:left="1134" w:hanging="1134"/>
      </w:pPr>
      <w:r>
        <w:tab/>
        <w:t>IV.</w:t>
      </w:r>
      <w:r>
        <w:tab/>
      </w:r>
      <w:r w:rsidRPr="00006F01">
        <w:rPr>
          <w:lang w:val="fr-FR"/>
        </w:rPr>
        <w:t>Questions relatives à la communication des dangers (point 3 de l</w:t>
      </w:r>
      <w:r>
        <w:rPr>
          <w:lang w:val="fr-FR"/>
        </w:rPr>
        <w:t>’</w:t>
      </w:r>
      <w:r w:rsidRPr="00006F01">
        <w:rPr>
          <w:lang w:val="fr-FR"/>
        </w:rPr>
        <w:t>ordre du jour)</w:t>
      </w:r>
      <w:r>
        <w:tab/>
      </w:r>
      <w:r>
        <w:tab/>
        <w:t>33−42</w:t>
      </w:r>
      <w:r>
        <w:tab/>
        <w:t>8</w:t>
      </w:r>
    </w:p>
    <w:p w14:paraId="78DEB234" w14:textId="77777777" w:rsidR="00906B85" w:rsidRDefault="00906B85" w:rsidP="00906B85">
      <w:pPr>
        <w:tabs>
          <w:tab w:val="right" w:leader="dot" w:pos="7654"/>
          <w:tab w:val="right" w:pos="8929"/>
          <w:tab w:val="right" w:pos="9638"/>
        </w:tabs>
        <w:spacing w:after="120"/>
        <w:ind w:left="1559" w:hanging="425"/>
      </w:pPr>
      <w:r>
        <w:t>A.</w:t>
      </w:r>
      <w:r>
        <w:tab/>
      </w:r>
      <w:r w:rsidRPr="00006F01">
        <w:rPr>
          <w:lang w:val="fr-FR"/>
        </w:rPr>
        <w:t>Questions pratiques d</w:t>
      </w:r>
      <w:r>
        <w:rPr>
          <w:lang w:val="fr-FR"/>
        </w:rPr>
        <w:t>’</w:t>
      </w:r>
      <w:r w:rsidRPr="00006F01">
        <w:rPr>
          <w:lang w:val="fr-FR"/>
        </w:rPr>
        <w:t>étiquetage</w:t>
      </w:r>
      <w:r>
        <w:tab/>
      </w:r>
      <w:r>
        <w:tab/>
        <w:t>33−35</w:t>
      </w:r>
      <w:r>
        <w:tab/>
        <w:t>8</w:t>
      </w:r>
    </w:p>
    <w:p w14:paraId="12676DC1"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Révision des exemples 1 à 7 de l</w:t>
      </w:r>
      <w:r>
        <w:rPr>
          <w:lang w:val="fr-FR"/>
        </w:rPr>
        <w:t>’</w:t>
      </w:r>
      <w:r w:rsidRPr="00006F01">
        <w:rPr>
          <w:lang w:val="fr-FR"/>
        </w:rPr>
        <w:t>annexe 7</w:t>
      </w:r>
      <w:r>
        <w:tab/>
      </w:r>
      <w:r>
        <w:tab/>
        <w:t>33</w:t>
      </w:r>
      <w:r>
        <w:tab/>
        <w:t>8</w:t>
      </w:r>
    </w:p>
    <w:p w14:paraId="24EA3824"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Numérisation des informations concernant les dangers</w:t>
      </w:r>
      <w:r>
        <w:tab/>
      </w:r>
      <w:r>
        <w:tab/>
        <w:t>34−35</w:t>
      </w:r>
      <w:r>
        <w:tab/>
        <w:t>9</w:t>
      </w:r>
    </w:p>
    <w:p w14:paraId="48788B4E" w14:textId="77777777" w:rsidR="00906B85" w:rsidRDefault="00906B85" w:rsidP="00906B85">
      <w:pPr>
        <w:tabs>
          <w:tab w:val="right" w:leader="dot" w:pos="7654"/>
          <w:tab w:val="right" w:pos="8929"/>
          <w:tab w:val="right" w:pos="9638"/>
        </w:tabs>
        <w:spacing w:after="120"/>
        <w:ind w:left="1559" w:hanging="425"/>
      </w:pPr>
      <w:r>
        <w:t>B.</w:t>
      </w:r>
      <w:r>
        <w:tab/>
      </w:r>
      <w:r w:rsidRPr="00006F01">
        <w:rPr>
          <w:lang w:val="fr-FR"/>
        </w:rPr>
        <w:t>Amélioration des annexes 1 à 3 et poursuite de la rationalisation</w:t>
      </w:r>
      <w:r>
        <w:rPr>
          <w:lang w:val="fr-FR"/>
        </w:rPr>
        <w:br/>
      </w:r>
      <w:r w:rsidRPr="00006F01">
        <w:rPr>
          <w:lang w:val="fr-FR"/>
        </w:rPr>
        <w:t>des conseils de prudence</w:t>
      </w:r>
      <w:r>
        <w:tab/>
      </w:r>
      <w:r>
        <w:tab/>
        <w:t>36−39</w:t>
      </w:r>
      <w:r>
        <w:tab/>
        <w:t>9</w:t>
      </w:r>
    </w:p>
    <w:p w14:paraId="5384FB16"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Propositions de modifications à apporter à l</w:t>
      </w:r>
      <w:r>
        <w:rPr>
          <w:lang w:val="fr-FR"/>
        </w:rPr>
        <w:t>’</w:t>
      </w:r>
      <w:r w:rsidRPr="00006F01">
        <w:rPr>
          <w:lang w:val="fr-FR"/>
        </w:rPr>
        <w:t>annexe 1 du SGH</w:t>
      </w:r>
      <w:r>
        <w:tab/>
      </w:r>
      <w:r>
        <w:tab/>
        <w:t>36</w:t>
      </w:r>
      <w:r>
        <w:tab/>
        <w:t>9</w:t>
      </w:r>
    </w:p>
    <w:p w14:paraId="2FA16D56"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Corrections et modifications à apporter aux sections 2 et 3</w:t>
      </w:r>
      <w:r>
        <w:rPr>
          <w:lang w:val="fr-FR"/>
        </w:rPr>
        <w:br/>
      </w:r>
      <w:r w:rsidRPr="00006F01">
        <w:rPr>
          <w:lang w:val="fr-FR"/>
        </w:rPr>
        <w:t>de l</w:t>
      </w:r>
      <w:r>
        <w:rPr>
          <w:lang w:val="fr-FR"/>
        </w:rPr>
        <w:t>’</w:t>
      </w:r>
      <w:r w:rsidRPr="00006F01">
        <w:rPr>
          <w:lang w:val="fr-FR"/>
        </w:rPr>
        <w:t>annexe 3</w:t>
      </w:r>
      <w:r>
        <w:tab/>
      </w:r>
      <w:r>
        <w:tab/>
        <w:t>37</w:t>
      </w:r>
      <w:r>
        <w:tab/>
        <w:t>9</w:t>
      </w:r>
    </w:p>
    <w:p w14:paraId="5EEC36C2" w14:textId="77777777" w:rsidR="00906B85" w:rsidRDefault="00906B85" w:rsidP="00906B85">
      <w:pPr>
        <w:tabs>
          <w:tab w:val="right" w:leader="dot" w:pos="7654"/>
          <w:tab w:val="right" w:pos="8929"/>
          <w:tab w:val="right" w:pos="9638"/>
        </w:tabs>
        <w:spacing w:after="120"/>
        <w:ind w:left="1984" w:hanging="425"/>
      </w:pPr>
      <w:r>
        <w:t>3.</w:t>
      </w:r>
      <w:r>
        <w:tab/>
      </w:r>
      <w:r w:rsidRPr="00831A38">
        <w:rPr>
          <w:spacing w:val="-2"/>
          <w:lang w:val="fr-FR"/>
        </w:rPr>
        <w:t>État d</w:t>
      </w:r>
      <w:r>
        <w:rPr>
          <w:spacing w:val="-2"/>
          <w:lang w:val="fr-FR"/>
        </w:rPr>
        <w:t>’</w:t>
      </w:r>
      <w:r w:rsidRPr="00831A38">
        <w:rPr>
          <w:spacing w:val="-2"/>
          <w:lang w:val="fr-FR"/>
        </w:rPr>
        <w:t>avancement des travaux du groupe de travail informel chargé</w:t>
      </w:r>
      <w:r>
        <w:rPr>
          <w:spacing w:val="-2"/>
          <w:lang w:val="fr-FR"/>
        </w:rPr>
        <w:br/>
      </w:r>
      <w:r w:rsidRPr="00831A38">
        <w:rPr>
          <w:spacing w:val="-2"/>
          <w:lang w:val="fr-FR"/>
        </w:rPr>
        <w:t>de l</w:t>
      </w:r>
      <w:r>
        <w:rPr>
          <w:spacing w:val="-2"/>
          <w:lang w:val="fr-FR"/>
        </w:rPr>
        <w:t>’</w:t>
      </w:r>
      <w:r w:rsidRPr="00831A38">
        <w:rPr>
          <w:spacing w:val="-2"/>
          <w:lang w:val="fr-FR"/>
        </w:rPr>
        <w:t>amélioration</w:t>
      </w:r>
      <w:r w:rsidRPr="00006F01">
        <w:rPr>
          <w:lang w:val="fr-FR"/>
        </w:rPr>
        <w:t xml:space="preserve"> des annexes 1 à 3 du SGH</w:t>
      </w:r>
      <w:r>
        <w:tab/>
      </w:r>
      <w:r>
        <w:tab/>
        <w:t>38−39</w:t>
      </w:r>
      <w:r>
        <w:tab/>
        <w:t>9</w:t>
      </w:r>
    </w:p>
    <w:p w14:paraId="26FDAB5C" w14:textId="77777777" w:rsidR="00906B85" w:rsidRDefault="00906B85" w:rsidP="00906B85">
      <w:pPr>
        <w:tabs>
          <w:tab w:val="right" w:leader="dot" w:pos="7654"/>
          <w:tab w:val="right" w:pos="8929"/>
          <w:tab w:val="right" w:pos="9638"/>
        </w:tabs>
        <w:spacing w:after="120"/>
        <w:ind w:left="1559" w:hanging="425"/>
      </w:pPr>
      <w:r>
        <w:t>C.</w:t>
      </w:r>
      <w:r>
        <w:tab/>
      </w:r>
      <w:r w:rsidRPr="00006F01">
        <w:rPr>
          <w:lang w:val="fr-FR"/>
        </w:rPr>
        <w:t>Révision de l</w:t>
      </w:r>
      <w:r>
        <w:rPr>
          <w:lang w:val="fr-FR"/>
        </w:rPr>
        <w:t>’</w:t>
      </w:r>
      <w:r w:rsidRPr="00006F01">
        <w:rPr>
          <w:lang w:val="fr-FR"/>
        </w:rPr>
        <w:t>annexe 4, sous-section A4.3.3.2.3</w:t>
      </w:r>
      <w:r>
        <w:tab/>
      </w:r>
      <w:r>
        <w:tab/>
        <w:t>40</w:t>
      </w:r>
      <w:r>
        <w:tab/>
        <w:t>10</w:t>
      </w:r>
    </w:p>
    <w:p w14:paraId="6CA3BE10" w14:textId="77777777" w:rsidR="00906B85" w:rsidRDefault="00906B85" w:rsidP="00906B85">
      <w:pPr>
        <w:tabs>
          <w:tab w:val="right" w:leader="dot" w:pos="7654"/>
          <w:tab w:val="right" w:pos="8929"/>
          <w:tab w:val="right" w:pos="9638"/>
        </w:tabs>
        <w:spacing w:after="120"/>
        <w:ind w:left="1559" w:hanging="425"/>
      </w:pPr>
      <w:r>
        <w:t>D.</w:t>
      </w:r>
      <w:r>
        <w:tab/>
      </w:r>
      <w:r w:rsidRPr="00006F01">
        <w:rPr>
          <w:lang w:val="fr-FR"/>
        </w:rPr>
        <w:t>Autres questions</w:t>
      </w:r>
      <w:r>
        <w:tab/>
      </w:r>
      <w:r>
        <w:tab/>
        <w:t>41−42</w:t>
      </w:r>
      <w:r>
        <w:tab/>
        <w:t>10</w:t>
      </w:r>
    </w:p>
    <w:p w14:paraId="60BF5D41"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Corrections à apporter aux mentions de danger H410, H411 et H412</w:t>
      </w:r>
      <w:r>
        <w:tab/>
      </w:r>
      <w:r>
        <w:tab/>
        <w:t>41</w:t>
      </w:r>
      <w:r>
        <w:tab/>
        <w:t>10</w:t>
      </w:r>
    </w:p>
    <w:p w14:paraId="286960C1"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 xml:space="preserve">Proposition de clarification pour le titre de la section 9 du document </w:t>
      </w:r>
      <w:r>
        <w:rPr>
          <w:lang w:val="fr-FR"/>
        </w:rPr>
        <w:br/>
      </w:r>
      <w:r w:rsidRPr="00006F01">
        <w:rPr>
          <w:lang w:val="fr-FR"/>
        </w:rPr>
        <w:t>guide sur l</w:t>
      </w:r>
      <w:r>
        <w:rPr>
          <w:lang w:val="fr-FR"/>
        </w:rPr>
        <w:t>’</w:t>
      </w:r>
      <w:r w:rsidRPr="00006F01">
        <w:rPr>
          <w:lang w:val="fr-FR"/>
        </w:rPr>
        <w:t>élaboration de fiches de données de sécurité</w:t>
      </w:r>
      <w:r>
        <w:tab/>
      </w:r>
      <w:r>
        <w:tab/>
        <w:t>42</w:t>
      </w:r>
      <w:r>
        <w:tab/>
        <w:t>10</w:t>
      </w:r>
    </w:p>
    <w:p w14:paraId="6DB1934B" w14:textId="77777777" w:rsidR="00906B85" w:rsidRDefault="00906B85" w:rsidP="00906B85">
      <w:pPr>
        <w:keepNext/>
        <w:tabs>
          <w:tab w:val="right" w:pos="850"/>
          <w:tab w:val="right" w:leader="dot" w:pos="7654"/>
          <w:tab w:val="right" w:pos="8929"/>
          <w:tab w:val="right" w:pos="9638"/>
        </w:tabs>
        <w:spacing w:after="120"/>
        <w:ind w:left="1134" w:hanging="1134"/>
      </w:pPr>
      <w:r>
        <w:tab/>
        <w:t>V.</w:t>
      </w:r>
      <w:r>
        <w:tab/>
      </w:r>
      <w:r w:rsidRPr="00006F01">
        <w:rPr>
          <w:lang w:val="fr-FR"/>
        </w:rPr>
        <w:t>Mise en œuvre du SGH (point 4 de l</w:t>
      </w:r>
      <w:r>
        <w:rPr>
          <w:lang w:val="fr-FR"/>
        </w:rPr>
        <w:t>’</w:t>
      </w:r>
      <w:r w:rsidRPr="00006F01">
        <w:rPr>
          <w:lang w:val="fr-FR"/>
        </w:rPr>
        <w:t>ordre du jour)</w:t>
      </w:r>
      <w:r>
        <w:tab/>
      </w:r>
      <w:r>
        <w:tab/>
        <w:t>43−53</w:t>
      </w:r>
      <w:r>
        <w:tab/>
        <w:t>10</w:t>
      </w:r>
    </w:p>
    <w:p w14:paraId="506C9384" w14:textId="77777777" w:rsidR="00906B85" w:rsidRDefault="00906B85" w:rsidP="00906B85">
      <w:pPr>
        <w:tabs>
          <w:tab w:val="right" w:leader="dot" w:pos="7654"/>
          <w:tab w:val="right" w:pos="8929"/>
          <w:tab w:val="right" w:pos="9638"/>
        </w:tabs>
        <w:spacing w:after="120"/>
        <w:ind w:left="1559" w:hanging="425"/>
      </w:pPr>
      <w:r>
        <w:t>A.</w:t>
      </w:r>
      <w:r>
        <w:tab/>
      </w:r>
      <w:r w:rsidRPr="00006F01">
        <w:rPr>
          <w:lang w:val="fr-FR"/>
        </w:rPr>
        <w:t>Possibilité d</w:t>
      </w:r>
      <w:r>
        <w:rPr>
          <w:lang w:val="fr-FR"/>
        </w:rPr>
        <w:t>’</w:t>
      </w:r>
      <w:r w:rsidRPr="00006F01">
        <w:rPr>
          <w:lang w:val="fr-FR"/>
        </w:rPr>
        <w:t>élaboration d</w:t>
      </w:r>
      <w:r>
        <w:rPr>
          <w:lang w:val="fr-FR"/>
        </w:rPr>
        <w:t>’</w:t>
      </w:r>
      <w:r w:rsidRPr="00006F01">
        <w:rPr>
          <w:lang w:val="fr-FR"/>
        </w:rPr>
        <w:t xml:space="preserve">une liste des produits chimiques classés </w:t>
      </w:r>
      <w:r>
        <w:rPr>
          <w:lang w:val="fr-FR"/>
        </w:rPr>
        <w:br/>
      </w:r>
      <w:r w:rsidRPr="00006F01">
        <w:rPr>
          <w:lang w:val="fr-FR"/>
        </w:rPr>
        <w:t>conformément au SGH</w:t>
      </w:r>
      <w:r>
        <w:tab/>
      </w:r>
      <w:r>
        <w:tab/>
        <w:t>43</w:t>
      </w:r>
      <w:r>
        <w:tab/>
        <w:t>10</w:t>
      </w:r>
    </w:p>
    <w:p w14:paraId="7063FEC0" w14:textId="77777777" w:rsidR="00906B85" w:rsidRDefault="00906B85" w:rsidP="00906B85">
      <w:pPr>
        <w:tabs>
          <w:tab w:val="right" w:leader="dot" w:pos="7654"/>
          <w:tab w:val="right" w:pos="8929"/>
          <w:tab w:val="right" w:pos="9638"/>
        </w:tabs>
        <w:spacing w:after="120"/>
        <w:ind w:left="1559" w:hanging="425"/>
      </w:pPr>
      <w:r>
        <w:t>B.</w:t>
      </w:r>
      <w:r>
        <w:tab/>
      </w:r>
      <w:r w:rsidRPr="00006F01">
        <w:rPr>
          <w:lang w:val="fr-FR"/>
        </w:rPr>
        <w:t>Rapports relatifs à l</w:t>
      </w:r>
      <w:r>
        <w:rPr>
          <w:lang w:val="fr-FR"/>
        </w:rPr>
        <w:t>’</w:t>
      </w:r>
      <w:r w:rsidRPr="00006F01">
        <w:rPr>
          <w:lang w:val="fr-FR"/>
        </w:rPr>
        <w:t>état de la mise en œuvre</w:t>
      </w:r>
      <w:r>
        <w:tab/>
      </w:r>
      <w:r>
        <w:tab/>
        <w:t>44−48</w:t>
      </w:r>
      <w:r>
        <w:tab/>
        <w:t>10</w:t>
      </w:r>
    </w:p>
    <w:p w14:paraId="4730F6BF" w14:textId="77777777" w:rsidR="00906B85" w:rsidRDefault="00906B85" w:rsidP="00906B85">
      <w:pPr>
        <w:tabs>
          <w:tab w:val="right" w:leader="dot" w:pos="7654"/>
          <w:tab w:val="right" w:pos="8929"/>
          <w:tab w:val="right" w:pos="9638"/>
        </w:tabs>
        <w:spacing w:after="120"/>
        <w:ind w:left="1984" w:hanging="425"/>
      </w:pPr>
      <w:r>
        <w:t>1.</w:t>
      </w:r>
      <w:r>
        <w:tab/>
        <w:t>Australie</w:t>
      </w:r>
      <w:r>
        <w:tab/>
      </w:r>
      <w:r>
        <w:tab/>
        <w:t>44</w:t>
      </w:r>
      <w:r>
        <w:tab/>
        <w:t>10</w:t>
      </w:r>
    </w:p>
    <w:p w14:paraId="3C76E5EA"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Union européenne</w:t>
      </w:r>
      <w:r>
        <w:tab/>
      </w:r>
      <w:r>
        <w:tab/>
        <w:t>45</w:t>
      </w:r>
      <w:r>
        <w:tab/>
        <w:t>10</w:t>
      </w:r>
    </w:p>
    <w:p w14:paraId="385F0465" w14:textId="77777777" w:rsidR="00906B85" w:rsidRDefault="00906B85" w:rsidP="00906B85">
      <w:pPr>
        <w:tabs>
          <w:tab w:val="right" w:leader="dot" w:pos="7654"/>
          <w:tab w:val="right" w:pos="8929"/>
          <w:tab w:val="right" w:pos="9638"/>
        </w:tabs>
        <w:spacing w:after="120"/>
        <w:ind w:left="1984" w:hanging="425"/>
      </w:pPr>
      <w:r>
        <w:t>3.</w:t>
      </w:r>
      <w:r>
        <w:tab/>
      </w:r>
      <w:r w:rsidRPr="00006F01">
        <w:rPr>
          <w:lang w:val="fr-FR"/>
        </w:rPr>
        <w:t>Nouvelle-Zélande et Communauté andine</w:t>
      </w:r>
      <w:r>
        <w:tab/>
      </w:r>
      <w:r>
        <w:tab/>
        <w:t>46</w:t>
      </w:r>
      <w:r>
        <w:tab/>
        <w:t>11</w:t>
      </w:r>
    </w:p>
    <w:p w14:paraId="30386DFC" w14:textId="77777777" w:rsidR="00906B85" w:rsidRDefault="00906B85" w:rsidP="00906B85">
      <w:pPr>
        <w:tabs>
          <w:tab w:val="right" w:leader="dot" w:pos="7654"/>
          <w:tab w:val="right" w:pos="8929"/>
          <w:tab w:val="right" w:pos="9638"/>
        </w:tabs>
        <w:spacing w:after="120"/>
        <w:ind w:left="1984" w:hanging="425"/>
      </w:pPr>
      <w:r>
        <w:t>4.</w:t>
      </w:r>
      <w:r>
        <w:tab/>
      </w:r>
      <w:r w:rsidRPr="00006F01">
        <w:rPr>
          <w:lang w:val="fr-FR"/>
        </w:rPr>
        <w:t>Canada et États-Unis d</w:t>
      </w:r>
      <w:r>
        <w:rPr>
          <w:lang w:val="fr-FR"/>
        </w:rPr>
        <w:t>’</w:t>
      </w:r>
      <w:r w:rsidRPr="00006F01">
        <w:rPr>
          <w:lang w:val="fr-FR"/>
        </w:rPr>
        <w:t>Amérique</w:t>
      </w:r>
      <w:r>
        <w:tab/>
      </w:r>
      <w:r>
        <w:tab/>
        <w:t>47</w:t>
      </w:r>
      <w:r>
        <w:tab/>
        <w:t>11</w:t>
      </w:r>
    </w:p>
    <w:p w14:paraId="7FE02779" w14:textId="77777777" w:rsidR="00906B85" w:rsidRDefault="00906B85" w:rsidP="00906B85">
      <w:pPr>
        <w:tabs>
          <w:tab w:val="right" w:leader="dot" w:pos="7654"/>
          <w:tab w:val="right" w:pos="8929"/>
          <w:tab w:val="right" w:pos="9638"/>
        </w:tabs>
        <w:spacing w:after="120"/>
        <w:ind w:left="1984" w:hanging="425"/>
      </w:pPr>
      <w:r>
        <w:t>5.</w:t>
      </w:r>
      <w:r>
        <w:tab/>
      </w:r>
      <w:r w:rsidRPr="00006F01">
        <w:rPr>
          <w:lang w:val="fr-FR"/>
        </w:rPr>
        <w:t>Informations relatives à l</w:t>
      </w:r>
      <w:r>
        <w:rPr>
          <w:lang w:val="fr-FR"/>
        </w:rPr>
        <w:t>’</w:t>
      </w:r>
      <w:r w:rsidRPr="00006F01">
        <w:rPr>
          <w:lang w:val="fr-FR"/>
        </w:rPr>
        <w:t>état d</w:t>
      </w:r>
      <w:r>
        <w:rPr>
          <w:lang w:val="fr-FR"/>
        </w:rPr>
        <w:t>’</w:t>
      </w:r>
      <w:r w:rsidRPr="00006F01">
        <w:rPr>
          <w:lang w:val="fr-FR"/>
        </w:rPr>
        <w:t xml:space="preserve">avancement de la mise en œuvre </w:t>
      </w:r>
      <w:r>
        <w:rPr>
          <w:lang w:val="fr-FR"/>
        </w:rPr>
        <w:br/>
      </w:r>
      <w:r w:rsidRPr="00006F01">
        <w:rPr>
          <w:lang w:val="fr-FR"/>
        </w:rPr>
        <w:t>du SGH</w:t>
      </w:r>
      <w:r>
        <w:tab/>
      </w:r>
      <w:r>
        <w:tab/>
        <w:t>48</w:t>
      </w:r>
      <w:r>
        <w:tab/>
        <w:t>11</w:t>
      </w:r>
    </w:p>
    <w:p w14:paraId="55573F5F" w14:textId="77777777" w:rsidR="00906B85" w:rsidRDefault="00906B85" w:rsidP="00906B85">
      <w:pPr>
        <w:tabs>
          <w:tab w:val="right" w:leader="dot" w:pos="7654"/>
          <w:tab w:val="right" w:pos="8929"/>
          <w:tab w:val="right" w:pos="9638"/>
        </w:tabs>
        <w:spacing w:after="120"/>
        <w:ind w:left="1559" w:hanging="425"/>
      </w:pPr>
      <w:r>
        <w:t>C.</w:t>
      </w:r>
      <w:r>
        <w:tab/>
      </w:r>
      <w:r w:rsidRPr="00006F01">
        <w:rPr>
          <w:lang w:val="fr-FR"/>
        </w:rPr>
        <w:t>Coopération avec d</w:t>
      </w:r>
      <w:r>
        <w:rPr>
          <w:lang w:val="fr-FR"/>
        </w:rPr>
        <w:t>’</w:t>
      </w:r>
      <w:r w:rsidRPr="00006F01">
        <w:rPr>
          <w:lang w:val="fr-FR"/>
        </w:rPr>
        <w:t>autres organes ou organisations internationales</w:t>
      </w:r>
      <w:r>
        <w:tab/>
      </w:r>
      <w:r>
        <w:tab/>
        <w:t>49−52</w:t>
      </w:r>
      <w:r>
        <w:tab/>
        <w:t>11</w:t>
      </w:r>
    </w:p>
    <w:p w14:paraId="0F270771" w14:textId="77777777" w:rsidR="00906B85" w:rsidRDefault="00906B85" w:rsidP="00906B85">
      <w:pPr>
        <w:tabs>
          <w:tab w:val="right" w:leader="dot" w:pos="7654"/>
          <w:tab w:val="right" w:pos="8929"/>
          <w:tab w:val="right" w:pos="9638"/>
        </w:tabs>
        <w:spacing w:after="120"/>
        <w:ind w:left="1984" w:hanging="425"/>
      </w:pPr>
      <w:r>
        <w:t>1.</w:t>
      </w:r>
      <w:r>
        <w:tab/>
      </w:r>
      <w:r w:rsidRPr="00006F01">
        <w:rPr>
          <w:lang w:val="fr-FR"/>
        </w:rPr>
        <w:t>Examen et mise à jour des références aux documents d</w:t>
      </w:r>
      <w:r>
        <w:rPr>
          <w:lang w:val="fr-FR"/>
        </w:rPr>
        <w:t>’</w:t>
      </w:r>
      <w:r w:rsidRPr="00006F01">
        <w:rPr>
          <w:lang w:val="fr-FR"/>
        </w:rPr>
        <w:t xml:space="preserve">orientation </w:t>
      </w:r>
      <w:r>
        <w:rPr>
          <w:lang w:val="fr-FR"/>
        </w:rPr>
        <w:br/>
      </w:r>
      <w:r w:rsidRPr="00006F01">
        <w:rPr>
          <w:lang w:val="fr-FR"/>
        </w:rPr>
        <w:t>et aux lignes directrices pour les essais de l</w:t>
      </w:r>
      <w:r>
        <w:rPr>
          <w:lang w:val="fr-FR"/>
        </w:rPr>
        <w:t>’</w:t>
      </w:r>
      <w:r w:rsidRPr="00006F01">
        <w:rPr>
          <w:lang w:val="fr-FR"/>
        </w:rPr>
        <w:t>OCDE dans le SGH</w:t>
      </w:r>
      <w:r>
        <w:tab/>
      </w:r>
      <w:r>
        <w:tab/>
        <w:t>49−50</w:t>
      </w:r>
      <w:r>
        <w:tab/>
        <w:t>11</w:t>
      </w:r>
    </w:p>
    <w:p w14:paraId="67552B0D" w14:textId="77777777" w:rsidR="00906B85" w:rsidRDefault="00906B85" w:rsidP="00906B85">
      <w:pPr>
        <w:tabs>
          <w:tab w:val="right" w:leader="dot" w:pos="7654"/>
          <w:tab w:val="right" w:pos="8929"/>
          <w:tab w:val="right" w:pos="9638"/>
        </w:tabs>
        <w:spacing w:after="120"/>
        <w:ind w:left="1984" w:hanging="425"/>
      </w:pPr>
      <w:r>
        <w:t>2.</w:t>
      </w:r>
      <w:r>
        <w:tab/>
      </w:r>
      <w:r w:rsidRPr="00006F01">
        <w:rPr>
          <w:lang w:val="fr-FR"/>
        </w:rPr>
        <w:t>Groupe d</w:t>
      </w:r>
      <w:r>
        <w:rPr>
          <w:lang w:val="fr-FR"/>
        </w:rPr>
        <w:t>’</w:t>
      </w:r>
      <w:r w:rsidRPr="00006F01">
        <w:rPr>
          <w:lang w:val="fr-FR"/>
        </w:rPr>
        <w:t>experts chargé de l</w:t>
      </w:r>
      <w:r>
        <w:rPr>
          <w:lang w:val="fr-FR"/>
        </w:rPr>
        <w:t>’</w:t>
      </w:r>
      <w:r w:rsidRPr="00006F01">
        <w:rPr>
          <w:lang w:val="fr-FR"/>
        </w:rPr>
        <w:t xml:space="preserve">examen des annexes à la Convention </w:t>
      </w:r>
      <w:r>
        <w:rPr>
          <w:lang w:val="fr-FR"/>
        </w:rPr>
        <w:br/>
      </w:r>
      <w:r w:rsidRPr="00006F01">
        <w:rPr>
          <w:lang w:val="fr-FR"/>
        </w:rPr>
        <w:t>de Bâle sur le contrôle des mouvements transfrontières de déchets</w:t>
      </w:r>
      <w:r>
        <w:rPr>
          <w:lang w:val="fr-FR"/>
        </w:rPr>
        <w:br/>
      </w:r>
      <w:r w:rsidRPr="00006F01">
        <w:rPr>
          <w:lang w:val="fr-FR"/>
        </w:rPr>
        <w:t>dangereux et de leur élimination</w:t>
      </w:r>
      <w:r>
        <w:tab/>
      </w:r>
      <w:r>
        <w:tab/>
        <w:t>51</w:t>
      </w:r>
      <w:r>
        <w:tab/>
        <w:t>11</w:t>
      </w:r>
    </w:p>
    <w:p w14:paraId="496189FB" w14:textId="77777777" w:rsidR="00906B85" w:rsidRDefault="00906B85" w:rsidP="00906B85">
      <w:pPr>
        <w:tabs>
          <w:tab w:val="right" w:leader="dot" w:pos="7654"/>
          <w:tab w:val="right" w:pos="8929"/>
          <w:tab w:val="right" w:pos="9638"/>
        </w:tabs>
        <w:spacing w:after="120"/>
        <w:ind w:left="1984" w:hanging="425"/>
      </w:pPr>
      <w:r>
        <w:t>3.</w:t>
      </w:r>
      <w:r>
        <w:tab/>
      </w:r>
      <w:r w:rsidRPr="00006F01">
        <w:rPr>
          <w:lang w:val="fr-FR"/>
        </w:rPr>
        <w:t xml:space="preserve">Approche stratégique et gestion efficace des produits chimiques </w:t>
      </w:r>
      <w:r>
        <w:rPr>
          <w:lang w:val="fr-FR"/>
        </w:rPr>
        <w:br/>
      </w:r>
      <w:r w:rsidRPr="00006F01">
        <w:rPr>
          <w:lang w:val="fr-FR"/>
        </w:rPr>
        <w:t>et des déchets après 2020</w:t>
      </w:r>
      <w:r>
        <w:tab/>
      </w:r>
      <w:r>
        <w:tab/>
        <w:t>52</w:t>
      </w:r>
      <w:r>
        <w:tab/>
        <w:t>11</w:t>
      </w:r>
    </w:p>
    <w:p w14:paraId="3DF7507A" w14:textId="77777777" w:rsidR="00906B85" w:rsidRDefault="00906B85" w:rsidP="00906B85">
      <w:pPr>
        <w:tabs>
          <w:tab w:val="right" w:leader="dot" w:pos="7654"/>
          <w:tab w:val="right" w:pos="8929"/>
          <w:tab w:val="right" w:pos="9638"/>
        </w:tabs>
        <w:spacing w:after="120"/>
        <w:ind w:left="1559" w:hanging="425"/>
      </w:pPr>
      <w:r>
        <w:t>D.</w:t>
      </w:r>
      <w:r>
        <w:tab/>
      </w:r>
      <w:r w:rsidRPr="00006F01">
        <w:rPr>
          <w:lang w:val="fr-FR"/>
        </w:rPr>
        <w:t>Autres questions</w:t>
      </w:r>
      <w:r>
        <w:tab/>
      </w:r>
      <w:r>
        <w:tab/>
        <w:t>53</w:t>
      </w:r>
      <w:r>
        <w:tab/>
        <w:t>12</w:t>
      </w:r>
    </w:p>
    <w:p w14:paraId="53D7408B" w14:textId="77777777" w:rsidR="00906B85" w:rsidRDefault="00906B85" w:rsidP="00906B85">
      <w:pPr>
        <w:tabs>
          <w:tab w:val="right" w:pos="850"/>
          <w:tab w:val="right" w:leader="dot" w:pos="7654"/>
          <w:tab w:val="right" w:pos="8929"/>
          <w:tab w:val="right" w:pos="9638"/>
        </w:tabs>
        <w:spacing w:after="120"/>
        <w:ind w:left="1134" w:hanging="1134"/>
      </w:pPr>
      <w:r>
        <w:tab/>
        <w:t>VI.</w:t>
      </w:r>
      <w:r>
        <w:tab/>
      </w:r>
      <w:r w:rsidRPr="00006F01">
        <w:rPr>
          <w:lang w:val="fr-FR"/>
        </w:rPr>
        <w:t>Mise au point de directives pour l</w:t>
      </w:r>
      <w:r>
        <w:rPr>
          <w:lang w:val="fr-FR"/>
        </w:rPr>
        <w:t>’</w:t>
      </w:r>
      <w:r w:rsidRPr="00006F01">
        <w:rPr>
          <w:lang w:val="fr-FR"/>
        </w:rPr>
        <w:t xml:space="preserve">application des critères du SGH </w:t>
      </w:r>
      <w:r>
        <w:rPr>
          <w:lang w:val="fr-FR"/>
        </w:rPr>
        <w:br/>
      </w:r>
      <w:r w:rsidRPr="00006F01">
        <w:rPr>
          <w:lang w:val="fr-FR"/>
        </w:rPr>
        <w:t>(point 5 de l</w:t>
      </w:r>
      <w:r>
        <w:rPr>
          <w:lang w:val="fr-FR"/>
        </w:rPr>
        <w:t>’</w:t>
      </w:r>
      <w:r w:rsidRPr="00006F01">
        <w:rPr>
          <w:lang w:val="fr-FR"/>
        </w:rPr>
        <w:t>ordre du jour)</w:t>
      </w:r>
      <w:r>
        <w:tab/>
      </w:r>
      <w:r>
        <w:tab/>
        <w:t>54</w:t>
      </w:r>
      <w:r>
        <w:tab/>
        <w:t>12</w:t>
      </w:r>
    </w:p>
    <w:p w14:paraId="03D407BD" w14:textId="77777777" w:rsidR="00906B85" w:rsidRDefault="00906B85" w:rsidP="00906B85">
      <w:pPr>
        <w:tabs>
          <w:tab w:val="right" w:pos="850"/>
          <w:tab w:val="right" w:leader="dot" w:pos="7654"/>
          <w:tab w:val="right" w:pos="8929"/>
          <w:tab w:val="right" w:pos="9638"/>
        </w:tabs>
        <w:spacing w:after="120"/>
        <w:ind w:left="1134" w:hanging="1134"/>
      </w:pPr>
      <w:r>
        <w:tab/>
        <w:t>VII.</w:t>
      </w:r>
      <w:r>
        <w:tab/>
      </w:r>
      <w:r w:rsidRPr="00006F01">
        <w:rPr>
          <w:lang w:val="fr-FR"/>
        </w:rPr>
        <w:t>Renforcement des capacités (point 6 de l</w:t>
      </w:r>
      <w:r>
        <w:rPr>
          <w:lang w:val="fr-FR"/>
        </w:rPr>
        <w:t>’</w:t>
      </w:r>
      <w:r w:rsidRPr="00006F01">
        <w:rPr>
          <w:lang w:val="fr-FR"/>
        </w:rPr>
        <w:t>ordre du jour)</w:t>
      </w:r>
      <w:r>
        <w:tab/>
      </w:r>
      <w:r>
        <w:tab/>
        <w:t>55</w:t>
      </w:r>
      <w:r>
        <w:tab/>
        <w:t>12</w:t>
      </w:r>
    </w:p>
    <w:p w14:paraId="78399F12" w14:textId="77777777" w:rsidR="00906B85" w:rsidRDefault="00906B85" w:rsidP="004E7F7A">
      <w:pPr>
        <w:keepNext/>
        <w:tabs>
          <w:tab w:val="right" w:pos="850"/>
          <w:tab w:val="right" w:leader="dot" w:pos="7654"/>
          <w:tab w:val="right" w:pos="8929"/>
          <w:tab w:val="right" w:pos="9638"/>
        </w:tabs>
        <w:spacing w:after="120"/>
        <w:ind w:left="1134" w:hanging="1134"/>
      </w:pPr>
      <w:r>
        <w:lastRenderedPageBreak/>
        <w:tab/>
        <w:t>VIII.</w:t>
      </w:r>
      <w:r>
        <w:tab/>
      </w:r>
      <w:r w:rsidRPr="00006F01">
        <w:rPr>
          <w:lang w:val="fr-FR"/>
        </w:rPr>
        <w:t>Questions diverses (point 7 de l</w:t>
      </w:r>
      <w:r>
        <w:rPr>
          <w:lang w:val="fr-FR"/>
        </w:rPr>
        <w:t>’</w:t>
      </w:r>
      <w:r w:rsidRPr="00006F01">
        <w:rPr>
          <w:lang w:val="fr-FR"/>
        </w:rPr>
        <w:t>ordre du jour)</w:t>
      </w:r>
      <w:r>
        <w:tab/>
      </w:r>
      <w:r>
        <w:tab/>
        <w:t>56−59</w:t>
      </w:r>
      <w:r>
        <w:tab/>
        <w:t>12</w:t>
      </w:r>
    </w:p>
    <w:p w14:paraId="55986555" w14:textId="77777777" w:rsidR="00906B85" w:rsidRDefault="00906B85" w:rsidP="004E7F7A">
      <w:pPr>
        <w:keepNext/>
        <w:tabs>
          <w:tab w:val="right" w:leader="dot" w:pos="7654"/>
          <w:tab w:val="right" w:pos="8929"/>
          <w:tab w:val="right" w:pos="9638"/>
        </w:tabs>
        <w:spacing w:after="120"/>
        <w:ind w:left="1559" w:hanging="425"/>
      </w:pPr>
      <w:r>
        <w:t>A.</w:t>
      </w:r>
      <w:r>
        <w:tab/>
      </w:r>
      <w:r w:rsidRPr="00006F01">
        <w:rPr>
          <w:lang w:val="fr-FR"/>
        </w:rPr>
        <w:t>Condoléances</w:t>
      </w:r>
      <w:r>
        <w:tab/>
      </w:r>
      <w:r>
        <w:tab/>
        <w:t>56</w:t>
      </w:r>
      <w:r>
        <w:tab/>
        <w:t>12</w:t>
      </w:r>
    </w:p>
    <w:p w14:paraId="52744804" w14:textId="77777777" w:rsidR="00906B85" w:rsidRDefault="00906B85" w:rsidP="00906B85">
      <w:pPr>
        <w:tabs>
          <w:tab w:val="right" w:leader="dot" w:pos="7654"/>
          <w:tab w:val="right" w:pos="8929"/>
          <w:tab w:val="right" w:pos="9638"/>
        </w:tabs>
        <w:spacing w:after="120"/>
        <w:ind w:left="1559" w:hanging="425"/>
      </w:pPr>
      <w:r>
        <w:t>B.</w:t>
      </w:r>
      <w:r>
        <w:tab/>
      </w:r>
      <w:r w:rsidRPr="008536E1">
        <w:rPr>
          <w:spacing w:val="-2"/>
          <w:lang w:val="fr-FR"/>
        </w:rPr>
        <w:t>Définitions et utilisation de sigles, acronymes et abréviations dans le SGH</w:t>
      </w:r>
      <w:r>
        <w:tab/>
      </w:r>
      <w:r>
        <w:tab/>
        <w:t>57</w:t>
      </w:r>
      <w:r>
        <w:tab/>
        <w:t>12</w:t>
      </w:r>
    </w:p>
    <w:p w14:paraId="51FBAEFF" w14:textId="77777777" w:rsidR="00906B85" w:rsidRDefault="00906B85" w:rsidP="00906B85">
      <w:pPr>
        <w:tabs>
          <w:tab w:val="right" w:leader="dot" w:pos="7654"/>
          <w:tab w:val="right" w:pos="8929"/>
          <w:tab w:val="right" w:pos="9638"/>
        </w:tabs>
        <w:spacing w:after="120"/>
        <w:ind w:left="1559" w:hanging="425"/>
      </w:pPr>
      <w:r>
        <w:t>C.</w:t>
      </w:r>
      <w:r>
        <w:tab/>
      </w:r>
      <w:r w:rsidRPr="00006F01">
        <w:rPr>
          <w:lang w:val="fr-FR"/>
        </w:rPr>
        <w:t>Session conjointe des Sous-Comités SGH et TMD</w:t>
      </w:r>
      <w:r>
        <w:tab/>
      </w:r>
      <w:r>
        <w:tab/>
        <w:t>58−59</w:t>
      </w:r>
      <w:r>
        <w:tab/>
        <w:t>12</w:t>
      </w:r>
    </w:p>
    <w:p w14:paraId="3F755BE8" w14:textId="77777777" w:rsidR="00906B85" w:rsidRDefault="00906B85" w:rsidP="00906B85">
      <w:pPr>
        <w:tabs>
          <w:tab w:val="right" w:pos="850"/>
          <w:tab w:val="right" w:leader="dot" w:pos="7654"/>
          <w:tab w:val="right" w:pos="8929"/>
          <w:tab w:val="right" w:pos="9638"/>
        </w:tabs>
        <w:spacing w:after="120"/>
        <w:ind w:left="1134" w:hanging="1134"/>
      </w:pPr>
      <w:r>
        <w:tab/>
        <w:t>IX.</w:t>
      </w:r>
      <w:r>
        <w:tab/>
      </w:r>
      <w:r w:rsidRPr="00006F01">
        <w:rPr>
          <w:lang w:val="fr-FR"/>
        </w:rPr>
        <w:t>Adoption du rapport (point 8 de l</w:t>
      </w:r>
      <w:r>
        <w:rPr>
          <w:lang w:val="fr-FR"/>
        </w:rPr>
        <w:t>’</w:t>
      </w:r>
      <w:r w:rsidRPr="00006F01">
        <w:rPr>
          <w:lang w:val="fr-FR"/>
        </w:rPr>
        <w:t>ordre du jour)</w:t>
      </w:r>
      <w:r>
        <w:tab/>
      </w:r>
      <w:r>
        <w:tab/>
        <w:t>60</w:t>
      </w:r>
      <w:r>
        <w:tab/>
        <w:t>13</w:t>
      </w:r>
    </w:p>
    <w:p w14:paraId="1453A302" w14:textId="77777777" w:rsidR="00906B85" w:rsidRPr="00006F01" w:rsidRDefault="00906B85" w:rsidP="00906B85">
      <w:pPr>
        <w:tabs>
          <w:tab w:val="right" w:pos="850"/>
        </w:tabs>
        <w:spacing w:after="120"/>
      </w:pPr>
      <w:r>
        <w:tab/>
        <w:t>Annexes</w:t>
      </w:r>
    </w:p>
    <w:p w14:paraId="67A14164" w14:textId="77777777" w:rsidR="00906B85" w:rsidRDefault="00906B85" w:rsidP="00906B85">
      <w:pPr>
        <w:tabs>
          <w:tab w:val="right" w:pos="850"/>
          <w:tab w:val="right" w:leader="dot" w:pos="8929"/>
          <w:tab w:val="right" w:pos="9638"/>
        </w:tabs>
        <w:spacing w:after="120"/>
        <w:ind w:left="1134" w:hanging="1134"/>
      </w:pPr>
      <w:r>
        <w:tab/>
        <w:t>I.</w:t>
      </w:r>
      <w:r>
        <w:tab/>
      </w:r>
      <w:r w:rsidRPr="003A2882">
        <w:rPr>
          <w:lang w:val="fr-FR"/>
        </w:rPr>
        <w:t>Projet d</w:t>
      </w:r>
      <w:r>
        <w:rPr>
          <w:lang w:val="fr-FR"/>
        </w:rPr>
        <w:t>’</w:t>
      </w:r>
      <w:r w:rsidRPr="003A2882">
        <w:rPr>
          <w:lang w:val="fr-FR"/>
        </w:rPr>
        <w:t xml:space="preserve">amendements à la </w:t>
      </w:r>
      <w:r>
        <w:rPr>
          <w:lang w:val="fr-FR"/>
        </w:rPr>
        <w:t xml:space="preserve">huitième </w:t>
      </w:r>
      <w:r w:rsidRPr="003A2882">
        <w:rPr>
          <w:lang w:val="fr-FR"/>
        </w:rPr>
        <w:t xml:space="preserve">édition révisée </w:t>
      </w:r>
      <w:r>
        <w:rPr>
          <w:lang w:val="fr-FR"/>
        </w:rPr>
        <w:t xml:space="preserve">du Système général harmonisé </w:t>
      </w:r>
      <w:r>
        <w:rPr>
          <w:lang w:val="fr-FR"/>
        </w:rPr>
        <w:br/>
        <w:t>de classification et d’étiquetage des produits chimiques (ST/SG/AC.10/30/Rev.8</w:t>
      </w:r>
      <w:r w:rsidRPr="003A2882">
        <w:rPr>
          <w:lang w:val="fr-FR"/>
        </w:rPr>
        <w:t>)</w:t>
      </w:r>
      <w:r>
        <w:tab/>
      </w:r>
      <w:r>
        <w:tab/>
        <w:t>14</w:t>
      </w:r>
    </w:p>
    <w:p w14:paraId="305685FA" w14:textId="77777777" w:rsidR="00006F01" w:rsidRDefault="00906B85" w:rsidP="00906B85">
      <w:pPr>
        <w:tabs>
          <w:tab w:val="right" w:pos="850"/>
          <w:tab w:val="right" w:leader="dot" w:pos="8929"/>
          <w:tab w:val="right" w:pos="9638"/>
        </w:tabs>
        <w:spacing w:after="120"/>
        <w:ind w:left="1134" w:hanging="1134"/>
      </w:pPr>
      <w:r>
        <w:tab/>
        <w:t>II.</w:t>
      </w:r>
      <w:r>
        <w:tab/>
        <w:t xml:space="preserve">Corrections </w:t>
      </w:r>
      <w:r w:rsidRPr="003A2882">
        <w:rPr>
          <w:lang w:val="fr-FR"/>
        </w:rPr>
        <w:t xml:space="preserve">à la </w:t>
      </w:r>
      <w:r>
        <w:rPr>
          <w:lang w:val="fr-FR"/>
        </w:rPr>
        <w:t xml:space="preserve">huitième </w:t>
      </w:r>
      <w:r w:rsidRPr="003A2882">
        <w:rPr>
          <w:lang w:val="fr-FR"/>
        </w:rPr>
        <w:t xml:space="preserve">édition révisée </w:t>
      </w:r>
      <w:r>
        <w:rPr>
          <w:lang w:val="fr-FR"/>
        </w:rPr>
        <w:t xml:space="preserve">du Système général harmonisé de classification </w:t>
      </w:r>
      <w:r>
        <w:rPr>
          <w:lang w:val="fr-FR"/>
        </w:rPr>
        <w:br/>
        <w:t>et d’étiquetage des produits chimiques (ST/SG/AC.10/30/Rev.8</w:t>
      </w:r>
      <w:r w:rsidRPr="003A2882">
        <w:rPr>
          <w:lang w:val="fr-FR"/>
        </w:rPr>
        <w:t>)</w:t>
      </w:r>
      <w:r>
        <w:tab/>
      </w:r>
      <w:r>
        <w:tab/>
        <w:t>17</w:t>
      </w:r>
    </w:p>
    <w:bookmarkEnd w:id="1"/>
    <w:p w14:paraId="025E89D6" w14:textId="77777777" w:rsidR="00006F01" w:rsidRPr="00006F01" w:rsidRDefault="00006F01" w:rsidP="00006F01">
      <w:pPr>
        <w:pStyle w:val="HChG"/>
        <w:rPr>
          <w:lang w:val="fr-FR"/>
        </w:rPr>
      </w:pPr>
      <w:r>
        <w:br w:type="page"/>
      </w:r>
      <w:r w:rsidRPr="00006F01">
        <w:rPr>
          <w:lang w:val="fr-FR"/>
        </w:rPr>
        <w:lastRenderedPageBreak/>
        <w:tab/>
        <w:t>I.</w:t>
      </w:r>
      <w:r w:rsidRPr="00006F01">
        <w:rPr>
          <w:lang w:val="fr-FR"/>
        </w:rPr>
        <w:tab/>
        <w:t>Participation</w:t>
      </w:r>
    </w:p>
    <w:p w14:paraId="7FDA8B30" w14:textId="77777777" w:rsidR="00006F01" w:rsidRPr="00006F01" w:rsidRDefault="00006F01" w:rsidP="00006F01">
      <w:pPr>
        <w:pStyle w:val="SingleTxtG"/>
        <w:rPr>
          <w:lang w:val="fr-FR"/>
        </w:rPr>
      </w:pPr>
      <w:r w:rsidRPr="00006F01">
        <w:rPr>
          <w:lang w:val="fr-FR"/>
        </w:rPr>
        <w:t>1.</w:t>
      </w:r>
      <w:r w:rsidRPr="00006F01">
        <w:rPr>
          <w:lang w:val="fr-FR"/>
        </w:rPr>
        <w:tab/>
        <w:t>Le Sous-Comité d</w:t>
      </w:r>
      <w:r w:rsidR="00975D4C">
        <w:rPr>
          <w:lang w:val="fr-FR"/>
        </w:rPr>
        <w:t>’</w:t>
      </w:r>
      <w:r w:rsidRPr="00006F01">
        <w:rPr>
          <w:lang w:val="fr-FR"/>
        </w:rPr>
        <w:t>experts du Système général harmonisé de classification et d</w:t>
      </w:r>
      <w:r w:rsidR="00975D4C">
        <w:rPr>
          <w:lang w:val="fr-FR"/>
        </w:rPr>
        <w:t>’</w:t>
      </w:r>
      <w:r w:rsidRPr="00006F01">
        <w:rPr>
          <w:lang w:val="fr-FR"/>
        </w:rPr>
        <w:t>étiquetage des produits chimiques a tenu sa trente-huitième session du 11 au 13 décembre 2019, sous la présidence de M</w:t>
      </w:r>
      <w:r w:rsidRPr="00006F01">
        <w:rPr>
          <w:vertAlign w:val="superscript"/>
          <w:lang w:val="fr-FR"/>
        </w:rPr>
        <w:t>me</w:t>
      </w:r>
      <w:r w:rsidRPr="00006F01">
        <w:rPr>
          <w:lang w:val="fr-FR"/>
        </w:rPr>
        <w:t> Maureen Ruskin (États-Unis d</w:t>
      </w:r>
      <w:r w:rsidR="00975D4C">
        <w:rPr>
          <w:lang w:val="fr-FR"/>
        </w:rPr>
        <w:t>’</w:t>
      </w:r>
      <w:r w:rsidRPr="00006F01">
        <w:rPr>
          <w:lang w:val="fr-FR"/>
        </w:rPr>
        <w:t xml:space="preserve">Amérique) et la </w:t>
      </w:r>
      <w:r>
        <w:rPr>
          <w:lang w:val="fr-FR"/>
        </w:rPr>
        <w:t>v</w:t>
      </w:r>
      <w:r w:rsidRPr="00006F01">
        <w:rPr>
          <w:lang w:val="fr-FR"/>
        </w:rPr>
        <w:t>ice</w:t>
      </w:r>
      <w:r>
        <w:rPr>
          <w:lang w:val="fr-FR"/>
        </w:rPr>
        <w:noBreakHyphen/>
      </w:r>
      <w:r w:rsidRPr="00006F01">
        <w:rPr>
          <w:lang w:val="fr-FR"/>
        </w:rPr>
        <w:t>présidence de M. Paul Taylor (Australie).</w:t>
      </w:r>
    </w:p>
    <w:p w14:paraId="7E1AB655" w14:textId="77777777" w:rsidR="00006F01" w:rsidRPr="00006F01" w:rsidRDefault="00006F01" w:rsidP="00006F01">
      <w:pPr>
        <w:pStyle w:val="SingleTxtG"/>
        <w:rPr>
          <w:lang w:val="fr-FR"/>
        </w:rPr>
      </w:pPr>
      <w:r w:rsidRPr="00006F01">
        <w:rPr>
          <w:lang w:val="fr-FR"/>
        </w:rPr>
        <w:t>2.</w:t>
      </w:r>
      <w:r w:rsidRPr="00006F01">
        <w:rPr>
          <w:lang w:val="fr-FR"/>
        </w:rPr>
        <w:tab/>
        <w:t>Ont participé à cette session des experts des pays suivants</w:t>
      </w:r>
      <w:r w:rsidR="00C426C0">
        <w:rPr>
          <w:lang w:val="fr-FR"/>
        </w:rPr>
        <w:t> </w:t>
      </w:r>
      <w:r w:rsidRPr="00006F01">
        <w:rPr>
          <w:lang w:val="fr-FR"/>
        </w:rPr>
        <w:t>: Allemagne, Australie, Autriche, Brésil, Canada, Chine, Espagne, États-Unis d</w:t>
      </w:r>
      <w:r w:rsidR="00975D4C">
        <w:rPr>
          <w:lang w:val="fr-FR"/>
        </w:rPr>
        <w:t>’</w:t>
      </w:r>
      <w:r w:rsidRPr="00006F01">
        <w:rPr>
          <w:lang w:val="fr-FR"/>
        </w:rPr>
        <w:t>Amérique, Fédération de Russie, France, Italie, Japon, Norvège, Pays-Bas, Pologne, République de Corée, Royaume-Uni, Serbie et Suède.</w:t>
      </w:r>
    </w:p>
    <w:p w14:paraId="61D1E26C" w14:textId="77777777" w:rsidR="00006F01" w:rsidRPr="00006F01" w:rsidRDefault="00006F01" w:rsidP="00006F01">
      <w:pPr>
        <w:pStyle w:val="SingleTxtG"/>
        <w:rPr>
          <w:lang w:val="fr-FR"/>
        </w:rPr>
      </w:pPr>
      <w:r w:rsidRPr="00006F01">
        <w:rPr>
          <w:lang w:val="fr-FR"/>
        </w:rPr>
        <w:t>3.</w:t>
      </w:r>
      <w:r w:rsidRPr="00006F01">
        <w:rPr>
          <w:lang w:val="fr-FR"/>
        </w:rPr>
        <w:tab/>
        <w:t>Des observateurs de la Suisse et de la Thaïlande y ont également participé en application de l</w:t>
      </w:r>
      <w:r w:rsidR="00975D4C">
        <w:rPr>
          <w:lang w:val="fr-FR"/>
        </w:rPr>
        <w:t>’</w:t>
      </w:r>
      <w:r w:rsidRPr="00006F01">
        <w:rPr>
          <w:lang w:val="fr-FR"/>
        </w:rPr>
        <w:t>article 72 du Règlement intérieur du Conseil économique et social.</w:t>
      </w:r>
    </w:p>
    <w:p w14:paraId="4BE839B4" w14:textId="77777777" w:rsidR="00006F01" w:rsidRPr="00006F01" w:rsidRDefault="00006F01" w:rsidP="00006F01">
      <w:pPr>
        <w:pStyle w:val="SingleTxtG"/>
        <w:rPr>
          <w:lang w:val="fr-FR"/>
        </w:rPr>
      </w:pPr>
      <w:r w:rsidRPr="00006F01">
        <w:rPr>
          <w:lang w:val="fr-FR"/>
        </w:rPr>
        <w:t>4.</w:t>
      </w:r>
      <w:r w:rsidRPr="00006F01">
        <w:rPr>
          <w:lang w:val="fr-FR"/>
        </w:rPr>
        <w:tab/>
        <w:t>Les organisations intergouvernementales ci-après étaient aussi représentées : Union européenne et Institut des Nations Unies pour la formation et la recherche (UNITAR).</w:t>
      </w:r>
    </w:p>
    <w:p w14:paraId="26FA7A85" w14:textId="77777777" w:rsidR="00006F01" w:rsidRPr="00006F01" w:rsidRDefault="00006F01" w:rsidP="00006F01">
      <w:pPr>
        <w:pStyle w:val="SingleTxtG"/>
        <w:rPr>
          <w:i/>
          <w:iCs/>
          <w:lang w:val="fr-FR"/>
        </w:rPr>
      </w:pPr>
      <w:bookmarkStart w:id="2" w:name="_Hlk13840234"/>
      <w:r w:rsidRPr="00006F01">
        <w:rPr>
          <w:lang w:val="fr-FR"/>
        </w:rPr>
        <w:t>5.</w:t>
      </w:r>
      <w:r w:rsidRPr="00006F01">
        <w:rPr>
          <w:lang w:val="fr-FR"/>
        </w:rPr>
        <w:tab/>
        <w:t xml:space="preserve">Des représentants des organisations non gouvernementales ci-après ont pris part aux débats sur des points intéressant leur organisation : Association européenne des gaz industriels (EIGA), </w:t>
      </w:r>
      <w:r w:rsidR="0058120C" w:rsidRPr="00006F01">
        <w:rPr>
          <w:lang w:val="fr-FR"/>
        </w:rPr>
        <w:t xml:space="preserve">Association des fabricants européens de munitions de sport (AFEMS), </w:t>
      </w:r>
      <w:r w:rsidRPr="00006F01">
        <w:rPr>
          <w:lang w:val="fr-FR"/>
        </w:rPr>
        <w:t>Association internationale de la savonnerie, de la détergence et des produits d</w:t>
      </w:r>
      <w:r w:rsidR="00975D4C">
        <w:rPr>
          <w:lang w:val="fr-FR"/>
        </w:rPr>
        <w:t>’</w:t>
      </w:r>
      <w:r w:rsidRPr="00006F01">
        <w:rPr>
          <w:lang w:val="fr-FR"/>
        </w:rPr>
        <w:t xml:space="preserve">entretien (AISE), </w:t>
      </w:r>
      <w:proofErr w:type="spellStart"/>
      <w:r w:rsidRPr="00006F01">
        <w:rPr>
          <w:lang w:val="fr-FR"/>
        </w:rPr>
        <w:t>Australian</w:t>
      </w:r>
      <w:proofErr w:type="spellEnd"/>
      <w:r w:rsidRPr="00006F01">
        <w:rPr>
          <w:lang w:val="fr-FR"/>
        </w:rPr>
        <w:t xml:space="preserve"> Explosives </w:t>
      </w:r>
      <w:proofErr w:type="spellStart"/>
      <w:r w:rsidRPr="00006F01">
        <w:rPr>
          <w:lang w:val="fr-FR"/>
        </w:rPr>
        <w:t>Industry</w:t>
      </w:r>
      <w:proofErr w:type="spellEnd"/>
      <w:r w:rsidRPr="00006F01">
        <w:rPr>
          <w:lang w:val="fr-FR"/>
        </w:rPr>
        <w:t xml:space="preserve"> and </w:t>
      </w:r>
      <w:proofErr w:type="spellStart"/>
      <w:r w:rsidRPr="00006F01">
        <w:rPr>
          <w:lang w:val="fr-FR"/>
        </w:rPr>
        <w:t>Safety</w:t>
      </w:r>
      <w:proofErr w:type="spellEnd"/>
      <w:r w:rsidRPr="00006F01">
        <w:rPr>
          <w:lang w:val="fr-FR"/>
        </w:rPr>
        <w:t xml:space="preserve"> Group </w:t>
      </w:r>
      <w:proofErr w:type="spellStart"/>
      <w:r w:rsidRPr="00006F01">
        <w:rPr>
          <w:lang w:val="fr-FR"/>
        </w:rPr>
        <w:t>Incorporated</w:t>
      </w:r>
      <w:proofErr w:type="spellEnd"/>
      <w:r w:rsidRPr="00006F01">
        <w:rPr>
          <w:lang w:val="fr-FR"/>
        </w:rPr>
        <w:t xml:space="preserve"> (AEISG), Compressed Gas Association (CGA), Conseil consultatif des marchandises dangereuses (DGAC), Conseil européen de l</w:t>
      </w:r>
      <w:r w:rsidR="00975D4C">
        <w:rPr>
          <w:lang w:val="fr-FR"/>
        </w:rPr>
        <w:t>’</w:t>
      </w:r>
      <w:r w:rsidRPr="00006F01">
        <w:rPr>
          <w:lang w:val="fr-FR"/>
        </w:rPr>
        <w:t>industrie chimique (</w:t>
      </w:r>
      <w:proofErr w:type="spellStart"/>
      <w:r w:rsidRPr="00006F01">
        <w:rPr>
          <w:lang w:val="fr-FR"/>
        </w:rPr>
        <w:t>Cefic</w:t>
      </w:r>
      <w:proofErr w:type="spellEnd"/>
      <w:r w:rsidRPr="00006F01">
        <w:rPr>
          <w:lang w:val="fr-FR"/>
        </w:rPr>
        <w:t xml:space="preserve">), Conseil international des mines et des métaux (CIMM), Fédération européenne des aérosols (FEA), International Paint and Printing Ink Council (IPPIC), </w:t>
      </w:r>
      <w:proofErr w:type="spellStart"/>
      <w:r w:rsidRPr="00006F01">
        <w:rPr>
          <w:lang w:val="fr-FR"/>
        </w:rPr>
        <w:t>Responsible</w:t>
      </w:r>
      <w:proofErr w:type="spellEnd"/>
      <w:r w:rsidRPr="00006F01">
        <w:rPr>
          <w:lang w:val="fr-FR"/>
        </w:rPr>
        <w:t xml:space="preserve"> Packaging Management Association of </w:t>
      </w:r>
      <w:proofErr w:type="spellStart"/>
      <w:r w:rsidRPr="00006F01">
        <w:rPr>
          <w:lang w:val="fr-FR"/>
        </w:rPr>
        <w:t>Southern</w:t>
      </w:r>
      <w:proofErr w:type="spellEnd"/>
      <w:r w:rsidRPr="00006F01">
        <w:rPr>
          <w:lang w:val="fr-FR"/>
        </w:rPr>
        <w:t xml:space="preserve"> </w:t>
      </w:r>
      <w:proofErr w:type="spellStart"/>
      <w:r w:rsidRPr="00006F01">
        <w:rPr>
          <w:lang w:val="fr-FR"/>
        </w:rPr>
        <w:t>Africa</w:t>
      </w:r>
      <w:proofErr w:type="spellEnd"/>
      <w:r w:rsidRPr="00006F01">
        <w:rPr>
          <w:lang w:val="fr-FR"/>
        </w:rPr>
        <w:t xml:space="preserve"> (RPMASA) et </w:t>
      </w:r>
      <w:proofErr w:type="spellStart"/>
      <w:r w:rsidRPr="00006F01">
        <w:rPr>
          <w:lang w:val="fr-FR"/>
        </w:rPr>
        <w:t>Sporting</w:t>
      </w:r>
      <w:proofErr w:type="spellEnd"/>
      <w:r w:rsidRPr="00006F01">
        <w:rPr>
          <w:lang w:val="fr-FR"/>
        </w:rPr>
        <w:t xml:space="preserve"> Arms and Ammunition </w:t>
      </w:r>
      <w:proofErr w:type="spellStart"/>
      <w:r w:rsidRPr="00006F01">
        <w:rPr>
          <w:lang w:val="fr-FR"/>
        </w:rPr>
        <w:t>Manufacturers</w:t>
      </w:r>
      <w:proofErr w:type="spellEnd"/>
      <w:r w:rsidR="00975D4C">
        <w:rPr>
          <w:lang w:val="fr-FR"/>
        </w:rPr>
        <w:t>’</w:t>
      </w:r>
      <w:r w:rsidRPr="00006F01">
        <w:rPr>
          <w:lang w:val="fr-FR"/>
        </w:rPr>
        <w:t xml:space="preserve"> Institute (SAAMI).</w:t>
      </w:r>
      <w:bookmarkEnd w:id="2"/>
    </w:p>
    <w:p w14:paraId="723B08C5" w14:textId="77777777" w:rsidR="00006F01" w:rsidRPr="00006F01" w:rsidRDefault="00006F01" w:rsidP="00006F01">
      <w:pPr>
        <w:pStyle w:val="HChG"/>
        <w:rPr>
          <w:lang w:val="fr-FR"/>
        </w:rPr>
      </w:pPr>
      <w:bookmarkStart w:id="3" w:name="_Hlk13834803"/>
      <w:r w:rsidRPr="00006F01">
        <w:rPr>
          <w:lang w:val="fr-FR"/>
        </w:rPr>
        <w:tab/>
        <w:t>II.</w:t>
      </w:r>
      <w:r w:rsidRPr="00006F01">
        <w:rPr>
          <w:lang w:val="fr-FR"/>
        </w:rPr>
        <w:tab/>
        <w:t>Adoption de l</w:t>
      </w:r>
      <w:r w:rsidR="00975D4C">
        <w:rPr>
          <w:lang w:val="fr-FR"/>
        </w:rPr>
        <w:t>’</w:t>
      </w:r>
      <w:r w:rsidRPr="00006F01">
        <w:rPr>
          <w:lang w:val="fr-FR"/>
        </w:rPr>
        <w:t>ordre du jour (point 1 de l</w:t>
      </w:r>
      <w:r w:rsidR="00975D4C">
        <w:rPr>
          <w:lang w:val="fr-FR"/>
        </w:rPr>
        <w:t>’</w:t>
      </w:r>
      <w:r w:rsidRPr="00006F01">
        <w:rPr>
          <w:lang w:val="fr-FR"/>
        </w:rPr>
        <w:t>ordre du jour)</w:t>
      </w:r>
    </w:p>
    <w:p w14:paraId="5DCC6035" w14:textId="77777777" w:rsidR="00006F01" w:rsidRPr="00006F01" w:rsidRDefault="00006F01" w:rsidP="00006F01">
      <w:pPr>
        <w:pStyle w:val="SingleTxtG"/>
        <w:ind w:left="3402" w:hanging="2268"/>
        <w:jc w:val="left"/>
        <w:rPr>
          <w:lang w:val="fr-FR"/>
        </w:rPr>
      </w:pPr>
      <w:r w:rsidRPr="00006F01">
        <w:rPr>
          <w:i/>
          <w:iCs/>
          <w:lang w:val="fr-FR"/>
        </w:rPr>
        <w:t xml:space="preserve">Document(s) </w:t>
      </w:r>
      <w:r w:rsidRPr="00006F01">
        <w:rPr>
          <w:lang w:val="fr-FR"/>
        </w:rPr>
        <w:t xml:space="preserve">: </w:t>
      </w:r>
      <w:r>
        <w:rPr>
          <w:lang w:val="fr-FR"/>
        </w:rPr>
        <w:tab/>
      </w:r>
      <w:r w:rsidRPr="00006F01">
        <w:rPr>
          <w:lang w:val="fr-FR"/>
        </w:rPr>
        <w:t>ST/SG/AC.10/C.4/75 (Ordre du jour provisoire) ST/SG/AC.10/C.4/75/Add.1 (Liste des documents</w:t>
      </w:r>
      <w:r w:rsidR="0058120C">
        <w:rPr>
          <w:lang w:val="fr-FR"/>
        </w:rPr>
        <w:br/>
      </w:r>
      <w:r w:rsidRPr="00006F01">
        <w:rPr>
          <w:lang w:val="fr-FR"/>
        </w:rPr>
        <w:t>et annotations)</w:t>
      </w:r>
    </w:p>
    <w:p w14:paraId="0493A7CD" w14:textId="77777777" w:rsidR="00006F01" w:rsidRPr="00006F01" w:rsidRDefault="00006F01" w:rsidP="00006F01">
      <w:pPr>
        <w:pStyle w:val="SingleTxtG"/>
        <w:ind w:left="3402" w:hanging="2268"/>
        <w:jc w:val="left"/>
        <w:rPr>
          <w:lang w:val="fr-FR"/>
        </w:rPr>
      </w:pPr>
      <w:r w:rsidRPr="00006F01">
        <w:rPr>
          <w:i/>
          <w:iCs/>
          <w:lang w:val="fr-FR"/>
        </w:rPr>
        <w:t xml:space="preserve">Document(s) informel(s) </w:t>
      </w:r>
      <w:r w:rsidRPr="00006F01">
        <w:rPr>
          <w:lang w:val="fr-FR"/>
        </w:rPr>
        <w:t>:</w:t>
      </w:r>
      <w:r w:rsidRPr="00006F01">
        <w:rPr>
          <w:lang w:val="fr-FR"/>
        </w:rPr>
        <w:tab/>
        <w:t>INF.1 et INF.2 (List of documents)</w:t>
      </w:r>
      <w:r>
        <w:rPr>
          <w:lang w:val="fr-FR"/>
        </w:rPr>
        <w:br/>
      </w:r>
      <w:r w:rsidRPr="00006F01">
        <w:rPr>
          <w:lang w:val="fr-FR"/>
        </w:rPr>
        <w:tab/>
        <w:t>INF.10 (</w:t>
      </w:r>
      <w:proofErr w:type="spellStart"/>
      <w:r w:rsidRPr="00006F01">
        <w:rPr>
          <w:lang w:val="fr-FR"/>
        </w:rPr>
        <w:t>Provisional</w:t>
      </w:r>
      <w:proofErr w:type="spellEnd"/>
      <w:r w:rsidRPr="00006F01">
        <w:rPr>
          <w:lang w:val="fr-FR"/>
        </w:rPr>
        <w:t xml:space="preserve"> </w:t>
      </w:r>
      <w:proofErr w:type="spellStart"/>
      <w:r w:rsidRPr="00006F01">
        <w:rPr>
          <w:lang w:val="fr-FR"/>
        </w:rPr>
        <w:t>timetable</w:t>
      </w:r>
      <w:proofErr w:type="spellEnd"/>
      <w:r w:rsidRPr="00006F01">
        <w:rPr>
          <w:lang w:val="fr-FR"/>
        </w:rPr>
        <w:t>)</w:t>
      </w:r>
    </w:p>
    <w:p w14:paraId="2F990F15" w14:textId="77777777" w:rsidR="00006F01" w:rsidRPr="00006F01" w:rsidRDefault="00006F01" w:rsidP="00006F01">
      <w:pPr>
        <w:pStyle w:val="SingleTxtG"/>
        <w:rPr>
          <w:lang w:val="fr-FR"/>
        </w:rPr>
      </w:pPr>
      <w:r w:rsidRPr="00006F01">
        <w:rPr>
          <w:lang w:val="fr-FR"/>
        </w:rPr>
        <w:t>6.</w:t>
      </w:r>
      <w:r w:rsidRPr="00006F01">
        <w:rPr>
          <w:lang w:val="fr-FR"/>
        </w:rPr>
        <w:tab/>
        <w:t>Le Sous-Comité a adopté l</w:t>
      </w:r>
      <w:r w:rsidR="00975D4C">
        <w:rPr>
          <w:lang w:val="fr-FR"/>
        </w:rPr>
        <w:t>’</w:t>
      </w:r>
      <w:r w:rsidRPr="00006F01">
        <w:rPr>
          <w:lang w:val="fr-FR"/>
        </w:rPr>
        <w:t>ordre du jour provisoire établi par le secrétariat, après l</w:t>
      </w:r>
      <w:r w:rsidR="00975D4C">
        <w:rPr>
          <w:lang w:val="fr-FR"/>
        </w:rPr>
        <w:t>’</w:t>
      </w:r>
      <w:r w:rsidRPr="00006F01">
        <w:rPr>
          <w:lang w:val="fr-FR"/>
        </w:rPr>
        <w:t>avoir modifié afin de tenir compte des documents informels INF.1 à INF.32.</w:t>
      </w:r>
    </w:p>
    <w:bookmarkEnd w:id="3"/>
    <w:p w14:paraId="1DE46788" w14:textId="77777777" w:rsidR="00006F01" w:rsidRPr="00006F01" w:rsidRDefault="00006F01" w:rsidP="00006F01">
      <w:pPr>
        <w:pStyle w:val="H1G"/>
        <w:rPr>
          <w:lang w:val="fr-FR"/>
        </w:rPr>
      </w:pPr>
      <w:r w:rsidRPr="00006F01">
        <w:rPr>
          <w:lang w:val="fr-FR"/>
        </w:rPr>
        <w:tab/>
        <w:t>A.</w:t>
      </w:r>
      <w:r w:rsidRPr="00006F01">
        <w:rPr>
          <w:lang w:val="fr-FR"/>
        </w:rPr>
        <w:tab/>
        <w:t>Point sur les publications</w:t>
      </w:r>
    </w:p>
    <w:p w14:paraId="5E648A25" w14:textId="77777777" w:rsidR="00006F01" w:rsidRDefault="00006F01" w:rsidP="00006F01">
      <w:pPr>
        <w:pStyle w:val="SingleTxtG"/>
        <w:rPr>
          <w:lang w:val="fr-FR"/>
        </w:rPr>
      </w:pPr>
      <w:r w:rsidRPr="00006F01">
        <w:rPr>
          <w:lang w:val="fr-FR"/>
        </w:rPr>
        <w:t>7.</w:t>
      </w:r>
      <w:r w:rsidRPr="00006F01">
        <w:rPr>
          <w:lang w:val="fr-FR"/>
        </w:rPr>
        <w:tab/>
        <w:t>Le Sous-Comité a été informé que les versions anglaise, française et russe de la huitième édition révisée du SGH avaient déjà été publiées et que les versions espagnole, chinoise et arabe étaient en cours d</w:t>
      </w:r>
      <w:r w:rsidR="00975D4C">
        <w:rPr>
          <w:lang w:val="fr-FR"/>
        </w:rPr>
        <w:t>’</w:t>
      </w:r>
      <w:r w:rsidRPr="00006F01">
        <w:rPr>
          <w:lang w:val="fr-FR"/>
        </w:rPr>
        <w:t>élaboration. Il a également été fait observer que les versions anglaise et française de la septième édition révisée du Manuel d</w:t>
      </w:r>
      <w:r w:rsidR="00975D4C">
        <w:rPr>
          <w:lang w:val="fr-FR"/>
        </w:rPr>
        <w:t>’</w:t>
      </w:r>
      <w:r w:rsidRPr="00006F01">
        <w:rPr>
          <w:lang w:val="fr-FR"/>
        </w:rPr>
        <w:t>épreuves et de critères étaient elles aussi disponibles et que les versions espagnole, russe, chinoise et arabe étaient en cours d</w:t>
      </w:r>
      <w:r w:rsidR="00975D4C">
        <w:rPr>
          <w:lang w:val="fr-FR"/>
        </w:rPr>
        <w:t>’</w:t>
      </w:r>
      <w:r w:rsidRPr="00006F01">
        <w:rPr>
          <w:lang w:val="fr-FR"/>
        </w:rPr>
        <w:t>élaboration.</w:t>
      </w:r>
    </w:p>
    <w:p w14:paraId="5214A10E" w14:textId="77777777" w:rsidR="00006F01" w:rsidRPr="00006F01" w:rsidRDefault="00006F01" w:rsidP="00006F01">
      <w:pPr>
        <w:pStyle w:val="H1G"/>
        <w:rPr>
          <w:lang w:val="fr-FR"/>
        </w:rPr>
      </w:pPr>
      <w:r w:rsidRPr="00006F01">
        <w:rPr>
          <w:lang w:val="fr-FR"/>
        </w:rPr>
        <w:tab/>
        <w:t>B.</w:t>
      </w:r>
      <w:r w:rsidRPr="00006F01">
        <w:rPr>
          <w:lang w:val="fr-FR"/>
        </w:rPr>
        <w:tab/>
        <w:t>Accréditation des experts</w:t>
      </w:r>
    </w:p>
    <w:p w14:paraId="7C737A56" w14:textId="77777777" w:rsidR="00006F01" w:rsidRPr="00006F01" w:rsidRDefault="00006F01" w:rsidP="00006F01">
      <w:pPr>
        <w:pStyle w:val="SingleTxtG"/>
        <w:ind w:left="3402" w:hanging="2268"/>
        <w:jc w:val="left"/>
        <w:rPr>
          <w:iCs/>
          <w:lang w:val="fr-FR"/>
        </w:rPr>
      </w:pPr>
      <w:r w:rsidRPr="00006F01">
        <w:rPr>
          <w:i/>
          <w:iCs/>
          <w:lang w:val="fr-FR"/>
        </w:rPr>
        <w:t xml:space="preserve">Document(s) informel(s) </w:t>
      </w:r>
      <w:r w:rsidRPr="00006F01">
        <w:rPr>
          <w:lang w:val="fr-FR"/>
        </w:rPr>
        <w:t>:</w:t>
      </w:r>
      <w:r w:rsidRPr="00006F01">
        <w:rPr>
          <w:lang w:val="fr-FR"/>
        </w:rPr>
        <w:tab/>
      </w:r>
      <w:r w:rsidRPr="00006F01">
        <w:rPr>
          <w:lang w:val="fr-FR"/>
        </w:rPr>
        <w:tab/>
        <w:t>INF.14 (</w:t>
      </w:r>
      <w:proofErr w:type="spellStart"/>
      <w:r w:rsidRPr="00006F01">
        <w:rPr>
          <w:lang w:val="fr-FR"/>
        </w:rPr>
        <w:t>Accreditation</w:t>
      </w:r>
      <w:proofErr w:type="spellEnd"/>
      <w:r w:rsidRPr="00006F01">
        <w:rPr>
          <w:lang w:val="fr-FR"/>
        </w:rPr>
        <w:t xml:space="preserve"> of experts)</w:t>
      </w:r>
    </w:p>
    <w:p w14:paraId="752936CA" w14:textId="77777777" w:rsidR="00006F01" w:rsidRPr="00006F01" w:rsidRDefault="00006F01" w:rsidP="00006F01">
      <w:pPr>
        <w:pStyle w:val="SingleTxtG"/>
        <w:rPr>
          <w:lang w:val="fr-FR"/>
        </w:rPr>
      </w:pPr>
      <w:r w:rsidRPr="00006F01">
        <w:rPr>
          <w:lang w:val="fr-FR"/>
        </w:rPr>
        <w:t>8.</w:t>
      </w:r>
      <w:r w:rsidRPr="00006F01">
        <w:rPr>
          <w:lang w:val="fr-FR"/>
        </w:rPr>
        <w:tab/>
        <w:t>Il a été rappelé que le Comité d</w:t>
      </w:r>
      <w:r w:rsidR="00975D4C">
        <w:rPr>
          <w:lang w:val="fr-FR"/>
        </w:rPr>
        <w:t>’</w:t>
      </w:r>
      <w:r w:rsidRPr="00006F01">
        <w:rPr>
          <w:lang w:val="fr-FR"/>
        </w:rPr>
        <w:t>experts et ses deux organes subsidiaires étaient des organes composés d</w:t>
      </w:r>
      <w:r w:rsidR="00975D4C">
        <w:rPr>
          <w:lang w:val="fr-FR"/>
        </w:rPr>
        <w:t>’</w:t>
      </w:r>
      <w:r w:rsidRPr="00006F01">
        <w:rPr>
          <w:lang w:val="fr-FR"/>
        </w:rPr>
        <w:t>experts gouvernementaux. Conformément au mandat initial du Comité, les États sont invités, à la demande du Secrétaire général et à leurs frais, à mettre les experts à la disposition du Comité (et de ses Sous-Comités). Une délégation peut être composée d</w:t>
      </w:r>
      <w:r w:rsidR="00975D4C">
        <w:rPr>
          <w:lang w:val="fr-FR"/>
        </w:rPr>
        <w:t>’</w:t>
      </w:r>
      <w:r w:rsidRPr="00006F01">
        <w:rPr>
          <w:lang w:val="fr-FR"/>
        </w:rPr>
        <w:t>autres membres (conseillers), désignés par le chef de la délégation.</w:t>
      </w:r>
    </w:p>
    <w:p w14:paraId="4927E5D5" w14:textId="77777777" w:rsidR="00006F01" w:rsidRPr="00006F01" w:rsidRDefault="00006F01" w:rsidP="00006F01">
      <w:pPr>
        <w:pStyle w:val="SingleTxtG"/>
        <w:rPr>
          <w:lang w:val="fr-FR"/>
        </w:rPr>
      </w:pPr>
      <w:r w:rsidRPr="00006F01">
        <w:rPr>
          <w:lang w:val="fr-FR"/>
        </w:rPr>
        <w:lastRenderedPageBreak/>
        <w:t>9.</w:t>
      </w:r>
      <w:r w:rsidRPr="00006F01">
        <w:rPr>
          <w:lang w:val="fr-FR"/>
        </w:rPr>
        <w:tab/>
        <w:t>En ce qui concerne le Sous-Comité d</w:t>
      </w:r>
      <w:r w:rsidR="00975D4C">
        <w:rPr>
          <w:lang w:val="fr-FR"/>
        </w:rPr>
        <w:t>’</w:t>
      </w:r>
      <w:r w:rsidRPr="00006F01">
        <w:rPr>
          <w:lang w:val="fr-FR"/>
        </w:rPr>
        <w:t>experts du transport des marchandises dangereuses, l</w:t>
      </w:r>
      <w:r w:rsidR="00975D4C">
        <w:rPr>
          <w:lang w:val="fr-FR"/>
        </w:rPr>
        <w:t>’</w:t>
      </w:r>
      <w:r w:rsidRPr="00006F01">
        <w:rPr>
          <w:lang w:val="fr-FR"/>
        </w:rPr>
        <w:t>expert désigné par l</w:t>
      </w:r>
      <w:r w:rsidR="00975D4C">
        <w:rPr>
          <w:lang w:val="fr-FR"/>
        </w:rPr>
        <w:t>’</w:t>
      </w:r>
      <w:r w:rsidRPr="00006F01">
        <w:rPr>
          <w:lang w:val="fr-FR"/>
        </w:rPr>
        <w:t>État possède en principe les compétences requises pour représenter ce dernier s</w:t>
      </w:r>
      <w:r w:rsidR="00975D4C">
        <w:rPr>
          <w:lang w:val="fr-FR"/>
        </w:rPr>
        <w:t>’</w:t>
      </w:r>
      <w:r w:rsidRPr="00006F01">
        <w:rPr>
          <w:lang w:val="fr-FR"/>
        </w:rPr>
        <w:t>agissant de tous les modes de transport.</w:t>
      </w:r>
    </w:p>
    <w:p w14:paraId="1AA8FF5D" w14:textId="77777777" w:rsidR="00006F01" w:rsidRPr="00006F01" w:rsidRDefault="00006F01" w:rsidP="00006F01">
      <w:pPr>
        <w:pStyle w:val="SingleTxtG"/>
        <w:rPr>
          <w:lang w:val="fr-FR"/>
        </w:rPr>
      </w:pPr>
      <w:r w:rsidRPr="00006F01">
        <w:rPr>
          <w:lang w:val="fr-FR"/>
        </w:rPr>
        <w:t>10.</w:t>
      </w:r>
      <w:r w:rsidRPr="00006F01">
        <w:rPr>
          <w:lang w:val="fr-FR"/>
        </w:rPr>
        <w:tab/>
        <w:t>En ce qui concerne le Sous-Comité SGH, l</w:t>
      </w:r>
      <w:r w:rsidR="00975D4C">
        <w:rPr>
          <w:lang w:val="fr-FR"/>
        </w:rPr>
        <w:t>’</w:t>
      </w:r>
      <w:r w:rsidRPr="00006F01">
        <w:rPr>
          <w:lang w:val="fr-FR"/>
        </w:rPr>
        <w:t>expert désigné par l</w:t>
      </w:r>
      <w:r w:rsidR="00975D4C">
        <w:rPr>
          <w:lang w:val="fr-FR"/>
        </w:rPr>
        <w:t>’</w:t>
      </w:r>
      <w:r w:rsidRPr="00006F01">
        <w:rPr>
          <w:lang w:val="fr-FR"/>
        </w:rPr>
        <w:t>État possède en principe les compétences requises pour représenter ce dernier s</w:t>
      </w:r>
      <w:r w:rsidR="00975D4C">
        <w:rPr>
          <w:lang w:val="fr-FR"/>
        </w:rPr>
        <w:t>’</w:t>
      </w:r>
      <w:r w:rsidRPr="00006F01">
        <w:rPr>
          <w:lang w:val="fr-FR"/>
        </w:rPr>
        <w:t>agissant de tous les secteurs visés par le SGH (et notamment la santé, le travail, les transports, l</w:t>
      </w:r>
      <w:r w:rsidR="00975D4C">
        <w:rPr>
          <w:lang w:val="fr-FR"/>
        </w:rPr>
        <w:t>’</w:t>
      </w:r>
      <w:r w:rsidRPr="00006F01">
        <w:rPr>
          <w:lang w:val="fr-FR"/>
        </w:rPr>
        <w:t>environnement et le commerce).</w:t>
      </w:r>
    </w:p>
    <w:p w14:paraId="6059443C" w14:textId="77777777" w:rsidR="00006F01" w:rsidRPr="00006F01" w:rsidRDefault="00006F01" w:rsidP="00006F01">
      <w:pPr>
        <w:pStyle w:val="SingleTxtG"/>
        <w:rPr>
          <w:lang w:val="fr-FR"/>
        </w:rPr>
      </w:pPr>
      <w:r w:rsidRPr="00006F01">
        <w:rPr>
          <w:lang w:val="fr-FR"/>
        </w:rPr>
        <w:t>11.</w:t>
      </w:r>
      <w:r w:rsidRPr="00006F01">
        <w:rPr>
          <w:lang w:val="fr-FR"/>
        </w:rPr>
        <w:tab/>
        <w:t>En ce qui concerne le Comité, l</w:t>
      </w:r>
      <w:r w:rsidR="00975D4C">
        <w:rPr>
          <w:lang w:val="fr-FR"/>
        </w:rPr>
        <w:t>’</w:t>
      </w:r>
      <w:r w:rsidRPr="00006F01">
        <w:rPr>
          <w:lang w:val="fr-FR"/>
        </w:rPr>
        <w:t>expert désigné par l</w:t>
      </w:r>
      <w:r w:rsidR="00975D4C">
        <w:rPr>
          <w:lang w:val="fr-FR"/>
        </w:rPr>
        <w:t>’</w:t>
      </w:r>
      <w:r w:rsidRPr="00006F01">
        <w:rPr>
          <w:lang w:val="fr-FR"/>
        </w:rPr>
        <w:t>État transmet en principe la position convenue de ce dernier s</w:t>
      </w:r>
      <w:r w:rsidR="00975D4C">
        <w:rPr>
          <w:lang w:val="fr-FR"/>
        </w:rPr>
        <w:t>’</w:t>
      </w:r>
      <w:r w:rsidRPr="00006F01">
        <w:rPr>
          <w:lang w:val="fr-FR"/>
        </w:rPr>
        <w:t>agissant de toutes les questions traitées par les deux Sous-Comités.</w:t>
      </w:r>
    </w:p>
    <w:p w14:paraId="5B9BAD81" w14:textId="77777777" w:rsidR="00006F01" w:rsidRPr="00006F01" w:rsidRDefault="00006F01" w:rsidP="00006F01">
      <w:pPr>
        <w:pStyle w:val="SingleTxtG"/>
        <w:rPr>
          <w:lang w:val="fr-FR"/>
        </w:rPr>
      </w:pPr>
      <w:r w:rsidRPr="00006F01">
        <w:rPr>
          <w:lang w:val="fr-FR"/>
        </w:rPr>
        <w:t>12.</w:t>
      </w:r>
      <w:r w:rsidRPr="00006F01">
        <w:rPr>
          <w:lang w:val="fr-FR"/>
        </w:rPr>
        <w:tab/>
        <w:t>Un membre du secrétariat a fait observer que, pour certains pays, les renseignements relatifs à l</w:t>
      </w:r>
      <w:r w:rsidR="00975D4C">
        <w:rPr>
          <w:lang w:val="fr-FR"/>
        </w:rPr>
        <w:t>’</w:t>
      </w:r>
      <w:r w:rsidRPr="00006F01">
        <w:rPr>
          <w:lang w:val="fr-FR"/>
        </w:rPr>
        <w:t>expert accrédité pour représenter l</w:t>
      </w:r>
      <w:r w:rsidR="00975D4C">
        <w:rPr>
          <w:lang w:val="fr-FR"/>
        </w:rPr>
        <w:t>’</w:t>
      </w:r>
      <w:r w:rsidRPr="00006F01">
        <w:rPr>
          <w:lang w:val="fr-FR"/>
        </w:rPr>
        <w:t>État étaient absents ou incomplets, ou n</w:t>
      </w:r>
      <w:r w:rsidR="00975D4C">
        <w:rPr>
          <w:lang w:val="fr-FR"/>
        </w:rPr>
        <w:t>’</w:t>
      </w:r>
      <w:r w:rsidRPr="00006F01">
        <w:rPr>
          <w:lang w:val="fr-FR"/>
        </w:rPr>
        <w:t>étaient plus d</w:t>
      </w:r>
      <w:r w:rsidR="00975D4C">
        <w:rPr>
          <w:lang w:val="fr-FR"/>
        </w:rPr>
        <w:t>’</w:t>
      </w:r>
      <w:r w:rsidRPr="00006F01">
        <w:rPr>
          <w:lang w:val="fr-FR"/>
        </w:rPr>
        <w:t>actualité.</w:t>
      </w:r>
    </w:p>
    <w:p w14:paraId="7E5C036E" w14:textId="77777777" w:rsidR="00006F01" w:rsidRPr="00006F01" w:rsidRDefault="00006F01" w:rsidP="00006F01">
      <w:pPr>
        <w:pStyle w:val="SingleTxtG"/>
        <w:rPr>
          <w:lang w:val="fr-FR"/>
        </w:rPr>
      </w:pPr>
      <w:r w:rsidRPr="00006F01">
        <w:rPr>
          <w:lang w:val="fr-FR"/>
        </w:rPr>
        <w:t>13.</w:t>
      </w:r>
      <w:r w:rsidRPr="00006F01">
        <w:rPr>
          <w:lang w:val="fr-FR"/>
        </w:rPr>
        <w:tab/>
        <w:t>Le secrétariat a souligné qu</w:t>
      </w:r>
      <w:r w:rsidR="00975D4C">
        <w:rPr>
          <w:lang w:val="fr-FR"/>
        </w:rPr>
        <w:t>’</w:t>
      </w:r>
      <w:r w:rsidRPr="00006F01">
        <w:rPr>
          <w:lang w:val="fr-FR"/>
        </w:rPr>
        <w:t>il importait de tenir ces renseignements à jour et a invité les délégations à vérifier si le nom et les coordonnées de la personne désignée comme chef de délégation pour l</w:t>
      </w:r>
      <w:r w:rsidR="00975D4C">
        <w:rPr>
          <w:lang w:val="fr-FR"/>
        </w:rPr>
        <w:t>’</w:t>
      </w:r>
      <w:r w:rsidRPr="00006F01">
        <w:rPr>
          <w:lang w:val="fr-FR"/>
        </w:rPr>
        <w:t>État ou l</w:t>
      </w:r>
      <w:r w:rsidR="00975D4C">
        <w:rPr>
          <w:lang w:val="fr-FR"/>
        </w:rPr>
        <w:t>’</w:t>
      </w:r>
      <w:r w:rsidRPr="00006F01">
        <w:rPr>
          <w:lang w:val="fr-FR"/>
        </w:rPr>
        <w:t>organisation visés étaient exacts. Les changements devaient être notifiés au secrétariat dès que possible, par les voies officielles (c</w:t>
      </w:r>
      <w:r w:rsidR="00975D4C">
        <w:rPr>
          <w:lang w:val="fr-FR"/>
        </w:rPr>
        <w:t>’</w:t>
      </w:r>
      <w:r w:rsidRPr="00006F01">
        <w:rPr>
          <w:lang w:val="fr-FR"/>
        </w:rPr>
        <w:t>est-à-dire par l</w:t>
      </w:r>
      <w:r w:rsidR="00975D4C">
        <w:rPr>
          <w:lang w:val="fr-FR"/>
        </w:rPr>
        <w:t>’</w:t>
      </w:r>
      <w:r w:rsidRPr="00006F01">
        <w:rPr>
          <w:lang w:val="fr-FR"/>
        </w:rPr>
        <w:t>intermédiaire de la Mission permanente ou du Ministère des affaires étrangères dans le cas des États, et par une lettre ou un message électronique officiels dans le cas des ONG).</w:t>
      </w:r>
    </w:p>
    <w:p w14:paraId="2AFC7D70" w14:textId="77777777" w:rsidR="00006F01" w:rsidRPr="00006F01" w:rsidRDefault="00006F01" w:rsidP="00006F01">
      <w:pPr>
        <w:pStyle w:val="HChG"/>
        <w:rPr>
          <w:lang w:val="fr-FR"/>
        </w:rPr>
      </w:pPr>
      <w:r w:rsidRPr="00006F01">
        <w:rPr>
          <w:lang w:val="fr-FR"/>
        </w:rPr>
        <w:tab/>
        <w:t>III.</w:t>
      </w:r>
      <w:r w:rsidRPr="00006F01">
        <w:rPr>
          <w:lang w:val="fr-FR"/>
        </w:rPr>
        <w:tab/>
        <w:t xml:space="preserve">Critères de classification et communication des dangers </w:t>
      </w:r>
      <w:r>
        <w:rPr>
          <w:lang w:val="fr-FR"/>
        </w:rPr>
        <w:br/>
      </w:r>
      <w:r w:rsidRPr="00006F01">
        <w:rPr>
          <w:lang w:val="fr-FR"/>
        </w:rPr>
        <w:t>y relatifs (point 2 de l</w:t>
      </w:r>
      <w:r w:rsidR="00975D4C">
        <w:rPr>
          <w:lang w:val="fr-FR"/>
        </w:rPr>
        <w:t>’</w:t>
      </w:r>
      <w:r w:rsidRPr="00006F01">
        <w:rPr>
          <w:lang w:val="fr-FR"/>
        </w:rPr>
        <w:t>ordre du jour)</w:t>
      </w:r>
    </w:p>
    <w:p w14:paraId="3364E983" w14:textId="77777777" w:rsidR="00006F01" w:rsidRPr="00006F01" w:rsidRDefault="00006F01" w:rsidP="00006F01">
      <w:pPr>
        <w:pStyle w:val="H1G"/>
        <w:rPr>
          <w:lang w:val="fr-FR"/>
        </w:rPr>
      </w:pPr>
      <w:bookmarkStart w:id="4" w:name="_Hlk26724394"/>
      <w:r w:rsidRPr="00006F01">
        <w:rPr>
          <w:lang w:val="fr-FR"/>
        </w:rPr>
        <w:tab/>
        <w:t>A.</w:t>
      </w:r>
      <w:r w:rsidRPr="00006F01">
        <w:rPr>
          <w:lang w:val="fr-FR"/>
        </w:rPr>
        <w:tab/>
        <w:t>Travaux du Sous-Comité d</w:t>
      </w:r>
      <w:r w:rsidR="00975D4C">
        <w:rPr>
          <w:lang w:val="fr-FR"/>
        </w:rPr>
        <w:t>’</w:t>
      </w:r>
      <w:r w:rsidRPr="00006F01">
        <w:rPr>
          <w:lang w:val="fr-FR"/>
        </w:rPr>
        <w:t>experts du transport des marchandises dangereuses (TMD) sur des questions intéressant le Sous-Comité SGH</w:t>
      </w:r>
      <w:bookmarkEnd w:id="4"/>
    </w:p>
    <w:p w14:paraId="415F066E" w14:textId="77777777" w:rsidR="00006F01" w:rsidRPr="00006F01" w:rsidRDefault="00006F01" w:rsidP="00006F01">
      <w:pPr>
        <w:pStyle w:val="H23G"/>
        <w:rPr>
          <w:lang w:val="fr-FR"/>
        </w:rPr>
      </w:pPr>
      <w:r w:rsidRPr="00006F01">
        <w:rPr>
          <w:lang w:val="fr-FR"/>
        </w:rPr>
        <w:tab/>
        <w:t>1.</w:t>
      </w:r>
      <w:r w:rsidRPr="00006F01">
        <w:rPr>
          <w:lang w:val="fr-FR"/>
        </w:rPr>
        <w:tab/>
        <w:t>Épreuves relatives aux matières comburantes</w:t>
      </w:r>
    </w:p>
    <w:p w14:paraId="75867A82" w14:textId="77777777" w:rsidR="00006F01" w:rsidRPr="00006F01" w:rsidRDefault="00006F01" w:rsidP="00006F01">
      <w:pPr>
        <w:pStyle w:val="SingleTxtG"/>
        <w:ind w:left="3402" w:hanging="2268"/>
        <w:jc w:val="left"/>
        <w:rPr>
          <w:lang w:val="fr-FR"/>
        </w:rPr>
      </w:pPr>
      <w:r w:rsidRPr="00006F01">
        <w:rPr>
          <w:i/>
          <w:iCs/>
          <w:lang w:val="fr-FR"/>
        </w:rPr>
        <w:t xml:space="preserve">Document(s) </w:t>
      </w:r>
      <w:r w:rsidRPr="00006F01">
        <w:rPr>
          <w:lang w:val="fr-FR"/>
        </w:rPr>
        <w:t xml:space="preserve">: </w:t>
      </w:r>
      <w:r w:rsidRPr="00006F01">
        <w:rPr>
          <w:lang w:val="fr-FR"/>
        </w:rPr>
        <w:tab/>
      </w:r>
      <w:r w:rsidRPr="00006F01">
        <w:rPr>
          <w:lang w:val="fr-FR"/>
        </w:rPr>
        <w:tab/>
        <w:t>ST/SG/AC.10/C.4/2019/11 (France)</w:t>
      </w:r>
    </w:p>
    <w:p w14:paraId="4316B12E" w14:textId="77777777" w:rsidR="00006F01" w:rsidRPr="00006F01" w:rsidRDefault="00006F01" w:rsidP="00006F01">
      <w:pPr>
        <w:pStyle w:val="SingleTxtG"/>
        <w:ind w:left="3402" w:hanging="2268"/>
        <w:jc w:val="left"/>
        <w:rPr>
          <w:lang w:val="fr-FR"/>
        </w:rPr>
      </w:pPr>
      <w:r w:rsidRPr="00006F01">
        <w:rPr>
          <w:i/>
          <w:iCs/>
          <w:lang w:val="fr-FR"/>
        </w:rPr>
        <w:t xml:space="preserve">Document(s) informel(s) </w:t>
      </w:r>
      <w:r w:rsidRPr="00006F01">
        <w:rPr>
          <w:lang w:val="fr-FR"/>
        </w:rPr>
        <w:t>:</w:t>
      </w:r>
      <w:r w:rsidRPr="00006F01">
        <w:rPr>
          <w:lang w:val="fr-FR"/>
        </w:rPr>
        <w:tab/>
      </w:r>
      <w:r w:rsidRPr="00006F01">
        <w:rPr>
          <w:lang w:val="fr-FR"/>
        </w:rPr>
        <w:tab/>
        <w:t>INF.18 (France)</w:t>
      </w:r>
      <w:r>
        <w:rPr>
          <w:lang w:val="fr-FR"/>
        </w:rPr>
        <w:br/>
      </w:r>
      <w:r w:rsidRPr="00006F01">
        <w:rPr>
          <w:i/>
          <w:iCs/>
          <w:lang w:val="fr-FR"/>
        </w:rPr>
        <w:tab/>
      </w:r>
      <w:r w:rsidRPr="00006F01">
        <w:rPr>
          <w:lang w:val="fr-FR"/>
        </w:rPr>
        <w:t>INF.28, Item 1 (secrétariat)</w:t>
      </w:r>
    </w:p>
    <w:p w14:paraId="5898178A" w14:textId="77777777" w:rsidR="00006F01" w:rsidRPr="00006F01" w:rsidRDefault="00006F01" w:rsidP="00006F01">
      <w:pPr>
        <w:pStyle w:val="SingleTxtG"/>
        <w:rPr>
          <w:lang w:val="fr-FR"/>
        </w:rPr>
      </w:pPr>
      <w:r w:rsidRPr="00006F01">
        <w:rPr>
          <w:lang w:val="fr-FR"/>
        </w:rPr>
        <w:t>14.</w:t>
      </w:r>
      <w:r w:rsidRPr="00006F01">
        <w:rPr>
          <w:lang w:val="fr-FR"/>
        </w:rPr>
        <w:tab/>
        <w:t>Le Sous-Comité a pris note des résultats des débats du Sous-Comité d</w:t>
      </w:r>
      <w:r w:rsidR="00975D4C">
        <w:rPr>
          <w:lang w:val="fr-FR"/>
        </w:rPr>
        <w:t>’</w:t>
      </w:r>
      <w:r w:rsidRPr="00006F01">
        <w:rPr>
          <w:lang w:val="fr-FR"/>
        </w:rPr>
        <w:t>experts du transport des marchandises dangereuses sur les épreuves relatives aux matières liquides comburantes et aux matières solides comburantes, tels qu</w:t>
      </w:r>
      <w:r w:rsidR="00975D4C">
        <w:rPr>
          <w:lang w:val="fr-FR"/>
        </w:rPr>
        <w:t>’</w:t>
      </w:r>
      <w:r w:rsidRPr="00006F01">
        <w:rPr>
          <w:lang w:val="fr-FR"/>
        </w:rPr>
        <w:t>ils figurent dans le document ST/SG/AC.10/C.4/2019/11 et le document informel INF.18. L</w:t>
      </w:r>
      <w:r w:rsidR="00975D4C">
        <w:rPr>
          <w:lang w:val="fr-FR"/>
        </w:rPr>
        <w:t>’</w:t>
      </w:r>
      <w:r w:rsidRPr="00006F01">
        <w:rPr>
          <w:lang w:val="fr-FR"/>
        </w:rPr>
        <w:t>expert de la France a dit espérer que les travaux pourraient être achevés à temps et qu</w:t>
      </w:r>
      <w:r w:rsidR="00975D4C">
        <w:rPr>
          <w:lang w:val="fr-FR"/>
        </w:rPr>
        <w:t>’</w:t>
      </w:r>
      <w:r w:rsidRPr="00006F01">
        <w:rPr>
          <w:lang w:val="fr-FR"/>
        </w:rPr>
        <w:t>une proposition pourrait être soumise à l</w:t>
      </w:r>
      <w:r w:rsidR="00975D4C">
        <w:rPr>
          <w:lang w:val="fr-FR"/>
        </w:rPr>
        <w:t>’</w:t>
      </w:r>
      <w:r w:rsidRPr="00006F01">
        <w:rPr>
          <w:lang w:val="fr-FR"/>
        </w:rPr>
        <w:t>examen du Sous-Comité à sa session suivante.</w:t>
      </w:r>
    </w:p>
    <w:p w14:paraId="5DCBDD33" w14:textId="77777777" w:rsidR="00006F01" w:rsidRPr="00006F01" w:rsidRDefault="00006F01" w:rsidP="00006F01">
      <w:pPr>
        <w:pStyle w:val="H23G"/>
        <w:rPr>
          <w:lang w:val="fr-FR"/>
        </w:rPr>
      </w:pPr>
      <w:r w:rsidRPr="00006F01">
        <w:rPr>
          <w:lang w:val="fr-FR"/>
        </w:rPr>
        <w:tab/>
        <w:t>2.</w:t>
      </w:r>
      <w:r w:rsidRPr="00006F01">
        <w:rPr>
          <w:lang w:val="fr-FR"/>
        </w:rPr>
        <w:tab/>
        <w:t>Examen des épreuves de la série H</w:t>
      </w:r>
    </w:p>
    <w:p w14:paraId="70F1E616" w14:textId="77777777" w:rsidR="00006F01" w:rsidRPr="00006F01" w:rsidRDefault="00006F01" w:rsidP="00006F01">
      <w:pPr>
        <w:pStyle w:val="SingleTxtG"/>
        <w:ind w:left="3402" w:hanging="2268"/>
        <w:jc w:val="left"/>
        <w:rPr>
          <w:lang w:val="fr-FR"/>
        </w:rPr>
      </w:pPr>
      <w:r w:rsidRPr="00006F01">
        <w:rPr>
          <w:i/>
          <w:iCs/>
          <w:lang w:val="fr-FR"/>
        </w:rPr>
        <w:t xml:space="preserve">Document(s) informel(s) </w:t>
      </w:r>
      <w:r w:rsidRPr="00006F01">
        <w:rPr>
          <w:lang w:val="fr-FR"/>
        </w:rPr>
        <w:t xml:space="preserve">: </w:t>
      </w:r>
      <w:r w:rsidRPr="00006F01">
        <w:rPr>
          <w:lang w:val="fr-FR"/>
        </w:rPr>
        <w:tab/>
      </w:r>
      <w:r w:rsidRPr="00006F01">
        <w:rPr>
          <w:lang w:val="fr-FR"/>
        </w:rPr>
        <w:tab/>
        <w:t>INF.15 (Président du Groupe de travail des explosifs)</w:t>
      </w:r>
      <w:r>
        <w:rPr>
          <w:lang w:val="fr-FR"/>
        </w:rPr>
        <w:br/>
      </w:r>
      <w:r w:rsidRPr="00006F01">
        <w:rPr>
          <w:i/>
          <w:iCs/>
          <w:lang w:val="fr-FR"/>
        </w:rPr>
        <w:tab/>
      </w:r>
      <w:r w:rsidRPr="00006F01">
        <w:rPr>
          <w:lang w:val="fr-FR"/>
        </w:rPr>
        <w:t>INF.28, Item 2 (secrétariat)</w:t>
      </w:r>
    </w:p>
    <w:p w14:paraId="0B14BDCD" w14:textId="77777777" w:rsidR="00006F01" w:rsidRPr="00006F01" w:rsidRDefault="00006F01" w:rsidP="00006F01">
      <w:pPr>
        <w:pStyle w:val="SingleTxtG"/>
        <w:rPr>
          <w:lang w:val="fr-FR"/>
        </w:rPr>
      </w:pPr>
      <w:r w:rsidRPr="00006F01">
        <w:rPr>
          <w:lang w:val="fr-FR"/>
        </w:rPr>
        <w:t>15.</w:t>
      </w:r>
      <w:r w:rsidRPr="00006F01">
        <w:rPr>
          <w:lang w:val="fr-FR"/>
        </w:rPr>
        <w:tab/>
        <w:t>Le Sous-Comité a pris note des informations récentes sur l</w:t>
      </w:r>
      <w:r w:rsidR="00975D4C">
        <w:rPr>
          <w:lang w:val="fr-FR"/>
        </w:rPr>
        <w:t>’</w:t>
      </w:r>
      <w:r w:rsidRPr="00006F01">
        <w:rPr>
          <w:lang w:val="fr-FR"/>
        </w:rPr>
        <w:t>examen des épreuves de la série H du Manuel d</w:t>
      </w:r>
      <w:r w:rsidR="00975D4C">
        <w:rPr>
          <w:lang w:val="fr-FR"/>
        </w:rPr>
        <w:t>’</w:t>
      </w:r>
      <w:r w:rsidRPr="00006F01">
        <w:rPr>
          <w:lang w:val="fr-FR"/>
        </w:rPr>
        <w:t>épreuves et de critères, dont il est rendu compte dans le document informel INF.15, et des résultats des débats du Sous-Comité d</w:t>
      </w:r>
      <w:r w:rsidR="00975D4C">
        <w:rPr>
          <w:lang w:val="fr-FR"/>
        </w:rPr>
        <w:t>’</w:t>
      </w:r>
      <w:r w:rsidRPr="00006F01">
        <w:rPr>
          <w:lang w:val="fr-FR"/>
        </w:rPr>
        <w:t>experts du transport des marchandises dangereuses sur cette question.</w:t>
      </w:r>
    </w:p>
    <w:p w14:paraId="35C212DA" w14:textId="77777777" w:rsidR="00006F01" w:rsidRPr="00006F01" w:rsidRDefault="00006F01" w:rsidP="00006F01">
      <w:pPr>
        <w:pStyle w:val="SingleTxtG"/>
        <w:rPr>
          <w:lang w:val="fr-FR"/>
        </w:rPr>
      </w:pPr>
      <w:r w:rsidRPr="00006F01">
        <w:rPr>
          <w:lang w:val="fr-FR"/>
        </w:rPr>
        <w:t>16.</w:t>
      </w:r>
      <w:r w:rsidRPr="00006F01">
        <w:rPr>
          <w:lang w:val="fr-FR"/>
        </w:rPr>
        <w:tab/>
        <w:t>Les auteurs de la proposition ont été invités à tenir compte de l</w:t>
      </w:r>
      <w:r w:rsidR="00975D4C">
        <w:rPr>
          <w:lang w:val="fr-FR"/>
        </w:rPr>
        <w:t>’</w:t>
      </w:r>
      <w:r w:rsidRPr="00006F01">
        <w:rPr>
          <w:lang w:val="fr-FR"/>
        </w:rPr>
        <w:t>applicabilité du Manuel d</w:t>
      </w:r>
      <w:r w:rsidR="00975D4C">
        <w:rPr>
          <w:lang w:val="fr-FR"/>
        </w:rPr>
        <w:t>’</w:t>
      </w:r>
      <w:r w:rsidRPr="00006F01">
        <w:rPr>
          <w:lang w:val="fr-FR"/>
        </w:rPr>
        <w:t xml:space="preserve">épreuves et de critères dans les secteurs autres que celui des transports, en conformité avec la révision du Manuel effectuée au cours de la dernière période biennale. Les experts ont été invités à envoyer leurs observations au représentant du </w:t>
      </w:r>
      <w:proofErr w:type="spellStart"/>
      <w:r w:rsidRPr="00006F01">
        <w:rPr>
          <w:lang w:val="fr-FR"/>
        </w:rPr>
        <w:t>Cefic</w:t>
      </w:r>
      <w:proofErr w:type="spellEnd"/>
      <w:r w:rsidRPr="00006F01">
        <w:rPr>
          <w:lang w:val="fr-FR"/>
        </w:rPr>
        <w:t xml:space="preserve"> (M.</w:t>
      </w:r>
      <w:r w:rsidR="0058120C">
        <w:rPr>
          <w:lang w:val="fr-FR"/>
        </w:rPr>
        <w:t> </w:t>
      </w:r>
      <w:r w:rsidRPr="00006F01">
        <w:rPr>
          <w:lang w:val="fr-FR"/>
        </w:rPr>
        <w:t>Schuurman) pour la mi-mars 2020 au plus tard.</w:t>
      </w:r>
    </w:p>
    <w:p w14:paraId="715A0391" w14:textId="77777777" w:rsidR="00006F01" w:rsidRPr="00006F01" w:rsidRDefault="00006F01" w:rsidP="00006F01">
      <w:pPr>
        <w:pStyle w:val="H1G"/>
        <w:rPr>
          <w:lang w:val="fr-FR"/>
        </w:rPr>
      </w:pPr>
      <w:r w:rsidRPr="00006F01">
        <w:rPr>
          <w:lang w:val="fr-FR"/>
        </w:rPr>
        <w:lastRenderedPageBreak/>
        <w:tab/>
        <w:t>B.</w:t>
      </w:r>
      <w:r w:rsidRPr="00006F01">
        <w:rPr>
          <w:lang w:val="fr-FR"/>
        </w:rPr>
        <w:tab/>
        <w:t>Révision du chapitre 2.1</w:t>
      </w:r>
    </w:p>
    <w:p w14:paraId="2547D1BB" w14:textId="77777777" w:rsidR="00006F01" w:rsidRPr="00006F01" w:rsidRDefault="00006F01" w:rsidP="00006F01">
      <w:pPr>
        <w:pStyle w:val="SingleTxtG"/>
        <w:ind w:left="3402" w:hanging="2268"/>
        <w:jc w:val="left"/>
        <w:rPr>
          <w:lang w:val="fr-FR"/>
        </w:rPr>
      </w:pPr>
      <w:r w:rsidRPr="00006F01">
        <w:rPr>
          <w:i/>
          <w:iCs/>
          <w:lang w:val="fr-FR"/>
        </w:rPr>
        <w:t xml:space="preserve">Document(s) </w:t>
      </w:r>
      <w:r w:rsidRPr="00006F01">
        <w:rPr>
          <w:lang w:val="fr-FR"/>
        </w:rPr>
        <w:t xml:space="preserve">: </w:t>
      </w:r>
      <w:r w:rsidRPr="00006F01">
        <w:rPr>
          <w:lang w:val="fr-FR"/>
        </w:rPr>
        <w:tab/>
      </w:r>
      <w:r w:rsidRPr="00006F01">
        <w:rPr>
          <w:lang w:val="fr-FR"/>
        </w:rPr>
        <w:tab/>
        <w:t>ST/SG/AC.10/C.4/2019/10 (Suède)</w:t>
      </w:r>
    </w:p>
    <w:p w14:paraId="4F45B6BE" w14:textId="77777777" w:rsidR="00006F01" w:rsidRPr="00006F01" w:rsidRDefault="00006F01" w:rsidP="00006F01">
      <w:pPr>
        <w:pStyle w:val="SingleTxtG"/>
        <w:ind w:left="3402" w:hanging="2268"/>
        <w:jc w:val="left"/>
        <w:rPr>
          <w:lang w:val="fr-FR"/>
        </w:rPr>
      </w:pPr>
      <w:r w:rsidRPr="00006F01">
        <w:rPr>
          <w:i/>
          <w:iCs/>
          <w:lang w:val="fr-FR"/>
        </w:rPr>
        <w:t xml:space="preserve">Document(s) informel(s) </w:t>
      </w:r>
      <w:r w:rsidRPr="00006F01">
        <w:rPr>
          <w:lang w:val="fr-FR"/>
        </w:rPr>
        <w:t>:</w:t>
      </w:r>
      <w:r w:rsidRPr="00006F01">
        <w:rPr>
          <w:lang w:val="fr-FR"/>
        </w:rPr>
        <w:tab/>
      </w:r>
      <w:r w:rsidRPr="00006F01">
        <w:rPr>
          <w:lang w:val="fr-FR"/>
        </w:rPr>
        <w:tab/>
        <w:t>INF.6, INF.26 et INF.32 (Suède)</w:t>
      </w:r>
      <w:r>
        <w:rPr>
          <w:lang w:val="fr-FR"/>
        </w:rPr>
        <w:br/>
      </w:r>
      <w:r w:rsidRPr="00006F01">
        <w:rPr>
          <w:i/>
          <w:iCs/>
          <w:lang w:val="fr-FR"/>
        </w:rPr>
        <w:tab/>
      </w:r>
      <w:r w:rsidRPr="00006F01">
        <w:rPr>
          <w:lang w:val="fr-FR"/>
        </w:rPr>
        <w:t>INF.28, Item 3 (secrétariat)</w:t>
      </w:r>
    </w:p>
    <w:p w14:paraId="40807FA0" w14:textId="77777777" w:rsidR="00006F01" w:rsidRPr="00006F01" w:rsidRDefault="00006F01" w:rsidP="00006F01">
      <w:pPr>
        <w:pStyle w:val="SingleTxtG"/>
        <w:rPr>
          <w:lang w:val="fr-FR"/>
        </w:rPr>
      </w:pPr>
      <w:r w:rsidRPr="00006F01">
        <w:rPr>
          <w:lang w:val="fr-FR"/>
        </w:rPr>
        <w:t>17.</w:t>
      </w:r>
      <w:r w:rsidRPr="00006F01">
        <w:rPr>
          <w:lang w:val="fr-FR"/>
        </w:rPr>
        <w:tab/>
        <w:t>Le Sous-Comité a pris note des résultats des discussions de la réunion du groupe de travail informel par correspondance concernant l</w:t>
      </w:r>
      <w:r w:rsidR="00975D4C">
        <w:rPr>
          <w:lang w:val="fr-FR"/>
        </w:rPr>
        <w:t>’</w:t>
      </w:r>
      <w:r w:rsidRPr="00006F01">
        <w:rPr>
          <w:lang w:val="fr-FR"/>
        </w:rPr>
        <w:t>examen du chapitre 2.1, qui s</w:t>
      </w:r>
      <w:r w:rsidR="00975D4C">
        <w:rPr>
          <w:lang w:val="fr-FR"/>
        </w:rPr>
        <w:t>’</w:t>
      </w:r>
      <w:r w:rsidRPr="00006F01">
        <w:rPr>
          <w:lang w:val="fr-FR"/>
        </w:rPr>
        <w:t>est tenue le 11</w:t>
      </w:r>
      <w:r w:rsidR="00D75050">
        <w:rPr>
          <w:lang w:val="fr-FR"/>
        </w:rPr>
        <w:t> </w:t>
      </w:r>
      <w:r w:rsidRPr="00006F01">
        <w:rPr>
          <w:lang w:val="fr-FR"/>
        </w:rPr>
        <w:t>décembre 2019, tels qu</w:t>
      </w:r>
      <w:r w:rsidR="00975D4C">
        <w:rPr>
          <w:lang w:val="fr-FR"/>
        </w:rPr>
        <w:t>’</w:t>
      </w:r>
      <w:r w:rsidRPr="00006F01">
        <w:rPr>
          <w:lang w:val="fr-FR"/>
        </w:rPr>
        <w:t>ils figurent dans le document informel INF.32, et il a approuvé les lignes d</w:t>
      </w:r>
      <w:r w:rsidR="00975D4C">
        <w:rPr>
          <w:lang w:val="fr-FR"/>
        </w:rPr>
        <w:t>’</w:t>
      </w:r>
      <w:r w:rsidRPr="00006F01">
        <w:rPr>
          <w:lang w:val="fr-FR"/>
        </w:rPr>
        <w:t>action proposées pour l</w:t>
      </w:r>
      <w:r w:rsidR="00975D4C">
        <w:rPr>
          <w:lang w:val="fr-FR"/>
        </w:rPr>
        <w:t>’</w:t>
      </w:r>
      <w:r w:rsidRPr="00006F01">
        <w:rPr>
          <w:lang w:val="fr-FR"/>
        </w:rPr>
        <w:t>avenir. L</w:t>
      </w:r>
      <w:r w:rsidR="00975D4C">
        <w:rPr>
          <w:lang w:val="fr-FR"/>
        </w:rPr>
        <w:t>’</w:t>
      </w:r>
      <w:r w:rsidRPr="00006F01">
        <w:rPr>
          <w:lang w:val="fr-FR"/>
        </w:rPr>
        <w:t>expert de la Suède a fait savoir au Sous</w:t>
      </w:r>
      <w:r w:rsidR="00D75050">
        <w:rPr>
          <w:lang w:val="fr-FR"/>
        </w:rPr>
        <w:noBreakHyphen/>
      </w:r>
      <w:r w:rsidRPr="00006F01">
        <w:rPr>
          <w:lang w:val="fr-FR"/>
        </w:rPr>
        <w:t>Comité que les observations suscitées par le projet de chapitre 2.1 étaient en cours d</w:t>
      </w:r>
      <w:r w:rsidR="00975D4C">
        <w:rPr>
          <w:lang w:val="fr-FR"/>
        </w:rPr>
        <w:t>’</w:t>
      </w:r>
      <w:r w:rsidRPr="00006F01">
        <w:rPr>
          <w:lang w:val="fr-FR"/>
        </w:rPr>
        <w:t>analyse et de synthèse, et qu</w:t>
      </w:r>
      <w:r w:rsidR="00975D4C">
        <w:rPr>
          <w:lang w:val="fr-FR"/>
        </w:rPr>
        <w:t>’</w:t>
      </w:r>
      <w:r w:rsidRPr="00006F01">
        <w:rPr>
          <w:lang w:val="fr-FR"/>
        </w:rPr>
        <w:t>une proposition révisée serait soumise aux deux Sous</w:t>
      </w:r>
      <w:r w:rsidR="00D75050">
        <w:rPr>
          <w:lang w:val="fr-FR"/>
        </w:rPr>
        <w:noBreakHyphen/>
      </w:r>
      <w:r w:rsidRPr="00006F01">
        <w:rPr>
          <w:lang w:val="fr-FR"/>
        </w:rPr>
        <w:t>Comités à la session suivante.</w:t>
      </w:r>
    </w:p>
    <w:p w14:paraId="1CACE67B" w14:textId="77777777" w:rsidR="00006F01" w:rsidRPr="00006F01" w:rsidRDefault="00006F01" w:rsidP="00006F01">
      <w:pPr>
        <w:pStyle w:val="H1G"/>
        <w:rPr>
          <w:lang w:val="fr-FR"/>
        </w:rPr>
      </w:pPr>
      <w:r w:rsidRPr="00006F01">
        <w:rPr>
          <w:lang w:val="fr-FR"/>
        </w:rPr>
        <w:tab/>
        <w:t>C.</w:t>
      </w:r>
      <w:r w:rsidRPr="00006F01">
        <w:rPr>
          <w:lang w:val="fr-FR"/>
        </w:rPr>
        <w:tab/>
        <w:t>Utilisation de méthodes d</w:t>
      </w:r>
      <w:r w:rsidR="00975D4C">
        <w:rPr>
          <w:lang w:val="fr-FR"/>
        </w:rPr>
        <w:t>’</w:t>
      </w:r>
      <w:r w:rsidRPr="00006F01">
        <w:rPr>
          <w:lang w:val="fr-FR"/>
        </w:rPr>
        <w:t xml:space="preserve">expérimentation non animales </w:t>
      </w:r>
      <w:r>
        <w:rPr>
          <w:lang w:val="fr-FR"/>
        </w:rPr>
        <w:br/>
      </w:r>
      <w:r w:rsidRPr="00006F01">
        <w:rPr>
          <w:lang w:val="fr-FR"/>
        </w:rPr>
        <w:t>pour le classement des dangers pour la santé</w:t>
      </w:r>
    </w:p>
    <w:p w14:paraId="3012CFDB" w14:textId="77777777" w:rsidR="00006F01" w:rsidRPr="00006F01" w:rsidRDefault="00006F01" w:rsidP="00006F01">
      <w:pPr>
        <w:pStyle w:val="SingleTxtG"/>
        <w:ind w:left="3402" w:hanging="2268"/>
        <w:jc w:val="left"/>
        <w:rPr>
          <w:lang w:val="fr-FR"/>
        </w:rPr>
      </w:pPr>
      <w:r w:rsidRPr="00006F01">
        <w:rPr>
          <w:i/>
          <w:iCs/>
          <w:lang w:val="fr-FR"/>
        </w:rPr>
        <w:t xml:space="preserve">Document(s) informel(s) </w:t>
      </w:r>
      <w:r w:rsidRPr="00006F01">
        <w:rPr>
          <w:lang w:val="fr-FR"/>
        </w:rPr>
        <w:t>:</w:t>
      </w:r>
      <w:r w:rsidRPr="00006F01">
        <w:rPr>
          <w:lang w:val="fr-FR"/>
        </w:rPr>
        <w:tab/>
      </w:r>
      <w:r w:rsidRPr="00006F01">
        <w:rPr>
          <w:lang w:val="fr-FR"/>
        </w:rPr>
        <w:tab/>
        <w:t>INF.20 (Pays-Bas et Royaume-Uni)</w:t>
      </w:r>
    </w:p>
    <w:p w14:paraId="5CBCCFDC" w14:textId="77777777" w:rsidR="00006F01" w:rsidRPr="00006F01" w:rsidRDefault="00006F01" w:rsidP="00006F01">
      <w:pPr>
        <w:pStyle w:val="SingleTxtG"/>
        <w:rPr>
          <w:lang w:val="fr-FR"/>
        </w:rPr>
      </w:pPr>
      <w:r w:rsidRPr="00006F01">
        <w:rPr>
          <w:lang w:val="fr-FR"/>
        </w:rPr>
        <w:t>18.</w:t>
      </w:r>
      <w:r w:rsidRPr="00006F01">
        <w:rPr>
          <w:lang w:val="fr-FR"/>
        </w:rPr>
        <w:tab/>
        <w:t>L</w:t>
      </w:r>
      <w:r w:rsidR="00975D4C">
        <w:rPr>
          <w:lang w:val="fr-FR"/>
        </w:rPr>
        <w:t>’</w:t>
      </w:r>
      <w:r w:rsidRPr="00006F01">
        <w:rPr>
          <w:lang w:val="fr-FR"/>
        </w:rPr>
        <w:t>experte du Royaume-Uni a présenté le rapport de situation établi dans le document informel INF.20. Elle a aussi informé le Sous-Comité des résultats d</w:t>
      </w:r>
      <w:r w:rsidR="00975D4C">
        <w:rPr>
          <w:lang w:val="fr-FR"/>
        </w:rPr>
        <w:t>’</w:t>
      </w:r>
      <w:r w:rsidRPr="00006F01">
        <w:rPr>
          <w:lang w:val="fr-FR"/>
        </w:rPr>
        <w:t>une autre réunion, tenue le 11 décembre 2019. Les principales questions abordées à cette réunion avaient été :</w:t>
      </w:r>
    </w:p>
    <w:p w14:paraId="527F19D1" w14:textId="77777777" w:rsidR="00006F01" w:rsidRPr="00006F01" w:rsidRDefault="00006F01" w:rsidP="00006F01">
      <w:pPr>
        <w:pStyle w:val="SingleTxtG"/>
        <w:ind w:firstLine="567"/>
        <w:rPr>
          <w:lang w:val="fr-FR"/>
        </w:rPr>
      </w:pPr>
      <w:r w:rsidRPr="00006F01">
        <w:rPr>
          <w:lang w:val="fr-FR"/>
        </w:rPr>
        <w:t>a)</w:t>
      </w:r>
      <w:r w:rsidRPr="00006F01">
        <w:rPr>
          <w:lang w:val="fr-FR"/>
        </w:rPr>
        <w:tab/>
        <w:t>La révision du chapitre 3.3, y compris</w:t>
      </w:r>
      <w:r>
        <w:rPr>
          <w:lang w:val="fr-FR"/>
        </w:rPr>
        <w:t> </w:t>
      </w:r>
      <w:r w:rsidRPr="00006F01">
        <w:rPr>
          <w:lang w:val="fr-FR"/>
        </w:rPr>
        <w:t>:</w:t>
      </w:r>
    </w:p>
    <w:p w14:paraId="710E3A2B" w14:textId="77777777" w:rsidR="00006F01" w:rsidRPr="00006F01" w:rsidRDefault="00006F01" w:rsidP="00006F01">
      <w:pPr>
        <w:pStyle w:val="SingleTxtG"/>
        <w:ind w:left="1701"/>
        <w:rPr>
          <w:lang w:val="fr-FR"/>
        </w:rPr>
      </w:pPr>
      <w:r w:rsidRPr="00006F01">
        <w:rPr>
          <w:lang w:val="fr-FR"/>
        </w:rPr>
        <w:t>i)</w:t>
      </w:r>
      <w:r w:rsidRPr="00006F01">
        <w:rPr>
          <w:lang w:val="fr-FR"/>
        </w:rPr>
        <w:tab/>
        <w:t>L</w:t>
      </w:r>
      <w:r w:rsidR="00975D4C">
        <w:rPr>
          <w:lang w:val="fr-FR"/>
        </w:rPr>
        <w:t>’</w:t>
      </w:r>
      <w:r w:rsidRPr="00006F01">
        <w:rPr>
          <w:lang w:val="fr-FR"/>
        </w:rPr>
        <w:t xml:space="preserve">utilisation de diagrammes de décision et la classification basée sur des méthodes </w:t>
      </w:r>
      <w:r w:rsidRPr="00006F01">
        <w:rPr>
          <w:i/>
          <w:iCs/>
          <w:lang w:val="fr-FR"/>
        </w:rPr>
        <w:t>in vitro</w:t>
      </w:r>
      <w:r w:rsidRPr="00006F01">
        <w:rPr>
          <w:lang w:val="fr-FR"/>
        </w:rPr>
        <w:t> ;</w:t>
      </w:r>
    </w:p>
    <w:p w14:paraId="49DA7C41" w14:textId="77777777" w:rsidR="00006F01" w:rsidRPr="00006F01" w:rsidRDefault="00006F01" w:rsidP="00006F01">
      <w:pPr>
        <w:pStyle w:val="SingleTxtG"/>
        <w:ind w:left="1701"/>
        <w:rPr>
          <w:lang w:val="fr-FR"/>
        </w:rPr>
      </w:pPr>
      <w:r w:rsidRPr="00006F01">
        <w:rPr>
          <w:lang w:val="fr-FR"/>
        </w:rPr>
        <w:t>ii)</w:t>
      </w:r>
      <w:r w:rsidRPr="00006F01">
        <w:rPr>
          <w:lang w:val="fr-FR"/>
        </w:rPr>
        <w:tab/>
        <w:t>La figure 3.3.1 concernant l</w:t>
      </w:r>
      <w:r w:rsidR="00975D4C">
        <w:rPr>
          <w:lang w:val="fr-FR"/>
        </w:rPr>
        <w:t>’</w:t>
      </w:r>
      <w:r w:rsidRPr="00006F01">
        <w:rPr>
          <w:lang w:val="fr-FR"/>
        </w:rPr>
        <w:t>approche par étapes, et notamment certaines différences par rapport à l</w:t>
      </w:r>
      <w:r w:rsidR="00975D4C">
        <w:rPr>
          <w:lang w:val="fr-FR"/>
        </w:rPr>
        <w:t>’</w:t>
      </w:r>
      <w:r w:rsidRPr="00006F01">
        <w:rPr>
          <w:lang w:val="fr-FR"/>
        </w:rPr>
        <w:t>approche par étapes actuelle ;</w:t>
      </w:r>
    </w:p>
    <w:p w14:paraId="5DDDB489" w14:textId="77777777" w:rsidR="00006F01" w:rsidRPr="00006F01" w:rsidRDefault="00006F01" w:rsidP="00006F01">
      <w:pPr>
        <w:pStyle w:val="SingleTxtG"/>
        <w:ind w:firstLine="567"/>
        <w:rPr>
          <w:lang w:val="fr-FR"/>
        </w:rPr>
      </w:pPr>
      <w:r w:rsidRPr="00006F01">
        <w:rPr>
          <w:lang w:val="fr-FR"/>
        </w:rPr>
        <w:t>b)</w:t>
      </w:r>
      <w:r w:rsidRPr="00006F01">
        <w:rPr>
          <w:lang w:val="fr-FR"/>
        </w:rPr>
        <w:tab/>
        <w:t>L</w:t>
      </w:r>
      <w:r w:rsidR="00975D4C">
        <w:rPr>
          <w:lang w:val="fr-FR"/>
        </w:rPr>
        <w:t>’</w:t>
      </w:r>
      <w:r w:rsidRPr="00006F01">
        <w:rPr>
          <w:lang w:val="fr-FR"/>
        </w:rPr>
        <w:t>élaboration d</w:t>
      </w:r>
      <w:r w:rsidR="00975D4C">
        <w:rPr>
          <w:lang w:val="fr-FR"/>
        </w:rPr>
        <w:t>’</w:t>
      </w:r>
      <w:r w:rsidRPr="00006F01">
        <w:rPr>
          <w:lang w:val="fr-FR"/>
        </w:rPr>
        <w:t>orientations concernant l</w:t>
      </w:r>
      <w:r w:rsidR="00975D4C">
        <w:rPr>
          <w:lang w:val="fr-FR"/>
        </w:rPr>
        <w:t>’</w:t>
      </w:r>
      <w:r w:rsidRPr="00006F01">
        <w:rPr>
          <w:lang w:val="fr-FR"/>
        </w:rPr>
        <w:t xml:space="preserve">utilisation des éléments de preuve pour les méthodes </w:t>
      </w:r>
      <w:r w:rsidRPr="00006F01">
        <w:rPr>
          <w:i/>
          <w:iCs/>
          <w:lang w:val="fr-FR"/>
        </w:rPr>
        <w:t>in vitro</w:t>
      </w:r>
      <w:r w:rsidRPr="00006F01">
        <w:rPr>
          <w:lang w:val="fr-FR"/>
        </w:rPr>
        <w:t>, initiative jugée très utile, car, dans de nombreux cas, les critères actuels ne seraient pas concluants ;</w:t>
      </w:r>
    </w:p>
    <w:p w14:paraId="1D63CD54" w14:textId="77777777" w:rsidR="00006F01" w:rsidRPr="00006F01" w:rsidRDefault="00006F01" w:rsidP="00006F01">
      <w:pPr>
        <w:pStyle w:val="SingleTxtG"/>
        <w:ind w:firstLine="567"/>
        <w:rPr>
          <w:lang w:val="fr-FR"/>
        </w:rPr>
      </w:pPr>
      <w:r w:rsidRPr="00006F01">
        <w:rPr>
          <w:lang w:val="fr-FR"/>
        </w:rPr>
        <w:t>c)</w:t>
      </w:r>
      <w:r w:rsidRPr="00006F01">
        <w:rPr>
          <w:lang w:val="fr-FR"/>
        </w:rPr>
        <w:tab/>
        <w:t xml:space="preserve">Le recours à une analyse des éléments de preuve et à des exemples de classification pour évaluer les résultats des études </w:t>
      </w:r>
      <w:r w:rsidRPr="00006F01">
        <w:rPr>
          <w:i/>
          <w:iCs/>
          <w:lang w:val="fr-FR"/>
        </w:rPr>
        <w:t>in vitro</w:t>
      </w:r>
      <w:r w:rsidRPr="00006F01">
        <w:rPr>
          <w:lang w:val="fr-FR"/>
        </w:rPr>
        <w:t>/</w:t>
      </w:r>
      <w:r w:rsidRPr="00006F01">
        <w:rPr>
          <w:i/>
          <w:iCs/>
          <w:lang w:val="fr-FR"/>
        </w:rPr>
        <w:t>ex vivo</w:t>
      </w:r>
      <w:r w:rsidRPr="00006F01">
        <w:rPr>
          <w:lang w:val="fr-FR"/>
        </w:rPr>
        <w:t>. Il s</w:t>
      </w:r>
      <w:r w:rsidR="00975D4C">
        <w:rPr>
          <w:lang w:val="fr-FR"/>
        </w:rPr>
        <w:t>’</w:t>
      </w:r>
      <w:r w:rsidRPr="00006F01">
        <w:rPr>
          <w:lang w:val="fr-FR"/>
        </w:rPr>
        <w:t>agira notamment d</w:t>
      </w:r>
      <w:r w:rsidR="00975D4C">
        <w:rPr>
          <w:lang w:val="fr-FR"/>
        </w:rPr>
        <w:t>’</w:t>
      </w:r>
      <w:r w:rsidRPr="00006F01">
        <w:rPr>
          <w:lang w:val="fr-FR"/>
        </w:rPr>
        <w:t>utiliser les résultats d</w:t>
      </w:r>
      <w:r w:rsidR="00975D4C">
        <w:rPr>
          <w:lang w:val="fr-FR"/>
        </w:rPr>
        <w:t>’</w:t>
      </w:r>
      <w:r w:rsidRPr="00006F01">
        <w:rPr>
          <w:lang w:val="fr-FR"/>
        </w:rPr>
        <w:t xml:space="preserve">essais </w:t>
      </w:r>
      <w:r w:rsidRPr="00D75050">
        <w:rPr>
          <w:i/>
          <w:iCs/>
          <w:lang w:val="fr-FR"/>
        </w:rPr>
        <w:t>in vitro</w:t>
      </w:r>
      <w:r w:rsidRPr="00006F01">
        <w:rPr>
          <w:lang w:val="fr-FR"/>
        </w:rPr>
        <w:t xml:space="preserve"> au-delà des critères de classification actuels de l</w:t>
      </w:r>
      <w:r w:rsidR="00975D4C">
        <w:rPr>
          <w:lang w:val="fr-FR"/>
        </w:rPr>
        <w:t>’</w:t>
      </w:r>
      <w:r w:rsidRPr="00006F01">
        <w:rPr>
          <w:lang w:val="fr-FR"/>
        </w:rPr>
        <w:t>OCDE, ce qui conduira à une actualisation de l</w:t>
      </w:r>
      <w:r w:rsidR="00975D4C">
        <w:rPr>
          <w:lang w:val="fr-FR"/>
        </w:rPr>
        <w:t>’</w:t>
      </w:r>
      <w:r w:rsidRPr="00006F01">
        <w:rPr>
          <w:lang w:val="fr-FR"/>
        </w:rPr>
        <w:t>exemple 1. D</w:t>
      </w:r>
      <w:r w:rsidR="00975D4C">
        <w:rPr>
          <w:lang w:val="fr-FR"/>
        </w:rPr>
        <w:t>’</w:t>
      </w:r>
      <w:r w:rsidRPr="00006F01">
        <w:rPr>
          <w:lang w:val="fr-FR"/>
        </w:rPr>
        <w:t>autres exemples supplémentaires seront fournis pour examen. En fonction de l</w:t>
      </w:r>
      <w:r w:rsidR="00975D4C">
        <w:rPr>
          <w:lang w:val="fr-FR"/>
        </w:rPr>
        <w:t>’</w:t>
      </w:r>
      <w:r w:rsidRPr="00006F01">
        <w:rPr>
          <w:lang w:val="fr-FR"/>
        </w:rPr>
        <w:t>issue des discussions concernant ces exemples, des orientations ou des critères plus précis pourront être élaborés ;</w:t>
      </w:r>
    </w:p>
    <w:p w14:paraId="18C8D607" w14:textId="77777777" w:rsidR="00006F01" w:rsidRPr="00006F01" w:rsidRDefault="00006F01" w:rsidP="00006F01">
      <w:pPr>
        <w:pStyle w:val="SingleTxtG"/>
        <w:ind w:firstLine="567"/>
        <w:rPr>
          <w:lang w:val="fr-FR"/>
        </w:rPr>
      </w:pPr>
      <w:r w:rsidRPr="00006F01">
        <w:rPr>
          <w:lang w:val="fr-FR"/>
        </w:rPr>
        <w:t>d)</w:t>
      </w:r>
      <w:r w:rsidRPr="00006F01">
        <w:rPr>
          <w:lang w:val="fr-FR"/>
        </w:rPr>
        <w:tab/>
        <w:t>Une proposition de clarification de l</w:t>
      </w:r>
      <w:r w:rsidR="00975D4C">
        <w:rPr>
          <w:lang w:val="fr-FR"/>
        </w:rPr>
        <w:t>’</w:t>
      </w:r>
      <w:r w:rsidRPr="00006F01">
        <w:rPr>
          <w:lang w:val="fr-FR"/>
        </w:rPr>
        <w:t xml:space="preserve">interprétation des critères </w:t>
      </w:r>
      <w:r w:rsidRPr="00D75050">
        <w:rPr>
          <w:i/>
          <w:iCs/>
          <w:lang w:val="fr-FR"/>
        </w:rPr>
        <w:t>in vivo</w:t>
      </w:r>
      <w:r w:rsidRPr="00006F01">
        <w:rPr>
          <w:lang w:val="fr-FR"/>
        </w:rPr>
        <w:t xml:space="preserve"> en ce qui concerne les effets sur les yeux. Il a été convenu que ce point ferait l</w:t>
      </w:r>
      <w:r w:rsidR="00975D4C">
        <w:rPr>
          <w:lang w:val="fr-FR"/>
        </w:rPr>
        <w:t>’</w:t>
      </w:r>
      <w:r w:rsidRPr="00006F01">
        <w:rPr>
          <w:lang w:val="fr-FR"/>
        </w:rPr>
        <w:t>objet de travaux distincts en dehors du groupe de travail informel chargé de l</w:t>
      </w:r>
      <w:r w:rsidR="00975D4C">
        <w:rPr>
          <w:lang w:val="fr-FR"/>
        </w:rPr>
        <w:t>’</w:t>
      </w:r>
      <w:r w:rsidRPr="00006F01">
        <w:rPr>
          <w:lang w:val="fr-FR"/>
        </w:rPr>
        <w:t>expérimentation non animale.</w:t>
      </w:r>
    </w:p>
    <w:p w14:paraId="6BC77B18" w14:textId="77777777" w:rsidR="00006F01" w:rsidRPr="00006F01" w:rsidRDefault="00006F01" w:rsidP="00006F01">
      <w:pPr>
        <w:pStyle w:val="SingleTxtG"/>
        <w:rPr>
          <w:lang w:val="fr-FR"/>
        </w:rPr>
      </w:pPr>
      <w:r w:rsidRPr="00006F01">
        <w:rPr>
          <w:lang w:val="fr-FR"/>
        </w:rPr>
        <w:t>19.</w:t>
      </w:r>
      <w:r w:rsidRPr="00006F01">
        <w:rPr>
          <w:lang w:val="fr-FR"/>
        </w:rPr>
        <w:tab/>
        <w:t>Le Sous-Comité a salué le travail accompli par le groupe de travail informel et noté qu</w:t>
      </w:r>
      <w:r w:rsidR="00975D4C">
        <w:rPr>
          <w:lang w:val="fr-FR"/>
        </w:rPr>
        <w:t>’</w:t>
      </w:r>
      <w:r w:rsidRPr="00006F01">
        <w:rPr>
          <w:lang w:val="fr-FR"/>
        </w:rPr>
        <w:t>une proposition serait soumise à la session suivante pour examen.</w:t>
      </w:r>
    </w:p>
    <w:p w14:paraId="5ECA3C88" w14:textId="77777777" w:rsidR="00006F01" w:rsidRPr="00006F01" w:rsidRDefault="00006F01" w:rsidP="00006F01">
      <w:pPr>
        <w:pStyle w:val="H1G"/>
        <w:rPr>
          <w:lang w:val="fr-FR"/>
        </w:rPr>
      </w:pPr>
      <w:r w:rsidRPr="00006F01">
        <w:rPr>
          <w:lang w:val="fr-FR"/>
        </w:rPr>
        <w:tab/>
        <w:t>D.</w:t>
      </w:r>
      <w:r w:rsidRPr="00006F01">
        <w:rPr>
          <w:lang w:val="fr-FR"/>
        </w:rPr>
        <w:tab/>
        <w:t>Questions pratiques de classification</w:t>
      </w:r>
    </w:p>
    <w:p w14:paraId="0F810E24"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INF.29 (États-Unis d</w:t>
      </w:r>
      <w:r w:rsidR="00975D4C">
        <w:rPr>
          <w:lang w:val="fr-FR"/>
        </w:rPr>
        <w:t>’</w:t>
      </w:r>
      <w:r w:rsidRPr="00006F01">
        <w:rPr>
          <w:lang w:val="fr-FR"/>
        </w:rPr>
        <w:t>Amérique)</w:t>
      </w:r>
    </w:p>
    <w:p w14:paraId="650841A9" w14:textId="77777777" w:rsidR="00006F01" w:rsidRPr="00006F01" w:rsidRDefault="00006F01" w:rsidP="00006F01">
      <w:pPr>
        <w:pStyle w:val="SingleTxtG"/>
        <w:rPr>
          <w:lang w:val="fr-FR"/>
        </w:rPr>
      </w:pPr>
      <w:r w:rsidRPr="00006F01">
        <w:rPr>
          <w:lang w:val="fr-FR"/>
        </w:rPr>
        <w:t>20.</w:t>
      </w:r>
      <w:r w:rsidRPr="00006F01">
        <w:rPr>
          <w:lang w:val="fr-FR"/>
        </w:rPr>
        <w:tab/>
        <w:t>Le Sous-Comité a pris note de l</w:t>
      </w:r>
      <w:r w:rsidR="00975D4C">
        <w:rPr>
          <w:lang w:val="fr-FR"/>
        </w:rPr>
        <w:t>’</w:t>
      </w:r>
      <w:r w:rsidRPr="00006F01">
        <w:rPr>
          <w:lang w:val="fr-FR"/>
        </w:rPr>
        <w:t>état d</w:t>
      </w:r>
      <w:r w:rsidR="00975D4C">
        <w:rPr>
          <w:lang w:val="fr-FR"/>
        </w:rPr>
        <w:t>’</w:t>
      </w:r>
      <w:r w:rsidRPr="00006F01">
        <w:rPr>
          <w:lang w:val="fr-FR"/>
        </w:rPr>
        <w:t>avancement des travaux du groupe de travail informel lors de sa réunion du 11 décembre 2019. L</w:t>
      </w:r>
      <w:r w:rsidR="00975D4C">
        <w:rPr>
          <w:lang w:val="fr-FR"/>
        </w:rPr>
        <w:t>’</w:t>
      </w:r>
      <w:r w:rsidRPr="00006F01">
        <w:rPr>
          <w:lang w:val="fr-FR"/>
        </w:rPr>
        <w:t>experte des États-Unis d</w:t>
      </w:r>
      <w:r w:rsidR="00975D4C">
        <w:rPr>
          <w:lang w:val="fr-FR"/>
        </w:rPr>
        <w:t>’</w:t>
      </w:r>
      <w:r w:rsidRPr="00006F01">
        <w:rPr>
          <w:lang w:val="fr-FR"/>
        </w:rPr>
        <w:t>Amérique a indiqué que le groupe informel avait amorcé la réflexion avec quatre exemples illustrant les relations entre la toxicité aiguë et la toxicité pour certains organes cibles (exposition unique et répétée). Deux des exemples avaient été approuvés précédemment par le groupe de travail et deux nouveaux exemples avaient été introduits. Le groupe de travail avait décidé d</w:t>
      </w:r>
      <w:r w:rsidR="00975D4C">
        <w:rPr>
          <w:lang w:val="fr-FR"/>
        </w:rPr>
        <w:t>’</w:t>
      </w:r>
      <w:r w:rsidRPr="00006F01">
        <w:rPr>
          <w:lang w:val="fr-FR"/>
        </w:rPr>
        <w:t>élaborer un exemple supplémentaire et convenu que tous les exemples seraient présentés dans un document de travail pour la session suivante.</w:t>
      </w:r>
    </w:p>
    <w:p w14:paraId="08CBCE49" w14:textId="77777777" w:rsidR="00006F01" w:rsidRPr="00006F01" w:rsidRDefault="00006F01" w:rsidP="00006F01">
      <w:pPr>
        <w:pStyle w:val="SingleTxtG"/>
        <w:rPr>
          <w:lang w:val="fr-FR"/>
        </w:rPr>
      </w:pPr>
      <w:r w:rsidRPr="00006F01">
        <w:rPr>
          <w:lang w:val="fr-FR"/>
        </w:rPr>
        <w:lastRenderedPageBreak/>
        <w:t>21.</w:t>
      </w:r>
      <w:r w:rsidRPr="00006F01">
        <w:rPr>
          <w:lang w:val="fr-FR"/>
        </w:rPr>
        <w:tab/>
        <w:t>S</w:t>
      </w:r>
      <w:r w:rsidR="00975D4C">
        <w:rPr>
          <w:lang w:val="fr-FR"/>
        </w:rPr>
        <w:t>’</w:t>
      </w:r>
      <w:r w:rsidRPr="00006F01">
        <w:rPr>
          <w:lang w:val="fr-FR"/>
        </w:rPr>
        <w:t>agissant de l</w:t>
      </w:r>
      <w:r w:rsidR="00975D4C">
        <w:rPr>
          <w:lang w:val="fr-FR"/>
        </w:rPr>
        <w:t>’</w:t>
      </w:r>
      <w:r w:rsidRPr="00006F01">
        <w:rPr>
          <w:lang w:val="fr-FR"/>
        </w:rPr>
        <w:t>application de l</w:t>
      </w:r>
      <w:r w:rsidR="00975D4C">
        <w:rPr>
          <w:lang w:val="fr-FR"/>
        </w:rPr>
        <w:t>’</w:t>
      </w:r>
      <w:r w:rsidRPr="00006F01">
        <w:rPr>
          <w:lang w:val="fr-FR"/>
        </w:rPr>
        <w:t>additivité aux classes de danger pour la santé pour lesquelles ce concept n</w:t>
      </w:r>
      <w:r w:rsidR="00975D4C">
        <w:rPr>
          <w:lang w:val="fr-FR"/>
        </w:rPr>
        <w:t>’</w:t>
      </w:r>
      <w:r w:rsidRPr="00006F01">
        <w:rPr>
          <w:lang w:val="fr-FR"/>
        </w:rPr>
        <w:t>est pas explicitement mentionné, un consensus s</w:t>
      </w:r>
      <w:r w:rsidR="00975D4C">
        <w:rPr>
          <w:lang w:val="fr-FR"/>
        </w:rPr>
        <w:t>’</w:t>
      </w:r>
      <w:r w:rsidRPr="00006F01">
        <w:rPr>
          <w:lang w:val="fr-FR"/>
        </w:rPr>
        <w:t>est dégagé au sein du groupe informel pour préconiser que les références à des substances de composition inconnue ou variable, à des produits issus de procédés complexes ou à des matières biologiques (UVCB) ainsi qu</w:t>
      </w:r>
      <w:r w:rsidR="00975D4C">
        <w:rPr>
          <w:lang w:val="fr-FR"/>
        </w:rPr>
        <w:t>’</w:t>
      </w:r>
      <w:r w:rsidRPr="00006F01">
        <w:rPr>
          <w:lang w:val="fr-FR"/>
        </w:rPr>
        <w:t>à des substances à constituants multiples soient retirées du texte proposé. Le groupe a également décidé de scinder le texte du chapitre 1.3 pour parvenir à une description plus concise, et de fournir des orientations supplémentaires. Il a été conclu que le groupe examinerait s</w:t>
      </w:r>
      <w:r w:rsidR="00975D4C">
        <w:rPr>
          <w:lang w:val="fr-FR"/>
        </w:rPr>
        <w:t>’</w:t>
      </w:r>
      <w:r w:rsidRPr="00006F01">
        <w:rPr>
          <w:lang w:val="fr-FR"/>
        </w:rPr>
        <w:t>il fallait publier ces orientations sur la page Web des orientations relatives au SGH, en tant que document unique pour toutes les classes de danger, ou s</w:t>
      </w:r>
      <w:r w:rsidR="00975D4C">
        <w:rPr>
          <w:lang w:val="fr-FR"/>
        </w:rPr>
        <w:t>’</w:t>
      </w:r>
      <w:r w:rsidRPr="00006F01">
        <w:rPr>
          <w:lang w:val="fr-FR"/>
        </w:rPr>
        <w:t>il était préférable d</w:t>
      </w:r>
      <w:r w:rsidR="00975D4C">
        <w:rPr>
          <w:lang w:val="fr-FR"/>
        </w:rPr>
        <w:t>’</w:t>
      </w:r>
      <w:r w:rsidRPr="00006F01">
        <w:rPr>
          <w:lang w:val="fr-FR"/>
        </w:rPr>
        <w:t>actualiser la section « commentaires » de chacun des chapitres concernés.</w:t>
      </w:r>
    </w:p>
    <w:p w14:paraId="0DB56A7D" w14:textId="77777777" w:rsidR="00006F01" w:rsidRPr="00006F01" w:rsidRDefault="00006F01" w:rsidP="00006F01">
      <w:pPr>
        <w:pStyle w:val="SingleTxtG"/>
        <w:rPr>
          <w:lang w:val="fr-FR"/>
        </w:rPr>
      </w:pPr>
      <w:r w:rsidRPr="00006F01">
        <w:rPr>
          <w:lang w:val="fr-FR"/>
        </w:rPr>
        <w:t>22.</w:t>
      </w:r>
      <w:r w:rsidRPr="00006F01">
        <w:rPr>
          <w:lang w:val="fr-FR"/>
        </w:rPr>
        <w:tab/>
        <w:t>Le Sous-Comité a noté que le groupe poursuivrait l</w:t>
      </w:r>
      <w:r w:rsidR="00975D4C">
        <w:rPr>
          <w:lang w:val="fr-FR"/>
        </w:rPr>
        <w:t>’</w:t>
      </w:r>
      <w:r w:rsidRPr="00006F01">
        <w:rPr>
          <w:lang w:val="fr-FR"/>
        </w:rPr>
        <w:t>examen des questions restées en suspens et soumettrait un document pour examen à la session suivante.</w:t>
      </w:r>
    </w:p>
    <w:p w14:paraId="03C2F815" w14:textId="77777777" w:rsidR="00006F01" w:rsidRPr="00006F01" w:rsidRDefault="00006F01" w:rsidP="00831A38">
      <w:pPr>
        <w:pStyle w:val="H1G"/>
        <w:rPr>
          <w:lang w:val="fr-FR"/>
        </w:rPr>
      </w:pPr>
      <w:r w:rsidRPr="00006F01">
        <w:rPr>
          <w:lang w:val="fr-FR"/>
        </w:rPr>
        <w:tab/>
        <w:t>E.</w:t>
      </w:r>
      <w:r w:rsidRPr="00006F01">
        <w:rPr>
          <w:lang w:val="fr-FR"/>
        </w:rPr>
        <w:tab/>
        <w:t>Danger par aspiration</w:t>
      </w:r>
    </w:p>
    <w:p w14:paraId="69B3F9B8" w14:textId="77777777" w:rsidR="00006F01" w:rsidRPr="00006F01" w:rsidRDefault="00006F01" w:rsidP="00006F01">
      <w:pPr>
        <w:pStyle w:val="SingleTxtG"/>
        <w:rPr>
          <w:lang w:val="fr-FR"/>
        </w:rPr>
      </w:pPr>
      <w:r w:rsidRPr="00006F01">
        <w:rPr>
          <w:lang w:val="fr-FR"/>
        </w:rPr>
        <w:t>23.</w:t>
      </w:r>
      <w:r w:rsidRPr="00006F01">
        <w:rPr>
          <w:lang w:val="fr-FR"/>
        </w:rPr>
        <w:tab/>
        <w:t>Le représentant de l</w:t>
      </w:r>
      <w:r w:rsidR="00975D4C">
        <w:rPr>
          <w:lang w:val="fr-FR"/>
        </w:rPr>
        <w:t>’</w:t>
      </w:r>
      <w:r w:rsidRPr="00006F01">
        <w:rPr>
          <w:lang w:val="fr-FR"/>
        </w:rPr>
        <w:t>IPPIC a fait au Sous-Comité un compte rendu des travaux actuellement menés en vue de l</w:t>
      </w:r>
      <w:r w:rsidR="00975D4C">
        <w:rPr>
          <w:lang w:val="fr-FR"/>
        </w:rPr>
        <w:t>’</w:t>
      </w:r>
      <w:r w:rsidRPr="00006F01">
        <w:rPr>
          <w:lang w:val="fr-FR"/>
        </w:rPr>
        <w:t>élaboration d</w:t>
      </w:r>
      <w:r w:rsidR="00975D4C">
        <w:rPr>
          <w:lang w:val="fr-FR"/>
        </w:rPr>
        <w:t>’</w:t>
      </w:r>
      <w:r w:rsidRPr="00006F01">
        <w:rPr>
          <w:lang w:val="fr-FR"/>
        </w:rPr>
        <w:t>un critère de viscosité adapté pour la classification des mélanges. Il a fait savoir qu</w:t>
      </w:r>
      <w:r w:rsidR="00975D4C">
        <w:rPr>
          <w:lang w:val="fr-FR"/>
        </w:rPr>
        <w:t>’</w:t>
      </w:r>
      <w:r w:rsidRPr="00006F01">
        <w:rPr>
          <w:lang w:val="fr-FR"/>
        </w:rPr>
        <w:t>une proposition de critère de viscosité à 23</w:t>
      </w:r>
      <w:r w:rsidR="00831A38">
        <w:rPr>
          <w:lang w:val="fr-FR"/>
        </w:rPr>
        <w:t> </w:t>
      </w:r>
      <w:r w:rsidRPr="00006F01">
        <w:rPr>
          <w:lang w:val="fr-FR"/>
        </w:rPr>
        <w:t>°C, plus solidement étayée par de nouvelles données d</w:t>
      </w:r>
      <w:r w:rsidR="00975D4C">
        <w:rPr>
          <w:lang w:val="fr-FR"/>
        </w:rPr>
        <w:t>’</w:t>
      </w:r>
      <w:r w:rsidRPr="00006F01">
        <w:rPr>
          <w:lang w:val="fr-FR"/>
        </w:rPr>
        <w:t>essai, serait soumise au Sous</w:t>
      </w:r>
      <w:r w:rsidR="00647971">
        <w:rPr>
          <w:lang w:val="fr-FR"/>
        </w:rPr>
        <w:noBreakHyphen/>
      </w:r>
      <w:r w:rsidRPr="00006F01">
        <w:rPr>
          <w:lang w:val="fr-FR"/>
        </w:rPr>
        <w:t>Comité à sa session suivante pour examen.</w:t>
      </w:r>
    </w:p>
    <w:p w14:paraId="387FFB9C" w14:textId="77777777" w:rsidR="00006F01" w:rsidRPr="00006F01" w:rsidRDefault="00006F01" w:rsidP="00831A38">
      <w:pPr>
        <w:pStyle w:val="H1G"/>
        <w:rPr>
          <w:lang w:val="fr-FR"/>
        </w:rPr>
      </w:pPr>
      <w:r w:rsidRPr="00006F01">
        <w:rPr>
          <w:lang w:val="fr-FR"/>
        </w:rPr>
        <w:tab/>
        <w:t>F.</w:t>
      </w:r>
      <w:r w:rsidRPr="00006F01">
        <w:rPr>
          <w:lang w:val="fr-FR"/>
        </w:rPr>
        <w:tab/>
        <w:t>Nanomatériaux</w:t>
      </w:r>
    </w:p>
    <w:p w14:paraId="20E45B80" w14:textId="77777777" w:rsidR="00006F01" w:rsidRPr="00006F01" w:rsidRDefault="00006F01" w:rsidP="00006F01">
      <w:pPr>
        <w:pStyle w:val="SingleTxtG"/>
        <w:rPr>
          <w:b/>
          <w:lang w:val="fr-FR"/>
        </w:rPr>
      </w:pPr>
      <w:r w:rsidRPr="00006F01">
        <w:rPr>
          <w:lang w:val="fr-FR"/>
        </w:rPr>
        <w:t>24.</w:t>
      </w:r>
      <w:r w:rsidRPr="00006F01">
        <w:rPr>
          <w:lang w:val="fr-FR"/>
        </w:rPr>
        <w:tab/>
        <w:t>L</w:t>
      </w:r>
      <w:r w:rsidR="00975D4C">
        <w:rPr>
          <w:lang w:val="fr-FR"/>
        </w:rPr>
        <w:t>’</w:t>
      </w:r>
      <w:r w:rsidRPr="00006F01">
        <w:rPr>
          <w:lang w:val="fr-FR"/>
        </w:rPr>
        <w:t>expert de la France a dit qu</w:t>
      </w:r>
      <w:r w:rsidR="00975D4C">
        <w:rPr>
          <w:lang w:val="fr-FR"/>
        </w:rPr>
        <w:t>’</w:t>
      </w:r>
      <w:r w:rsidRPr="00006F01">
        <w:rPr>
          <w:lang w:val="fr-FR"/>
        </w:rPr>
        <w:t>aucun progrès n</w:t>
      </w:r>
      <w:r w:rsidR="00975D4C">
        <w:rPr>
          <w:lang w:val="fr-FR"/>
        </w:rPr>
        <w:t>’</w:t>
      </w:r>
      <w:r w:rsidRPr="00006F01">
        <w:rPr>
          <w:lang w:val="fr-FR"/>
        </w:rPr>
        <w:t>avait été accompli sur cette question. Il a précisé que, sans l</w:t>
      </w:r>
      <w:r w:rsidR="00975D4C">
        <w:rPr>
          <w:lang w:val="fr-FR"/>
        </w:rPr>
        <w:t>’</w:t>
      </w:r>
      <w:r w:rsidRPr="00006F01">
        <w:rPr>
          <w:lang w:val="fr-FR"/>
        </w:rPr>
        <w:t>aide des autres délégations, la France n</w:t>
      </w:r>
      <w:r w:rsidR="00975D4C">
        <w:rPr>
          <w:lang w:val="fr-FR"/>
        </w:rPr>
        <w:t>’</w:t>
      </w:r>
      <w:r w:rsidRPr="00006F01">
        <w:rPr>
          <w:lang w:val="fr-FR"/>
        </w:rPr>
        <w:t>était plus en mesure de continuer à piloter les travaux. Il a invité les autres délégations à manifester leur intérêt et déclaré qu</w:t>
      </w:r>
      <w:r w:rsidR="00975D4C">
        <w:rPr>
          <w:lang w:val="fr-FR"/>
        </w:rPr>
        <w:t>’</w:t>
      </w:r>
      <w:r w:rsidRPr="00006F01">
        <w:rPr>
          <w:lang w:val="fr-FR"/>
        </w:rPr>
        <w:t>il tiendrait le Sous-Comité informé à la session suivante.</w:t>
      </w:r>
    </w:p>
    <w:p w14:paraId="73971071" w14:textId="77777777" w:rsidR="00006F01" w:rsidRPr="00006F01" w:rsidRDefault="00006F01" w:rsidP="00831A38">
      <w:pPr>
        <w:pStyle w:val="H1G"/>
        <w:rPr>
          <w:lang w:val="fr-FR"/>
        </w:rPr>
      </w:pPr>
      <w:r w:rsidRPr="00006F01">
        <w:rPr>
          <w:lang w:val="fr-FR"/>
        </w:rPr>
        <w:tab/>
        <w:t>G.</w:t>
      </w:r>
      <w:r w:rsidRPr="00006F01">
        <w:rPr>
          <w:lang w:val="fr-FR"/>
        </w:rPr>
        <w:tab/>
        <w:t xml:space="preserve">Classification simultanée dans les classes de danger physique </w:t>
      </w:r>
      <w:r w:rsidR="00831A38">
        <w:rPr>
          <w:lang w:val="fr-FR"/>
        </w:rPr>
        <w:br/>
      </w:r>
      <w:r w:rsidRPr="00006F01">
        <w:rPr>
          <w:lang w:val="fr-FR"/>
        </w:rPr>
        <w:t>et précédence des dangers</w:t>
      </w:r>
    </w:p>
    <w:p w14:paraId="055EC22E"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INF.17 et INF.30 (Allemagne)</w:t>
      </w:r>
      <w:r w:rsidR="00831A38">
        <w:rPr>
          <w:lang w:val="fr-FR"/>
        </w:rPr>
        <w:br/>
      </w:r>
      <w:r w:rsidRPr="00006F01">
        <w:rPr>
          <w:i/>
          <w:iCs/>
          <w:lang w:val="fr-FR"/>
        </w:rPr>
        <w:tab/>
      </w:r>
      <w:r w:rsidRPr="00006F01">
        <w:rPr>
          <w:lang w:val="fr-FR"/>
        </w:rPr>
        <w:t>INF.28, Item 4 (secrétariat)</w:t>
      </w:r>
    </w:p>
    <w:p w14:paraId="1F4C0D65" w14:textId="77777777" w:rsidR="00006F01" w:rsidRPr="00006F01" w:rsidRDefault="00006F01" w:rsidP="00006F01">
      <w:pPr>
        <w:pStyle w:val="SingleTxtG"/>
        <w:rPr>
          <w:lang w:val="fr-FR"/>
        </w:rPr>
      </w:pPr>
      <w:r w:rsidRPr="00006F01">
        <w:rPr>
          <w:lang w:val="fr-FR"/>
        </w:rPr>
        <w:t>25.</w:t>
      </w:r>
      <w:r w:rsidRPr="00006F01">
        <w:rPr>
          <w:lang w:val="fr-FR"/>
        </w:rPr>
        <w:tab/>
        <w:t>Le Sous-Comité a pris note des progrès réalisés par le groupe de travail informel par correspondance, dont témoigne le document informel INF.30. Il a noté que le groupe poursuivrait les débats sur les questions non encore réglées et soumettrait un document pour examen à la session suivante.</w:t>
      </w:r>
    </w:p>
    <w:p w14:paraId="43AA9563" w14:textId="77777777" w:rsidR="00006F01" w:rsidRPr="00006F01" w:rsidRDefault="00006F01" w:rsidP="00831A38">
      <w:pPr>
        <w:pStyle w:val="H1G"/>
        <w:rPr>
          <w:lang w:val="fr-FR"/>
        </w:rPr>
      </w:pPr>
      <w:r w:rsidRPr="00006F01">
        <w:rPr>
          <w:lang w:val="fr-FR"/>
        </w:rPr>
        <w:tab/>
        <w:t>H.</w:t>
      </w:r>
      <w:r w:rsidRPr="00006F01">
        <w:rPr>
          <w:lang w:val="fr-FR"/>
        </w:rPr>
        <w:tab/>
        <w:t>Autres questions</w:t>
      </w:r>
    </w:p>
    <w:p w14:paraId="0231CB90" w14:textId="77777777" w:rsidR="00006F01" w:rsidRPr="00006F01" w:rsidRDefault="00006F01" w:rsidP="00831A38">
      <w:pPr>
        <w:pStyle w:val="H23G"/>
        <w:rPr>
          <w:lang w:val="fr-FR"/>
        </w:rPr>
      </w:pPr>
      <w:r w:rsidRPr="00006F01">
        <w:rPr>
          <w:lang w:val="fr-FR"/>
        </w:rPr>
        <w:tab/>
        <w:t>1.</w:t>
      </w:r>
      <w:r w:rsidRPr="00006F01">
        <w:rPr>
          <w:lang w:val="fr-FR"/>
        </w:rPr>
        <w:tab/>
        <w:t>Références au Règlement type</w:t>
      </w:r>
    </w:p>
    <w:p w14:paraId="4B5B098F" w14:textId="77777777" w:rsidR="00006F01" w:rsidRPr="00006F01" w:rsidRDefault="00006F01" w:rsidP="00831A38">
      <w:pPr>
        <w:pStyle w:val="SingleTxtG"/>
        <w:ind w:left="3402" w:hanging="2268"/>
        <w:jc w:val="left"/>
        <w:rPr>
          <w:lang w:val="fr-FR"/>
        </w:rPr>
      </w:pPr>
      <w:r w:rsidRPr="00006F01">
        <w:rPr>
          <w:i/>
          <w:iCs/>
          <w:lang w:val="fr-FR"/>
        </w:rPr>
        <w:t xml:space="preserve">Document(s) </w:t>
      </w:r>
      <w:r w:rsidRPr="00831A38">
        <w:rPr>
          <w:lang w:val="fr-FR"/>
        </w:rPr>
        <w:t>:</w:t>
      </w:r>
      <w:r w:rsidRPr="00006F01">
        <w:rPr>
          <w:lang w:val="fr-FR"/>
        </w:rPr>
        <w:t xml:space="preserve"> </w:t>
      </w:r>
      <w:r w:rsidRPr="00006F01">
        <w:rPr>
          <w:lang w:val="fr-FR"/>
        </w:rPr>
        <w:tab/>
      </w:r>
      <w:r w:rsidRPr="00006F01">
        <w:rPr>
          <w:lang w:val="fr-FR"/>
        </w:rPr>
        <w:tab/>
        <w:t>ST/SG/AC.10/C.4/2019/9 (secrétariat)</w:t>
      </w:r>
    </w:p>
    <w:p w14:paraId="7E8AA045" w14:textId="77777777" w:rsidR="00006F01" w:rsidRPr="00006F01" w:rsidRDefault="00006F01" w:rsidP="00006F01">
      <w:pPr>
        <w:pStyle w:val="SingleTxtG"/>
        <w:rPr>
          <w:lang w:val="fr-FR"/>
        </w:rPr>
      </w:pPr>
      <w:r w:rsidRPr="00006F01">
        <w:rPr>
          <w:lang w:val="fr-FR"/>
        </w:rPr>
        <w:t>26.</w:t>
      </w:r>
      <w:r w:rsidRPr="00006F01">
        <w:rPr>
          <w:lang w:val="fr-FR"/>
        </w:rPr>
        <w:tab/>
        <w:t>Le Sous-Comité a adopté les modifications proposées aux paragraphes 4, 6 et 7 du document ST/SG/AC.10/C.4/2019/9, ainsi que la correction proposée au paragraphe 9 (voir</w:t>
      </w:r>
      <w:r w:rsidR="00647971">
        <w:rPr>
          <w:lang w:val="fr-FR"/>
        </w:rPr>
        <w:t> </w:t>
      </w:r>
      <w:r w:rsidRPr="00006F01">
        <w:rPr>
          <w:lang w:val="fr-FR"/>
        </w:rPr>
        <w:t>annexes I et II respectivement). En ce qui concerne la correction proposée à la figure illustrant le scénario B dans l</w:t>
      </w:r>
      <w:r w:rsidR="00975D4C">
        <w:rPr>
          <w:lang w:val="fr-FR"/>
        </w:rPr>
        <w:t>’</w:t>
      </w:r>
      <w:r w:rsidRPr="00006F01">
        <w:rPr>
          <w:lang w:val="fr-FR"/>
        </w:rPr>
        <w:t>exemple</w:t>
      </w:r>
      <w:r w:rsidR="00647971">
        <w:rPr>
          <w:lang w:val="fr-FR"/>
        </w:rPr>
        <w:t> </w:t>
      </w:r>
      <w:r w:rsidRPr="00006F01">
        <w:rPr>
          <w:lang w:val="fr-FR"/>
        </w:rPr>
        <w:t>10 de l</w:t>
      </w:r>
      <w:r w:rsidR="00975D4C">
        <w:rPr>
          <w:lang w:val="fr-FR"/>
        </w:rPr>
        <w:t>’</w:t>
      </w:r>
      <w:r w:rsidRPr="00006F01">
        <w:rPr>
          <w:lang w:val="fr-FR"/>
        </w:rPr>
        <w:t>annexe</w:t>
      </w:r>
      <w:r w:rsidR="00647971">
        <w:rPr>
          <w:lang w:val="fr-FR"/>
        </w:rPr>
        <w:t> </w:t>
      </w:r>
      <w:r w:rsidRPr="00006F01">
        <w:rPr>
          <w:lang w:val="fr-FR"/>
        </w:rPr>
        <w:t>7, l</w:t>
      </w:r>
      <w:r w:rsidR="00975D4C">
        <w:rPr>
          <w:lang w:val="fr-FR"/>
        </w:rPr>
        <w:t>’</w:t>
      </w:r>
      <w:r w:rsidRPr="00006F01">
        <w:rPr>
          <w:lang w:val="fr-FR"/>
        </w:rPr>
        <w:t>experte des États-Unis d</w:t>
      </w:r>
      <w:r w:rsidR="00975D4C">
        <w:rPr>
          <w:lang w:val="fr-FR"/>
        </w:rPr>
        <w:t>’</w:t>
      </w:r>
      <w:r w:rsidRPr="00006F01">
        <w:rPr>
          <w:lang w:val="fr-FR"/>
        </w:rPr>
        <w:t>Amérique a indiqué que sa délégation soumettrait, pour examen à la session suivante, une proposition visant à ajouter la mention « Lire l</w:t>
      </w:r>
      <w:r w:rsidR="00975D4C">
        <w:rPr>
          <w:lang w:val="fr-FR"/>
        </w:rPr>
        <w:t>’</w:t>
      </w:r>
      <w:r w:rsidRPr="00006F01">
        <w:rPr>
          <w:lang w:val="fr-FR"/>
        </w:rPr>
        <w:t>étiquette complète à l</w:t>
      </w:r>
      <w:r w:rsidR="00975D4C">
        <w:rPr>
          <w:lang w:val="fr-FR"/>
        </w:rPr>
        <w:t>’</w:t>
      </w:r>
      <w:r w:rsidRPr="00006F01">
        <w:rPr>
          <w:lang w:val="fr-FR"/>
        </w:rPr>
        <w:t>intérieur », dans un souci de cohérence avec les autres exemples de l</w:t>
      </w:r>
      <w:r w:rsidR="00975D4C">
        <w:rPr>
          <w:lang w:val="fr-FR"/>
        </w:rPr>
        <w:t>’</w:t>
      </w:r>
      <w:r w:rsidRPr="00006F01">
        <w:rPr>
          <w:lang w:val="fr-FR"/>
        </w:rPr>
        <w:t>annexe 7.</w:t>
      </w:r>
    </w:p>
    <w:p w14:paraId="2733686F" w14:textId="77777777" w:rsidR="00006F01" w:rsidRPr="00006F01" w:rsidRDefault="00006F01" w:rsidP="00006F01">
      <w:pPr>
        <w:pStyle w:val="SingleTxtG"/>
        <w:rPr>
          <w:lang w:val="fr-FR"/>
        </w:rPr>
      </w:pPr>
      <w:r w:rsidRPr="00006F01">
        <w:rPr>
          <w:lang w:val="fr-FR"/>
        </w:rPr>
        <w:t>27.</w:t>
      </w:r>
      <w:r w:rsidRPr="00006F01">
        <w:rPr>
          <w:lang w:val="fr-FR"/>
        </w:rPr>
        <w:tab/>
        <w:t>S</w:t>
      </w:r>
      <w:r w:rsidR="00975D4C">
        <w:rPr>
          <w:lang w:val="fr-FR"/>
        </w:rPr>
        <w:t>’</w:t>
      </w:r>
      <w:r w:rsidRPr="00006F01">
        <w:rPr>
          <w:lang w:val="fr-FR"/>
        </w:rPr>
        <w:t>agissant des diagrammes de décision dans le SGH, le Sous-Comité a relevé que tous devraient être convertis dans un format compatible avec la dernière version du logiciel de traitement de texte utilisé, ce qui entraînerait des modifications de leur présentation. L</w:t>
      </w:r>
      <w:r w:rsidR="00975D4C">
        <w:rPr>
          <w:lang w:val="fr-FR"/>
        </w:rPr>
        <w:t>’</w:t>
      </w:r>
      <w:r w:rsidRPr="00006F01">
        <w:rPr>
          <w:lang w:val="fr-FR"/>
        </w:rPr>
        <w:t>expert de l</w:t>
      </w:r>
      <w:r w:rsidR="00975D4C">
        <w:rPr>
          <w:lang w:val="fr-FR"/>
        </w:rPr>
        <w:t>’</w:t>
      </w:r>
      <w:r w:rsidRPr="00006F01">
        <w:rPr>
          <w:lang w:val="fr-FR"/>
        </w:rPr>
        <w:t>Allemagne a proposé d</w:t>
      </w:r>
      <w:r w:rsidR="00975D4C">
        <w:rPr>
          <w:lang w:val="fr-FR"/>
        </w:rPr>
        <w:t>’</w:t>
      </w:r>
      <w:r w:rsidRPr="00006F01">
        <w:rPr>
          <w:lang w:val="fr-FR"/>
        </w:rPr>
        <w:t xml:space="preserve">utiliser le format des diagrammes basés sur les normes ISO appropriées. Une délégation a demandé que les diagrammes de décision actualisés soient </w:t>
      </w:r>
      <w:r w:rsidRPr="00006F01">
        <w:rPr>
          <w:lang w:val="fr-FR"/>
        </w:rPr>
        <w:lastRenderedPageBreak/>
        <w:t>présentés dans un document officiel pour examen à la session suivante. Un membre du secrétariat a répondu que la soumission d</w:t>
      </w:r>
      <w:r w:rsidR="00975D4C">
        <w:rPr>
          <w:lang w:val="fr-FR"/>
        </w:rPr>
        <w:t>’</w:t>
      </w:r>
      <w:r w:rsidRPr="00006F01">
        <w:rPr>
          <w:lang w:val="fr-FR"/>
        </w:rPr>
        <w:t>un document officiel pourrait ne pas être possible, faute de temps, auquel cas un document informel serait présenté.</w:t>
      </w:r>
    </w:p>
    <w:p w14:paraId="7A3A3D6B" w14:textId="77777777" w:rsidR="00006F01" w:rsidRPr="00006F01" w:rsidRDefault="00006F01" w:rsidP="00831A38">
      <w:pPr>
        <w:pStyle w:val="H23G"/>
        <w:rPr>
          <w:lang w:val="fr-FR"/>
        </w:rPr>
      </w:pPr>
      <w:r w:rsidRPr="00006F01">
        <w:rPr>
          <w:lang w:val="fr-FR"/>
        </w:rPr>
        <w:tab/>
        <w:t>2.</w:t>
      </w:r>
      <w:r w:rsidRPr="00006F01">
        <w:rPr>
          <w:lang w:val="fr-FR"/>
        </w:rPr>
        <w:tab/>
        <w:t>Corrections à la huitième édition révisée du SGH</w:t>
      </w:r>
    </w:p>
    <w:p w14:paraId="27531C92"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INF.7 (secrétariat)</w:t>
      </w:r>
    </w:p>
    <w:p w14:paraId="3A7BD9B1" w14:textId="77777777" w:rsidR="00006F01" w:rsidRPr="00006F01" w:rsidRDefault="00006F01" w:rsidP="00006F01">
      <w:pPr>
        <w:pStyle w:val="SingleTxtG"/>
        <w:rPr>
          <w:lang w:val="fr-FR"/>
        </w:rPr>
      </w:pPr>
      <w:r w:rsidRPr="00006F01">
        <w:rPr>
          <w:lang w:val="fr-FR"/>
        </w:rPr>
        <w:t>28.</w:t>
      </w:r>
      <w:r w:rsidRPr="00006F01">
        <w:rPr>
          <w:lang w:val="fr-FR"/>
        </w:rPr>
        <w:tab/>
        <w:t>Le Sous-Comité a adopté les corrections au SGH proposées (voir annexe II).</w:t>
      </w:r>
    </w:p>
    <w:p w14:paraId="3C5B2E2C" w14:textId="77777777" w:rsidR="00006F01" w:rsidRPr="00006F01" w:rsidRDefault="00006F01" w:rsidP="00831A38">
      <w:pPr>
        <w:pStyle w:val="H23G"/>
        <w:rPr>
          <w:lang w:val="fr-FR"/>
        </w:rPr>
      </w:pPr>
      <w:r w:rsidRPr="00006F01">
        <w:rPr>
          <w:lang w:val="fr-FR"/>
        </w:rPr>
        <w:tab/>
        <w:t>3.</w:t>
      </w:r>
      <w:r w:rsidRPr="00006F01">
        <w:rPr>
          <w:lang w:val="fr-FR"/>
        </w:rPr>
        <w:tab/>
        <w:t>Clarification du paragraphe 2.9.3.4.3.4 du Règlement type et du paragraphe 4.1.3.3.4 du SGH</w:t>
      </w:r>
    </w:p>
    <w:p w14:paraId="110723C8"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INF.11 (Chine)</w:t>
      </w:r>
      <w:r w:rsidR="00831A38">
        <w:rPr>
          <w:lang w:val="fr-FR"/>
        </w:rPr>
        <w:br/>
      </w:r>
      <w:r w:rsidRPr="00006F01">
        <w:rPr>
          <w:i/>
          <w:iCs/>
          <w:lang w:val="fr-FR"/>
        </w:rPr>
        <w:tab/>
      </w:r>
      <w:r w:rsidRPr="00006F01">
        <w:rPr>
          <w:lang w:val="fr-FR"/>
        </w:rPr>
        <w:t>INF.28, Item 5 (secrétariat)</w:t>
      </w:r>
    </w:p>
    <w:p w14:paraId="59F4624E" w14:textId="77777777" w:rsidR="00006F01" w:rsidRPr="00006F01" w:rsidRDefault="00006F01" w:rsidP="00006F01">
      <w:pPr>
        <w:pStyle w:val="SingleTxtG"/>
        <w:rPr>
          <w:lang w:val="fr-FR"/>
        </w:rPr>
      </w:pPr>
      <w:r w:rsidRPr="00006F01">
        <w:rPr>
          <w:lang w:val="fr-FR"/>
        </w:rPr>
        <w:t>29.</w:t>
      </w:r>
      <w:r w:rsidRPr="00006F01">
        <w:rPr>
          <w:lang w:val="fr-FR"/>
        </w:rPr>
        <w:tab/>
        <w:t>Le Sous-Comité a pris note des résultats des discussions du Sous-Comité TMD, dont il est ressorti que la note proposée sous le paragraphe 2.9.3.4.3.4 du Règlement type pourrait être précisée, ainsi que de l</w:t>
      </w:r>
      <w:r w:rsidR="00975D4C">
        <w:rPr>
          <w:lang w:val="fr-FR"/>
        </w:rPr>
        <w:t>’</w:t>
      </w:r>
      <w:r w:rsidRPr="00006F01">
        <w:rPr>
          <w:lang w:val="fr-FR"/>
        </w:rPr>
        <w:t>autre formulation proposée à cette fin par le Royaume</w:t>
      </w:r>
      <w:r w:rsidR="00831A38">
        <w:rPr>
          <w:lang w:val="fr-FR"/>
        </w:rPr>
        <w:noBreakHyphen/>
      </w:r>
      <w:r w:rsidRPr="00006F01">
        <w:rPr>
          <w:lang w:val="fr-FR"/>
        </w:rPr>
        <w:t>Uni.</w:t>
      </w:r>
    </w:p>
    <w:p w14:paraId="0F6C4273" w14:textId="77777777" w:rsidR="00006F01" w:rsidRPr="00006F01" w:rsidRDefault="00006F01" w:rsidP="00006F01">
      <w:pPr>
        <w:pStyle w:val="SingleTxtG"/>
        <w:rPr>
          <w:b/>
          <w:lang w:val="fr-FR"/>
        </w:rPr>
      </w:pPr>
      <w:r w:rsidRPr="00006F01">
        <w:rPr>
          <w:lang w:val="fr-FR"/>
        </w:rPr>
        <w:t>30.</w:t>
      </w:r>
      <w:r w:rsidRPr="00006F01">
        <w:rPr>
          <w:lang w:val="fr-FR"/>
        </w:rPr>
        <w:tab/>
        <w:t>Le Sous-Comité a examiné le texte révisé proposé pour le paragraphe 4.1.3.3.4 du SGH. L</w:t>
      </w:r>
      <w:r w:rsidR="00975D4C">
        <w:rPr>
          <w:lang w:val="fr-FR"/>
        </w:rPr>
        <w:t>’</w:t>
      </w:r>
      <w:r w:rsidRPr="00006F01">
        <w:rPr>
          <w:lang w:val="fr-FR"/>
        </w:rPr>
        <w:t>experte de la Chine a invité tous les représentants à lui envoyer leurs observations et s</w:t>
      </w:r>
      <w:r w:rsidR="00975D4C">
        <w:rPr>
          <w:lang w:val="fr-FR"/>
        </w:rPr>
        <w:t>’</w:t>
      </w:r>
      <w:r w:rsidRPr="00006F01">
        <w:rPr>
          <w:lang w:val="fr-FR"/>
        </w:rPr>
        <w:t>est déclarée prête à élaborer un document révisé. Il a été convenu de prendre une décision à la session suivante, sur la base d</w:t>
      </w:r>
      <w:r w:rsidR="00975D4C">
        <w:rPr>
          <w:lang w:val="fr-FR"/>
        </w:rPr>
        <w:t>’</w:t>
      </w:r>
      <w:r w:rsidRPr="00006F01">
        <w:rPr>
          <w:lang w:val="fr-FR"/>
        </w:rPr>
        <w:t>un document officiel.</w:t>
      </w:r>
    </w:p>
    <w:p w14:paraId="473DEFC6" w14:textId="77777777" w:rsidR="00006F01" w:rsidRPr="00006F01" w:rsidRDefault="00006F01" w:rsidP="00831A38">
      <w:pPr>
        <w:pStyle w:val="H23G"/>
        <w:rPr>
          <w:lang w:val="fr-FR"/>
        </w:rPr>
      </w:pPr>
      <w:r w:rsidRPr="00006F01">
        <w:rPr>
          <w:lang w:val="fr-FR"/>
        </w:rPr>
        <w:tab/>
        <w:t>4.</w:t>
      </w:r>
      <w:r w:rsidRPr="00006F01">
        <w:rPr>
          <w:lang w:val="fr-FR"/>
        </w:rPr>
        <w:tab/>
        <w:t>Proposition de clarification des sous-catégories de matières irritantes pour les yeux</w:t>
      </w:r>
    </w:p>
    <w:p w14:paraId="2E244909"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INF.4/Rev.1 (Australie)</w:t>
      </w:r>
      <w:r w:rsidR="00831A38">
        <w:rPr>
          <w:lang w:val="fr-FR"/>
        </w:rPr>
        <w:br/>
      </w:r>
      <w:r w:rsidRPr="00006F01">
        <w:rPr>
          <w:i/>
          <w:iCs/>
          <w:lang w:val="fr-FR"/>
        </w:rPr>
        <w:tab/>
      </w:r>
      <w:r w:rsidRPr="00006F01">
        <w:rPr>
          <w:lang w:val="fr-FR"/>
        </w:rPr>
        <w:t>INF.31 (États-Unis d</w:t>
      </w:r>
      <w:r w:rsidR="00975D4C">
        <w:rPr>
          <w:lang w:val="fr-FR"/>
        </w:rPr>
        <w:t>’</w:t>
      </w:r>
      <w:r w:rsidRPr="00006F01">
        <w:rPr>
          <w:lang w:val="fr-FR"/>
        </w:rPr>
        <w:t>Amérique)</w:t>
      </w:r>
    </w:p>
    <w:p w14:paraId="4112AA66" w14:textId="77777777" w:rsidR="00006F01" w:rsidRPr="00006F01" w:rsidRDefault="00006F01" w:rsidP="00006F01">
      <w:pPr>
        <w:pStyle w:val="SingleTxtG"/>
        <w:rPr>
          <w:lang w:val="fr-FR"/>
        </w:rPr>
      </w:pPr>
      <w:r w:rsidRPr="00006F01">
        <w:rPr>
          <w:lang w:val="fr-FR"/>
        </w:rPr>
        <w:t>31.</w:t>
      </w:r>
      <w:r w:rsidRPr="00006F01">
        <w:rPr>
          <w:lang w:val="fr-FR"/>
        </w:rPr>
        <w:tab/>
        <w:t>L</w:t>
      </w:r>
      <w:r w:rsidR="00975D4C">
        <w:rPr>
          <w:lang w:val="fr-FR"/>
        </w:rPr>
        <w:t>’</w:t>
      </w:r>
      <w:r w:rsidRPr="00006F01">
        <w:rPr>
          <w:lang w:val="fr-FR"/>
        </w:rPr>
        <w:t>expert de l</w:t>
      </w:r>
      <w:r w:rsidR="00975D4C">
        <w:rPr>
          <w:lang w:val="fr-FR"/>
        </w:rPr>
        <w:t>’</w:t>
      </w:r>
      <w:r w:rsidRPr="00006F01">
        <w:rPr>
          <w:lang w:val="fr-FR"/>
        </w:rPr>
        <w:t>Australie a proposé des clarifications concernant les critères de classification des matières irritantes pour les yeux des catégories</w:t>
      </w:r>
      <w:r w:rsidR="00647971">
        <w:rPr>
          <w:lang w:val="fr-FR"/>
        </w:rPr>
        <w:t xml:space="preserve"> </w:t>
      </w:r>
      <w:r w:rsidRPr="00006F01">
        <w:rPr>
          <w:lang w:val="fr-FR"/>
        </w:rPr>
        <w:t>2A et 2B, comme l</w:t>
      </w:r>
      <w:r w:rsidR="00975D4C">
        <w:rPr>
          <w:lang w:val="fr-FR"/>
        </w:rPr>
        <w:t>’</w:t>
      </w:r>
      <w:r w:rsidRPr="00006F01">
        <w:rPr>
          <w:lang w:val="fr-FR"/>
        </w:rPr>
        <w:t>indique le document informel INF.4/Rev.1. L</w:t>
      </w:r>
      <w:r w:rsidR="00975D4C">
        <w:rPr>
          <w:lang w:val="fr-FR"/>
        </w:rPr>
        <w:t>’</w:t>
      </w:r>
      <w:r w:rsidRPr="00006F01">
        <w:rPr>
          <w:lang w:val="fr-FR"/>
        </w:rPr>
        <w:t>experte des États-Unis d</w:t>
      </w:r>
      <w:r w:rsidR="00975D4C">
        <w:rPr>
          <w:lang w:val="fr-FR"/>
        </w:rPr>
        <w:t>’</w:t>
      </w:r>
      <w:r w:rsidRPr="00006F01">
        <w:rPr>
          <w:lang w:val="fr-FR"/>
        </w:rPr>
        <w:t>Amérique a proposé des modifications supplémentaires à titre de solution de rechange, ce dont il est rendu compte dans le document informel INF.31. Il a été convenu de revoir l</w:t>
      </w:r>
      <w:r w:rsidR="00975D4C">
        <w:rPr>
          <w:lang w:val="fr-FR"/>
        </w:rPr>
        <w:t>’</w:t>
      </w:r>
      <w:r w:rsidRPr="00006F01">
        <w:rPr>
          <w:lang w:val="fr-FR"/>
        </w:rPr>
        <w:t>emploi du terme « sous-catégorie » dans tout le SGH, et d</w:t>
      </w:r>
      <w:r w:rsidR="00975D4C">
        <w:rPr>
          <w:lang w:val="fr-FR"/>
        </w:rPr>
        <w:t>’</w:t>
      </w:r>
      <w:r w:rsidRPr="00006F01">
        <w:rPr>
          <w:lang w:val="fr-FR"/>
        </w:rPr>
        <w:t>élaborer une proposition relative à l</w:t>
      </w:r>
      <w:r w:rsidR="00975D4C">
        <w:rPr>
          <w:lang w:val="fr-FR"/>
        </w:rPr>
        <w:t>’</w:t>
      </w:r>
      <w:r w:rsidRPr="00006F01">
        <w:rPr>
          <w:lang w:val="fr-FR"/>
        </w:rPr>
        <w:t>approche modulaire au paragraphe 1.1.3.1.5.4, ainsi qu</w:t>
      </w:r>
      <w:r w:rsidR="00975D4C">
        <w:rPr>
          <w:lang w:val="fr-FR"/>
        </w:rPr>
        <w:t>’</w:t>
      </w:r>
      <w:r w:rsidRPr="00006F01">
        <w:rPr>
          <w:lang w:val="fr-FR"/>
        </w:rPr>
        <w:t>à son application cohérente pour toutes les classes de danger, au cas par cas, tout en veillant à ce que cette approche continue à répondre aux besoins de tous les secteurs.</w:t>
      </w:r>
    </w:p>
    <w:p w14:paraId="041FD384" w14:textId="77777777" w:rsidR="00006F01" w:rsidRPr="00006F01" w:rsidRDefault="00006F01" w:rsidP="00006F01">
      <w:pPr>
        <w:pStyle w:val="SingleTxtG"/>
        <w:rPr>
          <w:lang w:val="fr-FR"/>
        </w:rPr>
      </w:pPr>
      <w:r w:rsidRPr="00006F01">
        <w:rPr>
          <w:lang w:val="fr-FR"/>
        </w:rPr>
        <w:t>32.</w:t>
      </w:r>
      <w:r w:rsidRPr="00006F01">
        <w:rPr>
          <w:lang w:val="fr-FR"/>
        </w:rPr>
        <w:tab/>
        <w:t>Les experts de l</w:t>
      </w:r>
      <w:r w:rsidR="00975D4C">
        <w:rPr>
          <w:lang w:val="fr-FR"/>
        </w:rPr>
        <w:t>’</w:t>
      </w:r>
      <w:r w:rsidRPr="00006F01">
        <w:rPr>
          <w:lang w:val="fr-FR"/>
        </w:rPr>
        <w:t>Allemagne, de l</w:t>
      </w:r>
      <w:r w:rsidR="00975D4C">
        <w:rPr>
          <w:lang w:val="fr-FR"/>
        </w:rPr>
        <w:t>’</w:t>
      </w:r>
      <w:r w:rsidRPr="00006F01">
        <w:rPr>
          <w:lang w:val="fr-FR"/>
        </w:rPr>
        <w:t>Australie et des États-Unis d</w:t>
      </w:r>
      <w:r w:rsidR="00975D4C">
        <w:rPr>
          <w:lang w:val="fr-FR"/>
        </w:rPr>
        <w:t>’</w:t>
      </w:r>
      <w:r w:rsidRPr="00006F01">
        <w:rPr>
          <w:lang w:val="fr-FR"/>
        </w:rPr>
        <w:t>Amérique se sont proposés pour travailler sur cette question et pour soumettre une proposition pour examen à la session suivante.</w:t>
      </w:r>
    </w:p>
    <w:p w14:paraId="540214DE" w14:textId="77777777" w:rsidR="00006F01" w:rsidRPr="00006F01" w:rsidRDefault="00006F01" w:rsidP="00831A38">
      <w:pPr>
        <w:pStyle w:val="HChG"/>
        <w:rPr>
          <w:lang w:val="fr-FR"/>
        </w:rPr>
      </w:pPr>
      <w:r w:rsidRPr="00006F01">
        <w:rPr>
          <w:lang w:val="fr-FR"/>
        </w:rPr>
        <w:tab/>
        <w:t>IV.</w:t>
      </w:r>
      <w:r w:rsidRPr="00006F01">
        <w:rPr>
          <w:lang w:val="fr-FR"/>
        </w:rPr>
        <w:tab/>
        <w:t xml:space="preserve">Questions relatives à la communication des dangers </w:t>
      </w:r>
      <w:r w:rsidR="00831A38">
        <w:rPr>
          <w:lang w:val="fr-FR"/>
        </w:rPr>
        <w:br/>
      </w:r>
      <w:r w:rsidRPr="00006F01">
        <w:rPr>
          <w:lang w:val="fr-FR"/>
        </w:rPr>
        <w:t>(point 3 de l</w:t>
      </w:r>
      <w:r w:rsidR="00975D4C">
        <w:rPr>
          <w:lang w:val="fr-FR"/>
        </w:rPr>
        <w:t>’</w:t>
      </w:r>
      <w:r w:rsidRPr="00006F01">
        <w:rPr>
          <w:lang w:val="fr-FR"/>
        </w:rPr>
        <w:t>ordre du jour)</w:t>
      </w:r>
    </w:p>
    <w:p w14:paraId="6EE75F0A" w14:textId="77777777" w:rsidR="00006F01" w:rsidRPr="00006F01" w:rsidRDefault="00006F01" w:rsidP="00831A38">
      <w:pPr>
        <w:pStyle w:val="H1G"/>
        <w:rPr>
          <w:lang w:val="fr-FR"/>
        </w:rPr>
      </w:pPr>
      <w:r w:rsidRPr="00006F01">
        <w:rPr>
          <w:lang w:val="fr-FR"/>
        </w:rPr>
        <w:tab/>
        <w:t>A.</w:t>
      </w:r>
      <w:r w:rsidRPr="00006F01">
        <w:rPr>
          <w:lang w:val="fr-FR"/>
        </w:rPr>
        <w:tab/>
        <w:t>Questions pratiques d</w:t>
      </w:r>
      <w:r w:rsidR="00975D4C">
        <w:rPr>
          <w:lang w:val="fr-FR"/>
        </w:rPr>
        <w:t>’</w:t>
      </w:r>
      <w:r w:rsidRPr="00006F01">
        <w:rPr>
          <w:lang w:val="fr-FR"/>
        </w:rPr>
        <w:t>étiquetage</w:t>
      </w:r>
    </w:p>
    <w:p w14:paraId="3D35ED08" w14:textId="77777777" w:rsidR="00006F01" w:rsidRPr="00006F01" w:rsidRDefault="00006F01" w:rsidP="00831A38">
      <w:pPr>
        <w:pStyle w:val="H23G"/>
        <w:rPr>
          <w:lang w:val="fr-FR"/>
        </w:rPr>
      </w:pPr>
      <w:r w:rsidRPr="00006F01">
        <w:rPr>
          <w:lang w:val="fr-FR"/>
        </w:rPr>
        <w:tab/>
        <w:t>1.</w:t>
      </w:r>
      <w:r w:rsidRPr="00006F01">
        <w:rPr>
          <w:lang w:val="fr-FR"/>
        </w:rPr>
        <w:tab/>
        <w:t>Révision des exemples 1 à 7 de l</w:t>
      </w:r>
      <w:r w:rsidR="00975D4C">
        <w:rPr>
          <w:lang w:val="fr-FR"/>
        </w:rPr>
        <w:t>’</w:t>
      </w:r>
      <w:r w:rsidRPr="00006F01">
        <w:rPr>
          <w:lang w:val="fr-FR"/>
        </w:rPr>
        <w:t>annexe 7</w:t>
      </w:r>
    </w:p>
    <w:p w14:paraId="58D3230C"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INF.25 (</w:t>
      </w:r>
      <w:proofErr w:type="spellStart"/>
      <w:r w:rsidRPr="00006F01">
        <w:rPr>
          <w:lang w:val="fr-FR"/>
        </w:rPr>
        <w:t>Cefic</w:t>
      </w:r>
      <w:proofErr w:type="spellEnd"/>
      <w:r w:rsidRPr="00006F01">
        <w:rPr>
          <w:lang w:val="fr-FR"/>
        </w:rPr>
        <w:t>)</w:t>
      </w:r>
    </w:p>
    <w:p w14:paraId="36F466B7" w14:textId="77777777" w:rsidR="00006F01" w:rsidRPr="00006F01" w:rsidRDefault="00006F01" w:rsidP="00006F01">
      <w:pPr>
        <w:pStyle w:val="SingleTxtG"/>
        <w:rPr>
          <w:lang w:val="fr-FR"/>
        </w:rPr>
      </w:pPr>
      <w:r w:rsidRPr="00006F01">
        <w:rPr>
          <w:lang w:val="fr-FR"/>
        </w:rPr>
        <w:t>33.</w:t>
      </w:r>
      <w:r w:rsidRPr="00006F01">
        <w:rPr>
          <w:lang w:val="fr-FR"/>
        </w:rPr>
        <w:tab/>
        <w:t xml:space="preserve">Le représentant du </w:t>
      </w:r>
      <w:proofErr w:type="spellStart"/>
      <w:r w:rsidRPr="00006F01">
        <w:rPr>
          <w:lang w:val="fr-FR"/>
        </w:rPr>
        <w:t>Cefic</w:t>
      </w:r>
      <w:proofErr w:type="spellEnd"/>
      <w:r w:rsidRPr="00006F01">
        <w:rPr>
          <w:lang w:val="fr-FR"/>
        </w:rPr>
        <w:t xml:space="preserve"> a soumis le document informel INF.25, dans lequel figuraient plusieurs propositions de révision et d</w:t>
      </w:r>
      <w:r w:rsidR="00975D4C">
        <w:rPr>
          <w:lang w:val="fr-FR"/>
        </w:rPr>
        <w:t>’</w:t>
      </w:r>
      <w:r w:rsidRPr="00006F01">
        <w:rPr>
          <w:lang w:val="fr-FR"/>
        </w:rPr>
        <w:t>actualisation des exemples 1 à 7 de l</w:t>
      </w:r>
      <w:r w:rsidR="00975D4C">
        <w:rPr>
          <w:lang w:val="fr-FR"/>
        </w:rPr>
        <w:t>’</w:t>
      </w:r>
      <w:r w:rsidRPr="00006F01">
        <w:rPr>
          <w:lang w:val="fr-FR"/>
        </w:rPr>
        <w:t>annexe</w:t>
      </w:r>
      <w:r w:rsidR="00831A38">
        <w:rPr>
          <w:lang w:val="fr-FR"/>
        </w:rPr>
        <w:t> </w:t>
      </w:r>
      <w:r w:rsidRPr="00006F01">
        <w:rPr>
          <w:lang w:val="fr-FR"/>
        </w:rPr>
        <w:t>7. Le Sous-Comité a décidé d</w:t>
      </w:r>
      <w:r w:rsidR="00975D4C">
        <w:rPr>
          <w:lang w:val="fr-FR"/>
        </w:rPr>
        <w:t>’</w:t>
      </w:r>
      <w:r w:rsidRPr="00006F01">
        <w:rPr>
          <w:lang w:val="fr-FR"/>
        </w:rPr>
        <w:t>actualiser ces exemples en conservant leur présentation et en supprimant les noms de substances chimiques explicitement mentionnés. En outre, il a été proposé de publier des exemples concrets d</w:t>
      </w:r>
      <w:r w:rsidR="00975D4C">
        <w:rPr>
          <w:lang w:val="fr-FR"/>
        </w:rPr>
        <w:t>’</w:t>
      </w:r>
      <w:r w:rsidRPr="00006F01">
        <w:rPr>
          <w:lang w:val="fr-FR"/>
        </w:rPr>
        <w:t>étiquetage sur la page Web des orientations relatives au SGH.</w:t>
      </w:r>
    </w:p>
    <w:p w14:paraId="59154EC6" w14:textId="77777777" w:rsidR="00006F01" w:rsidRPr="00006F01" w:rsidRDefault="00006F01" w:rsidP="00831A38">
      <w:pPr>
        <w:pStyle w:val="H23G"/>
        <w:rPr>
          <w:lang w:val="fr-FR"/>
        </w:rPr>
      </w:pPr>
      <w:r w:rsidRPr="00006F01">
        <w:rPr>
          <w:lang w:val="fr-FR"/>
        </w:rPr>
        <w:tab/>
        <w:t>2.</w:t>
      </w:r>
      <w:r w:rsidRPr="00006F01">
        <w:rPr>
          <w:lang w:val="fr-FR"/>
        </w:rPr>
        <w:tab/>
        <w:t>Numérisation des informations concernant les dangers</w:t>
      </w:r>
    </w:p>
    <w:p w14:paraId="217BE909"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INF.22 (</w:t>
      </w:r>
      <w:proofErr w:type="spellStart"/>
      <w:r w:rsidRPr="00006F01">
        <w:rPr>
          <w:lang w:val="fr-FR"/>
        </w:rPr>
        <w:t>Cefic</w:t>
      </w:r>
      <w:proofErr w:type="spellEnd"/>
      <w:r w:rsidRPr="00006F01">
        <w:rPr>
          <w:lang w:val="fr-FR"/>
        </w:rPr>
        <w:t>)</w:t>
      </w:r>
    </w:p>
    <w:p w14:paraId="29A7AF59" w14:textId="77777777" w:rsidR="00006F01" w:rsidRPr="00006F01" w:rsidRDefault="00006F01" w:rsidP="00006F01">
      <w:pPr>
        <w:pStyle w:val="SingleTxtG"/>
        <w:rPr>
          <w:lang w:val="fr-FR"/>
        </w:rPr>
      </w:pPr>
      <w:r w:rsidRPr="00006F01">
        <w:rPr>
          <w:lang w:val="fr-FR"/>
        </w:rPr>
        <w:lastRenderedPageBreak/>
        <w:t>34.</w:t>
      </w:r>
      <w:r w:rsidRPr="00006F01">
        <w:rPr>
          <w:lang w:val="fr-FR"/>
        </w:rPr>
        <w:tab/>
        <w:t xml:space="preserve">Le représentant du </w:t>
      </w:r>
      <w:proofErr w:type="spellStart"/>
      <w:r w:rsidRPr="00006F01">
        <w:rPr>
          <w:lang w:val="fr-FR"/>
        </w:rPr>
        <w:t>Cefic</w:t>
      </w:r>
      <w:proofErr w:type="spellEnd"/>
      <w:r w:rsidRPr="00006F01">
        <w:rPr>
          <w:lang w:val="fr-FR"/>
        </w:rPr>
        <w:t xml:space="preserve"> a fait un exposé sur la numérisation des informations concernant les dangers des produits chimiques, au cours duquel il a présenté le contexte général et les avantages attendus et fait part de certaines préoccupations, ce dont il est rendu compte dans le document informel INF.22. Le Sous-Comité a pris note des résultats de la réunion que le groupe de travail informel des questions pratiques d</w:t>
      </w:r>
      <w:r w:rsidR="00975D4C">
        <w:rPr>
          <w:lang w:val="fr-FR"/>
        </w:rPr>
        <w:t>’</w:t>
      </w:r>
      <w:r w:rsidRPr="00006F01">
        <w:rPr>
          <w:lang w:val="fr-FR"/>
        </w:rPr>
        <w:t>étiquetage avait tenue le 12 décembre 2019. Lors de cette réunion, les experts avaient examiné dans quelle mesure des questions en relation avec la numérisation, telles que l</w:t>
      </w:r>
      <w:r w:rsidR="00975D4C">
        <w:rPr>
          <w:lang w:val="fr-FR"/>
        </w:rPr>
        <w:t>’</w:t>
      </w:r>
      <w:r w:rsidRPr="00006F01">
        <w:rPr>
          <w:lang w:val="fr-FR"/>
        </w:rPr>
        <w:t>utilisation de la terminologie, l</w:t>
      </w:r>
      <w:r w:rsidR="00975D4C">
        <w:rPr>
          <w:lang w:val="fr-FR"/>
        </w:rPr>
        <w:t>’</w:t>
      </w:r>
      <w:r w:rsidRPr="00006F01">
        <w:rPr>
          <w:lang w:val="fr-FR"/>
        </w:rPr>
        <w:t>accessibilité et la facilité d</w:t>
      </w:r>
      <w:r w:rsidR="00975D4C">
        <w:rPr>
          <w:lang w:val="fr-FR"/>
        </w:rPr>
        <w:t>’</w:t>
      </w:r>
      <w:r w:rsidRPr="00006F01">
        <w:rPr>
          <w:lang w:val="fr-FR"/>
        </w:rPr>
        <w:t>utilisation, pouvaient être traitées dans le SGH. Il avait été estimé que d</w:t>
      </w:r>
      <w:r w:rsidR="00975D4C">
        <w:rPr>
          <w:lang w:val="fr-FR"/>
        </w:rPr>
        <w:t>’</w:t>
      </w:r>
      <w:r w:rsidRPr="00006F01">
        <w:rPr>
          <w:lang w:val="fr-FR"/>
        </w:rPr>
        <w:t>autres sujets devaient faire l</w:t>
      </w:r>
      <w:r w:rsidR="00975D4C">
        <w:rPr>
          <w:lang w:val="fr-FR"/>
        </w:rPr>
        <w:t>’</w:t>
      </w:r>
      <w:r w:rsidRPr="00006F01">
        <w:rPr>
          <w:lang w:val="fr-FR"/>
        </w:rPr>
        <w:t>objet d</w:t>
      </w:r>
      <w:r w:rsidR="00975D4C">
        <w:rPr>
          <w:lang w:val="fr-FR"/>
        </w:rPr>
        <w:t>’</w:t>
      </w:r>
      <w:r w:rsidRPr="00006F01">
        <w:rPr>
          <w:lang w:val="fr-FR"/>
        </w:rPr>
        <w:t>un examen plus approfondi, à savoir :</w:t>
      </w:r>
    </w:p>
    <w:p w14:paraId="20FEC233" w14:textId="77777777" w:rsidR="00006F01" w:rsidRPr="00006F01" w:rsidRDefault="00006F01" w:rsidP="00831A38">
      <w:pPr>
        <w:pStyle w:val="SingleTxtG"/>
        <w:ind w:firstLine="567"/>
        <w:rPr>
          <w:lang w:val="fr-FR"/>
        </w:rPr>
      </w:pPr>
      <w:r w:rsidRPr="00006F01">
        <w:rPr>
          <w:lang w:val="fr-FR"/>
        </w:rPr>
        <w:t>a)</w:t>
      </w:r>
      <w:r w:rsidRPr="00006F01">
        <w:rPr>
          <w:lang w:val="fr-FR"/>
        </w:rPr>
        <w:tab/>
        <w:t>L</w:t>
      </w:r>
      <w:r w:rsidR="00975D4C">
        <w:rPr>
          <w:lang w:val="fr-FR"/>
        </w:rPr>
        <w:t>’</w:t>
      </w:r>
      <w:r w:rsidRPr="00006F01">
        <w:rPr>
          <w:lang w:val="fr-FR"/>
        </w:rPr>
        <w:t>accès à l</w:t>
      </w:r>
      <w:r w:rsidR="00975D4C">
        <w:rPr>
          <w:lang w:val="fr-FR"/>
        </w:rPr>
        <w:t>’</w:t>
      </w:r>
      <w:r w:rsidRPr="00006F01">
        <w:rPr>
          <w:lang w:val="fr-FR"/>
        </w:rPr>
        <w:t>information numérisée dans différents territoires de compétence ;</w:t>
      </w:r>
    </w:p>
    <w:p w14:paraId="686CE256" w14:textId="77777777" w:rsidR="00006F01" w:rsidRPr="00006F01" w:rsidRDefault="00006F01" w:rsidP="00831A38">
      <w:pPr>
        <w:pStyle w:val="SingleTxtG"/>
        <w:ind w:firstLine="567"/>
        <w:rPr>
          <w:lang w:val="fr-FR"/>
        </w:rPr>
      </w:pPr>
      <w:r w:rsidRPr="00006F01">
        <w:rPr>
          <w:lang w:val="fr-FR"/>
        </w:rPr>
        <w:t>b)</w:t>
      </w:r>
      <w:r w:rsidRPr="00006F01">
        <w:rPr>
          <w:lang w:val="fr-FR"/>
        </w:rPr>
        <w:tab/>
        <w:t>Le degré d</w:t>
      </w:r>
      <w:r w:rsidR="00975D4C">
        <w:rPr>
          <w:lang w:val="fr-FR"/>
        </w:rPr>
        <w:t>’</w:t>
      </w:r>
      <w:r w:rsidRPr="00006F01">
        <w:rPr>
          <w:lang w:val="fr-FR"/>
        </w:rPr>
        <w:t>harmonisation nécessaire pour éviter les situations incontrôlées ;</w:t>
      </w:r>
    </w:p>
    <w:p w14:paraId="3433E5D8" w14:textId="77777777" w:rsidR="00006F01" w:rsidRPr="00006F01" w:rsidRDefault="00006F01" w:rsidP="00831A38">
      <w:pPr>
        <w:pStyle w:val="SingleTxtG"/>
        <w:ind w:firstLine="567"/>
        <w:rPr>
          <w:lang w:val="fr-FR"/>
        </w:rPr>
      </w:pPr>
      <w:r w:rsidRPr="00006F01">
        <w:rPr>
          <w:lang w:val="fr-FR"/>
        </w:rPr>
        <w:t>c)</w:t>
      </w:r>
      <w:r w:rsidRPr="00006F01">
        <w:rPr>
          <w:lang w:val="fr-FR"/>
        </w:rPr>
        <w:tab/>
        <w:t>La confidentialité des données pour l</w:t>
      </w:r>
      <w:r w:rsidR="00975D4C">
        <w:rPr>
          <w:lang w:val="fr-FR"/>
        </w:rPr>
        <w:t>’</w:t>
      </w:r>
      <w:r w:rsidRPr="00006F01">
        <w:rPr>
          <w:lang w:val="fr-FR"/>
        </w:rPr>
        <w:t>utilisateur final ;</w:t>
      </w:r>
    </w:p>
    <w:p w14:paraId="460558D3" w14:textId="77777777" w:rsidR="00006F01" w:rsidRPr="00006F01" w:rsidRDefault="00006F01" w:rsidP="00831A38">
      <w:pPr>
        <w:pStyle w:val="SingleTxtG"/>
        <w:ind w:firstLine="567"/>
        <w:rPr>
          <w:lang w:val="fr-FR"/>
        </w:rPr>
      </w:pPr>
      <w:r w:rsidRPr="00006F01">
        <w:rPr>
          <w:lang w:val="fr-FR"/>
        </w:rPr>
        <w:t>d)</w:t>
      </w:r>
      <w:r w:rsidRPr="00006F01">
        <w:rPr>
          <w:lang w:val="fr-FR"/>
        </w:rPr>
        <w:tab/>
        <w:t>La compatibilité des données entre différents systèmes ;</w:t>
      </w:r>
    </w:p>
    <w:p w14:paraId="562D69D2" w14:textId="77777777" w:rsidR="00006F01" w:rsidRPr="00006F01" w:rsidRDefault="00006F01" w:rsidP="00831A38">
      <w:pPr>
        <w:pStyle w:val="SingleTxtG"/>
        <w:ind w:firstLine="567"/>
        <w:rPr>
          <w:lang w:val="fr-FR"/>
        </w:rPr>
      </w:pPr>
      <w:r w:rsidRPr="00006F01">
        <w:rPr>
          <w:lang w:val="fr-FR"/>
        </w:rPr>
        <w:t>e)</w:t>
      </w:r>
      <w:r w:rsidRPr="00006F01">
        <w:rPr>
          <w:lang w:val="fr-FR"/>
        </w:rPr>
        <w:tab/>
        <w:t>Les renseignements supplémentaires par rapport aux informations figurant sur l</w:t>
      </w:r>
      <w:r w:rsidR="00975D4C">
        <w:rPr>
          <w:lang w:val="fr-FR"/>
        </w:rPr>
        <w:t>’</w:t>
      </w:r>
      <w:r w:rsidRPr="00006F01">
        <w:rPr>
          <w:lang w:val="fr-FR"/>
        </w:rPr>
        <w:t>étiquette.</w:t>
      </w:r>
    </w:p>
    <w:p w14:paraId="27418EF5" w14:textId="77777777" w:rsidR="00006F01" w:rsidRPr="00006F01" w:rsidRDefault="00006F01" w:rsidP="00006F01">
      <w:pPr>
        <w:pStyle w:val="SingleTxtG"/>
        <w:rPr>
          <w:lang w:val="fr-FR"/>
        </w:rPr>
      </w:pPr>
      <w:r w:rsidRPr="00006F01">
        <w:rPr>
          <w:lang w:val="fr-FR"/>
        </w:rPr>
        <w:t>35.</w:t>
      </w:r>
      <w:r w:rsidRPr="00006F01">
        <w:rPr>
          <w:lang w:val="fr-FR"/>
        </w:rPr>
        <w:tab/>
        <w:t>Le Sous-Comité a pris note avec intérêt de ces informations.</w:t>
      </w:r>
    </w:p>
    <w:p w14:paraId="1916158A" w14:textId="77777777" w:rsidR="00006F01" w:rsidRPr="00006F01" w:rsidRDefault="00831A38" w:rsidP="00831A38">
      <w:pPr>
        <w:pStyle w:val="H1G"/>
        <w:rPr>
          <w:lang w:val="fr-FR"/>
        </w:rPr>
      </w:pPr>
      <w:r>
        <w:rPr>
          <w:lang w:val="fr-FR"/>
        </w:rPr>
        <w:tab/>
      </w:r>
      <w:r w:rsidR="00006F01" w:rsidRPr="00006F01">
        <w:rPr>
          <w:lang w:val="fr-FR"/>
        </w:rPr>
        <w:t>B.</w:t>
      </w:r>
      <w:r w:rsidR="00006F01" w:rsidRPr="00006F01">
        <w:rPr>
          <w:lang w:val="fr-FR"/>
        </w:rPr>
        <w:tab/>
        <w:t>Amélioration des annexes 1 à 3 et poursuite de la rationalisation</w:t>
      </w:r>
      <w:r>
        <w:rPr>
          <w:lang w:val="fr-FR"/>
        </w:rPr>
        <w:br/>
      </w:r>
      <w:r w:rsidR="00006F01" w:rsidRPr="00006F01">
        <w:rPr>
          <w:lang w:val="fr-FR"/>
        </w:rPr>
        <w:t>des conseils de prudence</w:t>
      </w:r>
    </w:p>
    <w:p w14:paraId="7F44FC03" w14:textId="77777777" w:rsidR="00006F01" w:rsidRPr="00006F01" w:rsidRDefault="00006F01" w:rsidP="00831A38">
      <w:pPr>
        <w:pStyle w:val="H23G"/>
        <w:rPr>
          <w:lang w:val="fr-FR"/>
        </w:rPr>
      </w:pPr>
      <w:r w:rsidRPr="00006F01">
        <w:rPr>
          <w:lang w:val="fr-FR"/>
        </w:rPr>
        <w:tab/>
        <w:t>1.</w:t>
      </w:r>
      <w:r w:rsidRPr="00006F01">
        <w:rPr>
          <w:lang w:val="fr-FR"/>
        </w:rPr>
        <w:tab/>
        <w:t>Propositions de modifications à apporter à l</w:t>
      </w:r>
      <w:r w:rsidR="00975D4C">
        <w:rPr>
          <w:lang w:val="fr-FR"/>
        </w:rPr>
        <w:t>’</w:t>
      </w:r>
      <w:r w:rsidRPr="00006F01">
        <w:rPr>
          <w:lang w:val="fr-FR"/>
        </w:rPr>
        <w:t>annexe 1 du SGH</w:t>
      </w:r>
    </w:p>
    <w:p w14:paraId="1484F7BA" w14:textId="77777777" w:rsidR="00006F01" w:rsidRPr="00006F01" w:rsidRDefault="00006F01" w:rsidP="00831A38">
      <w:pPr>
        <w:pStyle w:val="SingleTxtG"/>
        <w:ind w:left="3402" w:hanging="2268"/>
        <w:jc w:val="left"/>
        <w:rPr>
          <w:lang w:val="fr-FR"/>
        </w:rPr>
      </w:pPr>
      <w:r w:rsidRPr="00006F01">
        <w:rPr>
          <w:i/>
          <w:iCs/>
          <w:lang w:val="fr-FR"/>
        </w:rPr>
        <w:t xml:space="preserve">Document(s) </w:t>
      </w:r>
      <w:r w:rsidRPr="00831A38">
        <w:rPr>
          <w:lang w:val="fr-FR"/>
        </w:rPr>
        <w:t>:</w:t>
      </w:r>
      <w:r w:rsidRPr="00006F01">
        <w:rPr>
          <w:lang w:val="fr-FR"/>
        </w:rPr>
        <w:tab/>
      </w:r>
      <w:r w:rsidRPr="00006F01">
        <w:rPr>
          <w:lang w:val="fr-FR"/>
        </w:rPr>
        <w:tab/>
        <w:t>ST/SG/AC.10/C.4/2019/12 (Royaume-Uni)</w:t>
      </w:r>
    </w:p>
    <w:p w14:paraId="4C205F21"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INF.28, Item 6 (secrétariat)</w:t>
      </w:r>
    </w:p>
    <w:p w14:paraId="10EE568C" w14:textId="77777777" w:rsidR="00006F01" w:rsidRPr="00006F01" w:rsidRDefault="00006F01" w:rsidP="00006F01">
      <w:pPr>
        <w:pStyle w:val="SingleTxtG"/>
        <w:rPr>
          <w:lang w:val="fr-FR"/>
        </w:rPr>
      </w:pPr>
      <w:r w:rsidRPr="00006F01">
        <w:rPr>
          <w:lang w:val="fr-FR"/>
        </w:rPr>
        <w:t>36.</w:t>
      </w:r>
      <w:r w:rsidRPr="00006F01">
        <w:rPr>
          <w:lang w:val="fr-FR"/>
        </w:rPr>
        <w:tab/>
        <w:t>Le Sous-Comité a pris note du résultat des discussions du Sous-Comité TMD, à savoir que les modifications proposées à l</w:t>
      </w:r>
      <w:r w:rsidR="00975D4C">
        <w:rPr>
          <w:lang w:val="fr-FR"/>
        </w:rPr>
        <w:t>’</w:t>
      </w:r>
      <w:r w:rsidRPr="00006F01">
        <w:rPr>
          <w:lang w:val="fr-FR"/>
        </w:rPr>
        <w:t>annexe 1 du SGH étaient correctes au regard du Règlement type. Le Sous-Comité a adopté les modifications proposées en annexe au document ST/SG/AC.10/C.4/2019/12 tel que modifié (voir annexe I).</w:t>
      </w:r>
    </w:p>
    <w:p w14:paraId="227AFF5E" w14:textId="77777777" w:rsidR="00006F01" w:rsidRPr="00006F01" w:rsidRDefault="00006F01" w:rsidP="00831A38">
      <w:pPr>
        <w:pStyle w:val="H23G"/>
        <w:rPr>
          <w:lang w:val="fr-FR"/>
        </w:rPr>
      </w:pPr>
      <w:r w:rsidRPr="00006F01">
        <w:rPr>
          <w:lang w:val="fr-FR"/>
        </w:rPr>
        <w:tab/>
        <w:t>2.</w:t>
      </w:r>
      <w:r w:rsidRPr="00006F01">
        <w:rPr>
          <w:lang w:val="fr-FR"/>
        </w:rPr>
        <w:tab/>
        <w:t>Corrections et modifications à apporter aux sections 2 et 3 de l</w:t>
      </w:r>
      <w:r w:rsidR="00975D4C">
        <w:rPr>
          <w:lang w:val="fr-FR"/>
        </w:rPr>
        <w:t>’</w:t>
      </w:r>
      <w:r w:rsidRPr="00006F01">
        <w:rPr>
          <w:lang w:val="fr-FR"/>
        </w:rPr>
        <w:t>annexe 3</w:t>
      </w:r>
    </w:p>
    <w:p w14:paraId="63A39010" w14:textId="77777777" w:rsidR="00006F01" w:rsidRPr="00006F01" w:rsidRDefault="00006F01" w:rsidP="00831A38">
      <w:pPr>
        <w:pStyle w:val="SingleTxtG"/>
        <w:ind w:left="3402" w:hanging="2268"/>
        <w:jc w:val="left"/>
        <w:rPr>
          <w:lang w:val="fr-FR"/>
        </w:rPr>
      </w:pPr>
      <w:r w:rsidRPr="00006F01">
        <w:rPr>
          <w:i/>
          <w:iCs/>
          <w:lang w:val="fr-FR"/>
        </w:rPr>
        <w:t xml:space="preserve">Document(s) </w:t>
      </w:r>
      <w:r w:rsidRPr="00831A38">
        <w:rPr>
          <w:lang w:val="fr-FR"/>
        </w:rPr>
        <w:t>:</w:t>
      </w:r>
      <w:r w:rsidRPr="00006F01">
        <w:rPr>
          <w:lang w:val="fr-FR"/>
        </w:rPr>
        <w:t xml:space="preserve"> </w:t>
      </w:r>
      <w:r w:rsidRPr="00006F01">
        <w:rPr>
          <w:lang w:val="fr-FR"/>
        </w:rPr>
        <w:tab/>
      </w:r>
      <w:r w:rsidRPr="00006F01">
        <w:rPr>
          <w:lang w:val="fr-FR"/>
        </w:rPr>
        <w:tab/>
        <w:t>ST/SG/AC.10/C.4/2019/15 (Royaume-Uni)</w:t>
      </w:r>
    </w:p>
    <w:p w14:paraId="14DAAAA1" w14:textId="77777777" w:rsidR="00006F01" w:rsidRPr="00006F01" w:rsidRDefault="00006F01" w:rsidP="00006F01">
      <w:pPr>
        <w:pStyle w:val="SingleTxtG"/>
        <w:rPr>
          <w:lang w:val="fr-FR"/>
        </w:rPr>
      </w:pPr>
      <w:r w:rsidRPr="00006F01">
        <w:rPr>
          <w:lang w:val="fr-FR"/>
        </w:rPr>
        <w:t>37.</w:t>
      </w:r>
      <w:r w:rsidRPr="00006F01">
        <w:rPr>
          <w:lang w:val="fr-FR"/>
        </w:rPr>
        <w:tab/>
        <w:t>Le Sous-Comité a adopté les corrections proposées aux paragraphes 5 et 8 du document, ainsi que les modifications proposées aux paragraphes 19 et 20 (voir annexes II et I respectivement).</w:t>
      </w:r>
    </w:p>
    <w:p w14:paraId="23D09CC9" w14:textId="77777777" w:rsidR="00006F01" w:rsidRPr="00006F01" w:rsidRDefault="00006F01" w:rsidP="00831A38">
      <w:pPr>
        <w:pStyle w:val="H23G"/>
        <w:rPr>
          <w:lang w:val="fr-FR"/>
        </w:rPr>
      </w:pPr>
      <w:r w:rsidRPr="00006F01">
        <w:rPr>
          <w:lang w:val="fr-FR"/>
        </w:rPr>
        <w:tab/>
        <w:t>3.</w:t>
      </w:r>
      <w:r w:rsidRPr="00006F01">
        <w:rPr>
          <w:lang w:val="fr-FR"/>
        </w:rPr>
        <w:tab/>
      </w:r>
      <w:r w:rsidRPr="00831A38">
        <w:rPr>
          <w:spacing w:val="-2"/>
          <w:lang w:val="fr-FR"/>
        </w:rPr>
        <w:t>État d</w:t>
      </w:r>
      <w:r w:rsidR="00975D4C">
        <w:rPr>
          <w:spacing w:val="-2"/>
          <w:lang w:val="fr-FR"/>
        </w:rPr>
        <w:t>’</w:t>
      </w:r>
      <w:r w:rsidRPr="00831A38">
        <w:rPr>
          <w:spacing w:val="-2"/>
          <w:lang w:val="fr-FR"/>
        </w:rPr>
        <w:t>avancement des travaux du groupe de travail informel chargé de l</w:t>
      </w:r>
      <w:r w:rsidR="00975D4C">
        <w:rPr>
          <w:spacing w:val="-2"/>
          <w:lang w:val="fr-FR"/>
        </w:rPr>
        <w:t>’</w:t>
      </w:r>
      <w:r w:rsidRPr="00831A38">
        <w:rPr>
          <w:spacing w:val="-2"/>
          <w:lang w:val="fr-FR"/>
        </w:rPr>
        <w:t>amélioration</w:t>
      </w:r>
      <w:r w:rsidRPr="00006F01">
        <w:rPr>
          <w:lang w:val="fr-FR"/>
        </w:rPr>
        <w:t xml:space="preserve"> des annexes 1 à 3 du SGH</w:t>
      </w:r>
    </w:p>
    <w:p w14:paraId="151B8AA3"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INF.23 (Royaume-Uni)</w:t>
      </w:r>
    </w:p>
    <w:p w14:paraId="5CA24ADB" w14:textId="77777777" w:rsidR="00006F01" w:rsidRPr="00006F01" w:rsidRDefault="00006F01" w:rsidP="00006F01">
      <w:pPr>
        <w:pStyle w:val="SingleTxtG"/>
        <w:rPr>
          <w:lang w:val="fr-FR"/>
        </w:rPr>
      </w:pPr>
      <w:r w:rsidRPr="00006F01">
        <w:rPr>
          <w:lang w:val="fr-FR"/>
        </w:rPr>
        <w:t>38.</w:t>
      </w:r>
      <w:r w:rsidRPr="00006F01">
        <w:rPr>
          <w:lang w:val="fr-FR"/>
        </w:rPr>
        <w:tab/>
        <w:t>Le Sous-Comité a pris note des résultats obtenus et des progrès accomplis par le groupe de travail informel, qui s</w:t>
      </w:r>
      <w:r w:rsidR="00975D4C">
        <w:rPr>
          <w:lang w:val="fr-FR"/>
        </w:rPr>
        <w:t>’</w:t>
      </w:r>
      <w:r w:rsidRPr="00006F01">
        <w:rPr>
          <w:lang w:val="fr-FR"/>
        </w:rPr>
        <w:t>était réuni le 12 décembre 2019. Le représentant du Royaume-Uni a dit que le groupe informel :</w:t>
      </w:r>
    </w:p>
    <w:p w14:paraId="591EA3E0" w14:textId="77777777" w:rsidR="00006F01" w:rsidRPr="00006F01" w:rsidRDefault="00006F01" w:rsidP="00831A38">
      <w:pPr>
        <w:pStyle w:val="SingleTxtG"/>
        <w:ind w:firstLine="567"/>
        <w:rPr>
          <w:lang w:val="fr-FR"/>
        </w:rPr>
      </w:pPr>
      <w:r w:rsidRPr="00006F01">
        <w:rPr>
          <w:lang w:val="fr-FR"/>
        </w:rPr>
        <w:t>a)</w:t>
      </w:r>
      <w:r w:rsidRPr="00006F01">
        <w:rPr>
          <w:lang w:val="fr-FR"/>
        </w:rPr>
        <w:tab/>
        <w:t>Avait approuvé les corrections et modifications proposées dans le document ST/SG/AC.10/C.4/2019/15</w:t>
      </w:r>
      <w:r w:rsidR="00831A38">
        <w:rPr>
          <w:lang w:val="fr-FR"/>
        </w:rPr>
        <w:t> </w:t>
      </w:r>
      <w:r w:rsidRPr="00006F01">
        <w:rPr>
          <w:lang w:val="fr-FR"/>
        </w:rPr>
        <w:t>;</w:t>
      </w:r>
    </w:p>
    <w:p w14:paraId="0781ACEF" w14:textId="77777777" w:rsidR="00006F01" w:rsidRPr="00006F01" w:rsidRDefault="00006F01" w:rsidP="00831A38">
      <w:pPr>
        <w:pStyle w:val="SingleTxtG"/>
        <w:ind w:firstLine="567"/>
        <w:rPr>
          <w:lang w:val="fr-FR"/>
        </w:rPr>
      </w:pPr>
      <w:r w:rsidRPr="00006F01">
        <w:rPr>
          <w:lang w:val="fr-FR"/>
        </w:rPr>
        <w:t>b)</w:t>
      </w:r>
      <w:r w:rsidRPr="00006F01">
        <w:rPr>
          <w:lang w:val="fr-FR"/>
        </w:rPr>
        <w:tab/>
        <w:t>Avait discuté d</w:t>
      </w:r>
      <w:r w:rsidR="00975D4C">
        <w:rPr>
          <w:lang w:val="fr-FR"/>
        </w:rPr>
        <w:t>’</w:t>
      </w:r>
      <w:r w:rsidRPr="00006F01">
        <w:rPr>
          <w:lang w:val="fr-FR"/>
        </w:rPr>
        <w:t>un document de réflexion sur le contact entre les mains et les yeux en relation avec le risque d</w:t>
      </w:r>
      <w:r w:rsidR="00975D4C">
        <w:rPr>
          <w:lang w:val="fr-FR"/>
        </w:rPr>
        <w:t>’</w:t>
      </w:r>
      <w:r w:rsidRPr="00006F01">
        <w:rPr>
          <w:lang w:val="fr-FR"/>
        </w:rPr>
        <w:t>irritation oculaire, convenu de l</w:t>
      </w:r>
      <w:r w:rsidR="00975D4C">
        <w:rPr>
          <w:lang w:val="fr-FR"/>
        </w:rPr>
        <w:t>’</w:t>
      </w:r>
      <w:r w:rsidRPr="00006F01">
        <w:rPr>
          <w:lang w:val="fr-FR"/>
        </w:rPr>
        <w:t>importance de ce sujet, débattu des conseils de prudence envisageables pour contribuer à régler ce problème et reconnu à cet égard la nécessité :</w:t>
      </w:r>
    </w:p>
    <w:p w14:paraId="14D3F729" w14:textId="77777777" w:rsidR="00006F01" w:rsidRPr="00006F01" w:rsidRDefault="00006F01" w:rsidP="00831A38">
      <w:pPr>
        <w:pStyle w:val="SingleTxtG"/>
        <w:ind w:left="1701"/>
        <w:rPr>
          <w:lang w:val="fr-FR"/>
        </w:rPr>
      </w:pPr>
      <w:r w:rsidRPr="00006F01">
        <w:rPr>
          <w:lang w:val="fr-FR"/>
        </w:rPr>
        <w:t>i)</w:t>
      </w:r>
      <w:r w:rsidRPr="00006F01">
        <w:rPr>
          <w:lang w:val="fr-FR"/>
        </w:rPr>
        <w:tab/>
      </w:r>
      <w:r w:rsidR="00647971">
        <w:rPr>
          <w:lang w:val="fr-FR"/>
        </w:rPr>
        <w:t>D</w:t>
      </w:r>
      <w:r w:rsidRPr="00006F01">
        <w:rPr>
          <w:lang w:val="fr-FR"/>
        </w:rPr>
        <w:t>e tenir compte des autres parties de la peau ou des vêtements susceptibles elles aussi d</w:t>
      </w:r>
      <w:r w:rsidR="00975D4C">
        <w:rPr>
          <w:lang w:val="fr-FR"/>
        </w:rPr>
        <w:t>’</w:t>
      </w:r>
      <w:r w:rsidRPr="00006F01">
        <w:rPr>
          <w:lang w:val="fr-FR"/>
        </w:rPr>
        <w:t>être contaminées par une matière irritante pour les yeux en cas de contact ;</w:t>
      </w:r>
    </w:p>
    <w:p w14:paraId="22BDAB6D" w14:textId="77777777" w:rsidR="00006F01" w:rsidRPr="00006F01" w:rsidRDefault="00006F01" w:rsidP="00831A38">
      <w:pPr>
        <w:pStyle w:val="SingleTxtG"/>
        <w:ind w:left="1701"/>
        <w:rPr>
          <w:lang w:val="fr-FR"/>
        </w:rPr>
      </w:pPr>
      <w:r w:rsidRPr="00006F01">
        <w:rPr>
          <w:lang w:val="fr-FR"/>
        </w:rPr>
        <w:lastRenderedPageBreak/>
        <w:t>ii)</w:t>
      </w:r>
      <w:r w:rsidRPr="00006F01">
        <w:rPr>
          <w:lang w:val="fr-FR"/>
        </w:rPr>
        <w:tab/>
      </w:r>
      <w:r w:rsidR="00647971">
        <w:rPr>
          <w:lang w:val="fr-FR"/>
        </w:rPr>
        <w:t>D</w:t>
      </w:r>
      <w:r w:rsidRPr="00006F01">
        <w:rPr>
          <w:lang w:val="fr-FR"/>
        </w:rPr>
        <w:t>e poursuivre l</w:t>
      </w:r>
      <w:r w:rsidR="00975D4C">
        <w:rPr>
          <w:lang w:val="fr-FR"/>
        </w:rPr>
        <w:t>’</w:t>
      </w:r>
      <w:r w:rsidRPr="00006F01">
        <w:rPr>
          <w:lang w:val="fr-FR"/>
        </w:rPr>
        <w:t>élaboration d</w:t>
      </w:r>
      <w:r w:rsidR="00975D4C">
        <w:rPr>
          <w:lang w:val="fr-FR"/>
        </w:rPr>
        <w:t>’</w:t>
      </w:r>
      <w:r w:rsidRPr="00006F01">
        <w:rPr>
          <w:lang w:val="fr-FR"/>
        </w:rPr>
        <w:t>une proposition officielle qui serait présentée au Sous-Comité à la session de juillet 2020.</w:t>
      </w:r>
    </w:p>
    <w:p w14:paraId="61662BAB" w14:textId="77777777" w:rsidR="00006F01" w:rsidRPr="00006F01" w:rsidRDefault="00006F01" w:rsidP="00006F01">
      <w:pPr>
        <w:pStyle w:val="SingleTxtG"/>
        <w:rPr>
          <w:lang w:val="fr-FR"/>
        </w:rPr>
      </w:pPr>
      <w:r w:rsidRPr="00006F01">
        <w:rPr>
          <w:lang w:val="fr-FR"/>
        </w:rPr>
        <w:t>39.</w:t>
      </w:r>
      <w:r w:rsidRPr="00006F01">
        <w:rPr>
          <w:lang w:val="fr-FR"/>
        </w:rPr>
        <w:tab/>
        <w:t>Le Sous-Comité est convenu de poursuivre l</w:t>
      </w:r>
      <w:r w:rsidR="00975D4C">
        <w:rPr>
          <w:lang w:val="fr-FR"/>
        </w:rPr>
        <w:t>’</w:t>
      </w:r>
      <w:r w:rsidRPr="00006F01">
        <w:rPr>
          <w:lang w:val="fr-FR"/>
        </w:rPr>
        <w:t>examen de cette question à sa session suivante.</w:t>
      </w:r>
    </w:p>
    <w:p w14:paraId="27A62C5E" w14:textId="77777777" w:rsidR="00006F01" w:rsidRPr="00006F01" w:rsidRDefault="00006F01" w:rsidP="00831A38">
      <w:pPr>
        <w:pStyle w:val="H1G"/>
        <w:rPr>
          <w:lang w:val="fr-FR"/>
        </w:rPr>
      </w:pPr>
      <w:r w:rsidRPr="00006F01">
        <w:rPr>
          <w:lang w:val="fr-FR"/>
        </w:rPr>
        <w:tab/>
        <w:t>C.</w:t>
      </w:r>
      <w:r w:rsidRPr="00006F01">
        <w:rPr>
          <w:lang w:val="fr-FR"/>
        </w:rPr>
        <w:tab/>
        <w:t>Révision de l</w:t>
      </w:r>
      <w:r w:rsidR="00975D4C">
        <w:rPr>
          <w:lang w:val="fr-FR"/>
        </w:rPr>
        <w:t>’</w:t>
      </w:r>
      <w:r w:rsidRPr="00006F01">
        <w:rPr>
          <w:lang w:val="fr-FR"/>
        </w:rPr>
        <w:t>annexe 4, sous-section A4.3.3.2.3</w:t>
      </w:r>
    </w:p>
    <w:p w14:paraId="2D00E58C" w14:textId="77777777" w:rsidR="00006F01" w:rsidRPr="00006F01" w:rsidRDefault="00006F01" w:rsidP="00006F01">
      <w:pPr>
        <w:pStyle w:val="SingleTxtG"/>
        <w:rPr>
          <w:lang w:val="fr-FR"/>
        </w:rPr>
      </w:pPr>
      <w:r w:rsidRPr="00006F01">
        <w:rPr>
          <w:lang w:val="fr-FR"/>
        </w:rPr>
        <w:t>40.</w:t>
      </w:r>
      <w:r w:rsidRPr="00006F01">
        <w:rPr>
          <w:lang w:val="fr-FR"/>
        </w:rPr>
        <w:tab/>
        <w:t>Aucun document n</w:t>
      </w:r>
      <w:r w:rsidR="00975D4C">
        <w:rPr>
          <w:lang w:val="fr-FR"/>
        </w:rPr>
        <w:t>’</w:t>
      </w:r>
      <w:r w:rsidRPr="00006F01">
        <w:rPr>
          <w:lang w:val="fr-FR"/>
        </w:rPr>
        <w:t>ayant été soumis au titre de ce point de l</w:t>
      </w:r>
      <w:r w:rsidR="00975D4C">
        <w:rPr>
          <w:lang w:val="fr-FR"/>
        </w:rPr>
        <w:t>’</w:t>
      </w:r>
      <w:r w:rsidRPr="00006F01">
        <w:rPr>
          <w:lang w:val="fr-FR"/>
        </w:rPr>
        <w:t>ordre du jour, aucune discussion n</w:t>
      </w:r>
      <w:r w:rsidR="00975D4C">
        <w:rPr>
          <w:lang w:val="fr-FR"/>
        </w:rPr>
        <w:t>’</w:t>
      </w:r>
      <w:r w:rsidRPr="00006F01">
        <w:rPr>
          <w:lang w:val="fr-FR"/>
        </w:rPr>
        <w:t>a eu lieu sur cette question.</w:t>
      </w:r>
    </w:p>
    <w:p w14:paraId="1672E5B5" w14:textId="77777777" w:rsidR="00006F01" w:rsidRPr="00006F01" w:rsidRDefault="00006F01" w:rsidP="00831A38">
      <w:pPr>
        <w:pStyle w:val="H1G"/>
        <w:rPr>
          <w:lang w:val="fr-FR"/>
        </w:rPr>
      </w:pPr>
      <w:r w:rsidRPr="00006F01">
        <w:rPr>
          <w:lang w:val="fr-FR"/>
        </w:rPr>
        <w:tab/>
        <w:t>D.</w:t>
      </w:r>
      <w:r w:rsidRPr="00006F01">
        <w:rPr>
          <w:lang w:val="fr-FR"/>
        </w:rPr>
        <w:tab/>
        <w:t>Autres questions</w:t>
      </w:r>
    </w:p>
    <w:p w14:paraId="50E30CEC" w14:textId="77777777" w:rsidR="00006F01" w:rsidRPr="00006F01" w:rsidRDefault="00006F01" w:rsidP="00831A38">
      <w:pPr>
        <w:pStyle w:val="H23G"/>
        <w:rPr>
          <w:lang w:val="fr-FR"/>
        </w:rPr>
      </w:pPr>
      <w:r w:rsidRPr="00006F01">
        <w:rPr>
          <w:lang w:val="fr-FR"/>
        </w:rPr>
        <w:tab/>
        <w:t>1.</w:t>
      </w:r>
      <w:r w:rsidRPr="00006F01">
        <w:rPr>
          <w:lang w:val="fr-FR"/>
        </w:rPr>
        <w:tab/>
        <w:t>Corrections à apporter aux mentions de danger H410, H411 et H412</w:t>
      </w:r>
    </w:p>
    <w:p w14:paraId="31738E1B" w14:textId="77777777" w:rsidR="00006F01" w:rsidRPr="00006F01" w:rsidRDefault="00006F01" w:rsidP="00831A38">
      <w:pPr>
        <w:pStyle w:val="SingleTxtG"/>
        <w:ind w:left="3402" w:hanging="2268"/>
        <w:jc w:val="left"/>
        <w:rPr>
          <w:lang w:val="fr-FR"/>
        </w:rPr>
      </w:pPr>
      <w:r w:rsidRPr="00006F01">
        <w:rPr>
          <w:i/>
          <w:iCs/>
          <w:lang w:val="fr-FR"/>
        </w:rPr>
        <w:t>Document(s) </w:t>
      </w:r>
      <w:r w:rsidRPr="00066B2D">
        <w:rPr>
          <w:lang w:val="fr-FR"/>
        </w:rPr>
        <w:t>:</w:t>
      </w:r>
      <w:r w:rsidRPr="00006F01">
        <w:rPr>
          <w:lang w:val="fr-FR"/>
        </w:rPr>
        <w:tab/>
      </w:r>
      <w:r w:rsidRPr="00006F01">
        <w:rPr>
          <w:lang w:val="fr-FR"/>
        </w:rPr>
        <w:tab/>
        <w:t>ST/SG/AC.10/C.4/2019/8 (secrétariat)</w:t>
      </w:r>
    </w:p>
    <w:p w14:paraId="391F6984" w14:textId="77777777" w:rsidR="00006F01" w:rsidRPr="00006F01" w:rsidRDefault="00006F01" w:rsidP="00006F01">
      <w:pPr>
        <w:pStyle w:val="SingleTxtG"/>
        <w:rPr>
          <w:lang w:val="fr-FR"/>
        </w:rPr>
      </w:pPr>
      <w:r w:rsidRPr="00006F01">
        <w:rPr>
          <w:lang w:val="fr-FR"/>
        </w:rPr>
        <w:t>41.</w:t>
      </w:r>
      <w:r w:rsidRPr="00006F01">
        <w:rPr>
          <w:lang w:val="fr-FR"/>
        </w:rPr>
        <w:tab/>
        <w:t>Le Sous-Comité a adopté les corrections proposées (voir annexe II). Les experts de la Chine et de la Fédération de Russie ont confirmé que les versions chinoise et russe étaient correctes.</w:t>
      </w:r>
    </w:p>
    <w:p w14:paraId="051FC047" w14:textId="77777777" w:rsidR="00006F01" w:rsidRPr="00006F01" w:rsidRDefault="00006F01" w:rsidP="00831A38">
      <w:pPr>
        <w:pStyle w:val="H23G"/>
        <w:rPr>
          <w:lang w:val="fr-FR"/>
        </w:rPr>
      </w:pPr>
      <w:r w:rsidRPr="00006F01">
        <w:rPr>
          <w:lang w:val="fr-FR"/>
        </w:rPr>
        <w:tab/>
        <w:t>2.</w:t>
      </w:r>
      <w:r w:rsidRPr="00006F01">
        <w:rPr>
          <w:lang w:val="fr-FR"/>
        </w:rPr>
        <w:tab/>
        <w:t xml:space="preserve">Proposition de clarification pour le titre de la section 9 du document guide </w:t>
      </w:r>
      <w:r w:rsidR="00831A38">
        <w:rPr>
          <w:lang w:val="fr-FR"/>
        </w:rPr>
        <w:br/>
      </w:r>
      <w:r w:rsidRPr="00006F01">
        <w:rPr>
          <w:lang w:val="fr-FR"/>
        </w:rPr>
        <w:t>sur l</w:t>
      </w:r>
      <w:r w:rsidR="00975D4C">
        <w:rPr>
          <w:lang w:val="fr-FR"/>
        </w:rPr>
        <w:t>’</w:t>
      </w:r>
      <w:r w:rsidRPr="00006F01">
        <w:rPr>
          <w:lang w:val="fr-FR"/>
        </w:rPr>
        <w:t>élaboration de fiches de données de sécurité</w:t>
      </w:r>
    </w:p>
    <w:p w14:paraId="2E2016AC" w14:textId="77777777" w:rsidR="00006F01" w:rsidRPr="00006F01" w:rsidRDefault="00006F01" w:rsidP="00831A38">
      <w:pPr>
        <w:pStyle w:val="SingleTxtG"/>
        <w:ind w:left="3402" w:hanging="2268"/>
        <w:jc w:val="left"/>
        <w:rPr>
          <w:lang w:val="fr-FR"/>
        </w:rPr>
      </w:pPr>
      <w:r w:rsidRPr="00006F01">
        <w:rPr>
          <w:i/>
          <w:iCs/>
          <w:lang w:val="fr-FR"/>
        </w:rPr>
        <w:t xml:space="preserve">Document(s) </w:t>
      </w:r>
      <w:r w:rsidRPr="00831A38">
        <w:rPr>
          <w:lang w:val="fr-FR"/>
        </w:rPr>
        <w:t>:</w:t>
      </w:r>
      <w:r w:rsidRPr="00006F01">
        <w:rPr>
          <w:lang w:val="fr-FR"/>
        </w:rPr>
        <w:tab/>
      </w:r>
      <w:r w:rsidRPr="00006F01">
        <w:rPr>
          <w:lang w:val="fr-FR"/>
        </w:rPr>
        <w:tab/>
        <w:t>ST/SG/AC.10/C.4/2019/13 (Australie et Canada)</w:t>
      </w:r>
    </w:p>
    <w:p w14:paraId="201284C6" w14:textId="77777777" w:rsidR="00006F01" w:rsidRPr="00006F01" w:rsidRDefault="00006F01" w:rsidP="00006F01">
      <w:pPr>
        <w:pStyle w:val="SingleTxtG"/>
        <w:rPr>
          <w:lang w:val="fr-FR"/>
        </w:rPr>
      </w:pPr>
      <w:r w:rsidRPr="00006F01">
        <w:rPr>
          <w:lang w:val="fr-FR"/>
        </w:rPr>
        <w:t>42.</w:t>
      </w:r>
      <w:r w:rsidRPr="00006F01">
        <w:rPr>
          <w:lang w:val="fr-FR"/>
        </w:rPr>
        <w:tab/>
        <w:t>Le Sous-Comité a adopté les modifications proposées (voir annexe I).</w:t>
      </w:r>
    </w:p>
    <w:p w14:paraId="017C73EE" w14:textId="77777777" w:rsidR="00006F01" w:rsidRPr="00006F01" w:rsidRDefault="00006F01" w:rsidP="00831A38">
      <w:pPr>
        <w:pStyle w:val="HChG"/>
        <w:rPr>
          <w:lang w:val="fr-FR"/>
        </w:rPr>
      </w:pPr>
      <w:r w:rsidRPr="00006F01">
        <w:rPr>
          <w:lang w:val="fr-FR"/>
        </w:rPr>
        <w:tab/>
        <w:t>V.</w:t>
      </w:r>
      <w:r w:rsidRPr="00006F01">
        <w:rPr>
          <w:lang w:val="fr-FR"/>
        </w:rPr>
        <w:tab/>
        <w:t>Mise en œuvre du SGH (point 4 de l</w:t>
      </w:r>
      <w:r w:rsidR="00975D4C">
        <w:rPr>
          <w:lang w:val="fr-FR"/>
        </w:rPr>
        <w:t>’</w:t>
      </w:r>
      <w:r w:rsidRPr="00006F01">
        <w:rPr>
          <w:lang w:val="fr-FR"/>
        </w:rPr>
        <w:t>ordre du jour)</w:t>
      </w:r>
    </w:p>
    <w:p w14:paraId="1E781654" w14:textId="77777777" w:rsidR="00006F01" w:rsidRPr="00006F01" w:rsidRDefault="00006F01" w:rsidP="00831A38">
      <w:pPr>
        <w:pStyle w:val="H1G"/>
        <w:rPr>
          <w:lang w:val="fr-FR"/>
        </w:rPr>
      </w:pPr>
      <w:r w:rsidRPr="00006F01">
        <w:rPr>
          <w:lang w:val="fr-FR"/>
        </w:rPr>
        <w:tab/>
        <w:t>A.</w:t>
      </w:r>
      <w:r w:rsidRPr="00006F01">
        <w:rPr>
          <w:lang w:val="fr-FR"/>
        </w:rPr>
        <w:tab/>
        <w:t>Possibilité d</w:t>
      </w:r>
      <w:r w:rsidR="00975D4C">
        <w:rPr>
          <w:lang w:val="fr-FR"/>
        </w:rPr>
        <w:t>’</w:t>
      </w:r>
      <w:r w:rsidRPr="00006F01">
        <w:rPr>
          <w:lang w:val="fr-FR"/>
        </w:rPr>
        <w:t>élaboration d</w:t>
      </w:r>
      <w:r w:rsidR="00975D4C">
        <w:rPr>
          <w:lang w:val="fr-FR"/>
        </w:rPr>
        <w:t>’</w:t>
      </w:r>
      <w:r w:rsidRPr="00006F01">
        <w:rPr>
          <w:lang w:val="fr-FR"/>
        </w:rPr>
        <w:t>une liste des produits chimiques classés conformément au SGH</w:t>
      </w:r>
    </w:p>
    <w:p w14:paraId="7FFD5613"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INF.27 (Canada et États-Unis d</w:t>
      </w:r>
      <w:r w:rsidR="00975D4C">
        <w:rPr>
          <w:lang w:val="fr-FR"/>
        </w:rPr>
        <w:t>’</w:t>
      </w:r>
      <w:r w:rsidRPr="00006F01">
        <w:rPr>
          <w:lang w:val="fr-FR"/>
        </w:rPr>
        <w:t>Amérique)</w:t>
      </w:r>
    </w:p>
    <w:p w14:paraId="34DC2022" w14:textId="77777777" w:rsidR="00006F01" w:rsidRPr="00006F01" w:rsidRDefault="00006F01" w:rsidP="00006F01">
      <w:pPr>
        <w:pStyle w:val="SingleTxtG"/>
        <w:rPr>
          <w:lang w:val="fr-FR"/>
        </w:rPr>
      </w:pPr>
      <w:r w:rsidRPr="00006F01">
        <w:rPr>
          <w:lang w:val="fr-FR"/>
        </w:rPr>
        <w:t>43.</w:t>
      </w:r>
      <w:r w:rsidRPr="00006F01">
        <w:rPr>
          <w:lang w:val="fr-FR"/>
        </w:rPr>
        <w:tab/>
        <w:t>Le Sous-Comité a pris note des informations sur les progrès réalisés par le groupe de travail informel en vue de l</w:t>
      </w:r>
      <w:r w:rsidR="00975D4C">
        <w:rPr>
          <w:lang w:val="fr-FR"/>
        </w:rPr>
        <w:t>’</w:t>
      </w:r>
      <w:r w:rsidRPr="00006F01">
        <w:rPr>
          <w:lang w:val="fr-FR"/>
        </w:rPr>
        <w:t>établissement d</w:t>
      </w:r>
      <w:r w:rsidR="00975D4C">
        <w:rPr>
          <w:lang w:val="fr-FR"/>
        </w:rPr>
        <w:t>’</w:t>
      </w:r>
      <w:r w:rsidRPr="00006F01">
        <w:rPr>
          <w:lang w:val="fr-FR"/>
        </w:rPr>
        <w:t>une liste mondiale des produits chimiques classés conformément au SGH, comme indiqué dans le document informel INF.27. Il a encouragé le groupe informel à poursuivre ses travaux relevant des filières de travail 1 et 2 et à le tenir informé à ce sujet à sa session suivante.</w:t>
      </w:r>
    </w:p>
    <w:p w14:paraId="7BC998EE" w14:textId="77777777" w:rsidR="00006F01" w:rsidRPr="00006F01" w:rsidRDefault="00006F01" w:rsidP="00831A38">
      <w:pPr>
        <w:pStyle w:val="H1G"/>
        <w:rPr>
          <w:lang w:val="fr-FR"/>
        </w:rPr>
      </w:pPr>
      <w:r w:rsidRPr="00006F01">
        <w:rPr>
          <w:lang w:val="fr-FR"/>
        </w:rPr>
        <w:tab/>
        <w:t>B.</w:t>
      </w:r>
      <w:r w:rsidRPr="00006F01">
        <w:rPr>
          <w:lang w:val="fr-FR"/>
        </w:rPr>
        <w:tab/>
        <w:t>Rapports relatifs à l</w:t>
      </w:r>
      <w:r w:rsidR="00975D4C">
        <w:rPr>
          <w:lang w:val="fr-FR"/>
        </w:rPr>
        <w:t>’</w:t>
      </w:r>
      <w:r w:rsidRPr="00006F01">
        <w:rPr>
          <w:lang w:val="fr-FR"/>
        </w:rPr>
        <w:t>état de la mise en œuvre</w:t>
      </w:r>
    </w:p>
    <w:p w14:paraId="7FFCE7D4" w14:textId="77777777" w:rsidR="00006F01" w:rsidRPr="00006F01" w:rsidRDefault="00006F01" w:rsidP="00831A38">
      <w:pPr>
        <w:pStyle w:val="H23G"/>
        <w:rPr>
          <w:lang w:val="fr-FR"/>
        </w:rPr>
      </w:pPr>
      <w:r w:rsidRPr="00006F01">
        <w:rPr>
          <w:lang w:val="fr-FR"/>
        </w:rPr>
        <w:tab/>
        <w:t>1.</w:t>
      </w:r>
      <w:r w:rsidRPr="00006F01">
        <w:rPr>
          <w:lang w:val="fr-FR"/>
        </w:rPr>
        <w:tab/>
        <w:t>Australie</w:t>
      </w:r>
    </w:p>
    <w:p w14:paraId="2456BC82"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INF.5 (Australie)</w:t>
      </w:r>
    </w:p>
    <w:p w14:paraId="2E8A90E2" w14:textId="77777777" w:rsidR="00006F01" w:rsidRPr="00006F01" w:rsidRDefault="00006F01" w:rsidP="00006F01">
      <w:pPr>
        <w:pStyle w:val="SingleTxtG"/>
        <w:rPr>
          <w:lang w:val="fr-FR"/>
        </w:rPr>
      </w:pPr>
      <w:r w:rsidRPr="00006F01">
        <w:rPr>
          <w:lang w:val="fr-FR"/>
        </w:rPr>
        <w:t>44.</w:t>
      </w:r>
      <w:r w:rsidRPr="00006F01">
        <w:rPr>
          <w:lang w:val="fr-FR"/>
        </w:rPr>
        <w:tab/>
        <w:t>Le Sous-Comité a accueilli avec intérêt les informations sur l</w:t>
      </w:r>
      <w:r w:rsidR="00975D4C">
        <w:rPr>
          <w:lang w:val="fr-FR"/>
        </w:rPr>
        <w:t>’</w:t>
      </w:r>
      <w:r w:rsidRPr="00006F01">
        <w:rPr>
          <w:lang w:val="fr-FR"/>
        </w:rPr>
        <w:t>état de la mise en œuvre du SGH en Australie.</w:t>
      </w:r>
    </w:p>
    <w:p w14:paraId="14E4F6C9" w14:textId="77777777" w:rsidR="00006F01" w:rsidRPr="00006F01" w:rsidRDefault="00006F01" w:rsidP="00831A38">
      <w:pPr>
        <w:pStyle w:val="H23G"/>
        <w:rPr>
          <w:lang w:val="fr-FR"/>
        </w:rPr>
      </w:pPr>
      <w:r w:rsidRPr="00006F01">
        <w:rPr>
          <w:lang w:val="fr-FR"/>
        </w:rPr>
        <w:tab/>
        <w:t>2.</w:t>
      </w:r>
      <w:r w:rsidRPr="00006F01">
        <w:rPr>
          <w:lang w:val="fr-FR"/>
        </w:rPr>
        <w:tab/>
        <w:t>Union européenne</w:t>
      </w:r>
    </w:p>
    <w:p w14:paraId="2EDC37D7" w14:textId="77777777" w:rsidR="00006F01" w:rsidRPr="00831A38" w:rsidRDefault="00006F01" w:rsidP="00006F01">
      <w:pPr>
        <w:pStyle w:val="SingleTxtG"/>
        <w:rPr>
          <w:spacing w:val="-2"/>
          <w:lang w:val="fr-FR"/>
        </w:rPr>
      </w:pPr>
      <w:r w:rsidRPr="00831A38">
        <w:rPr>
          <w:spacing w:val="-2"/>
          <w:lang w:val="fr-FR"/>
        </w:rPr>
        <w:t>45.</w:t>
      </w:r>
      <w:r w:rsidRPr="00831A38">
        <w:rPr>
          <w:spacing w:val="-2"/>
          <w:lang w:val="fr-FR"/>
        </w:rPr>
        <w:tab/>
        <w:t>Le représentant de l</w:t>
      </w:r>
      <w:r w:rsidR="00975D4C">
        <w:rPr>
          <w:spacing w:val="-2"/>
          <w:lang w:val="fr-FR"/>
        </w:rPr>
        <w:t>’</w:t>
      </w:r>
      <w:r w:rsidRPr="00831A38">
        <w:rPr>
          <w:spacing w:val="-2"/>
          <w:lang w:val="fr-FR"/>
        </w:rPr>
        <w:t>Union européenne a informé le Sous-Comité qu</w:t>
      </w:r>
      <w:r w:rsidR="00975D4C">
        <w:rPr>
          <w:spacing w:val="-2"/>
          <w:lang w:val="fr-FR"/>
        </w:rPr>
        <w:t>’</w:t>
      </w:r>
      <w:r w:rsidRPr="00831A38">
        <w:rPr>
          <w:spacing w:val="-2"/>
          <w:lang w:val="fr-FR"/>
        </w:rPr>
        <w:t xml:space="preserve">une proposition de texte législatif portant sur la mise en œuvre des dispositions des sixième et septième éditions révisées du SGH en ce qui concerne les fiches de données de sécurité était en cours de discussion et serait probablement adoptée en vue de son entrée en vigueur </w:t>
      </w:r>
      <w:proofErr w:type="gramStart"/>
      <w:r w:rsidRPr="00831A38">
        <w:rPr>
          <w:spacing w:val="-2"/>
          <w:lang w:val="fr-FR"/>
        </w:rPr>
        <w:t>d</w:t>
      </w:r>
      <w:r w:rsidR="00975D4C">
        <w:rPr>
          <w:spacing w:val="-2"/>
          <w:lang w:val="fr-FR"/>
        </w:rPr>
        <w:t>’</w:t>
      </w:r>
      <w:r w:rsidRPr="00831A38">
        <w:rPr>
          <w:spacing w:val="-2"/>
          <w:lang w:val="fr-FR"/>
        </w:rPr>
        <w:t>ici la</w:t>
      </w:r>
      <w:proofErr w:type="gramEnd"/>
      <w:r w:rsidRPr="00831A38">
        <w:rPr>
          <w:spacing w:val="-2"/>
          <w:lang w:val="fr-FR"/>
        </w:rPr>
        <w:t xml:space="preserve"> mi</w:t>
      </w:r>
      <w:r w:rsidR="00916057">
        <w:rPr>
          <w:spacing w:val="-2"/>
          <w:lang w:val="fr-FR"/>
        </w:rPr>
        <w:t>-</w:t>
      </w:r>
      <w:r w:rsidRPr="00831A38">
        <w:rPr>
          <w:spacing w:val="-2"/>
          <w:lang w:val="fr-FR"/>
        </w:rPr>
        <w:t>2020.</w:t>
      </w:r>
    </w:p>
    <w:p w14:paraId="5156FD22" w14:textId="77777777" w:rsidR="00006F01" w:rsidRPr="00006F01" w:rsidRDefault="00006F01" w:rsidP="00831A38">
      <w:pPr>
        <w:pStyle w:val="H23G"/>
        <w:rPr>
          <w:lang w:val="fr-FR"/>
        </w:rPr>
      </w:pPr>
      <w:r w:rsidRPr="00006F01">
        <w:rPr>
          <w:lang w:val="fr-FR"/>
        </w:rPr>
        <w:tab/>
        <w:t>3.</w:t>
      </w:r>
      <w:r w:rsidRPr="00006F01">
        <w:rPr>
          <w:lang w:val="fr-FR"/>
        </w:rPr>
        <w:tab/>
        <w:t>Nouvelle-Zélande et Communauté andine</w:t>
      </w:r>
    </w:p>
    <w:p w14:paraId="1139ECE0"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INF.13 (secrétariat)</w:t>
      </w:r>
    </w:p>
    <w:p w14:paraId="764119F3" w14:textId="77777777" w:rsidR="00006F01" w:rsidRPr="00006F01" w:rsidRDefault="00006F01" w:rsidP="00006F01">
      <w:pPr>
        <w:pStyle w:val="SingleTxtG"/>
        <w:rPr>
          <w:lang w:val="fr-FR"/>
        </w:rPr>
      </w:pPr>
      <w:r w:rsidRPr="00006F01">
        <w:rPr>
          <w:lang w:val="fr-FR"/>
        </w:rPr>
        <w:lastRenderedPageBreak/>
        <w:t>46.</w:t>
      </w:r>
      <w:r w:rsidRPr="00006F01">
        <w:rPr>
          <w:lang w:val="fr-FR"/>
        </w:rPr>
        <w:tab/>
        <w:t>Le Sous-Comité a pris note de l</w:t>
      </w:r>
      <w:r w:rsidR="00975D4C">
        <w:rPr>
          <w:lang w:val="fr-FR"/>
        </w:rPr>
        <w:t>’</w:t>
      </w:r>
      <w:r w:rsidRPr="00006F01">
        <w:rPr>
          <w:lang w:val="fr-FR"/>
        </w:rPr>
        <w:t>état d</w:t>
      </w:r>
      <w:r w:rsidR="00975D4C">
        <w:rPr>
          <w:lang w:val="fr-FR"/>
        </w:rPr>
        <w:t>’</w:t>
      </w:r>
      <w:r w:rsidRPr="00006F01">
        <w:rPr>
          <w:lang w:val="fr-FR"/>
        </w:rPr>
        <w:t>avancement de la mise en œuvre du SGH dans la Communauté andine et en Nouvelle-Zélande.</w:t>
      </w:r>
    </w:p>
    <w:p w14:paraId="3A8D718B" w14:textId="77777777" w:rsidR="00006F01" w:rsidRPr="00006F01" w:rsidRDefault="00006F01" w:rsidP="00831A38">
      <w:pPr>
        <w:pStyle w:val="H23G"/>
        <w:rPr>
          <w:lang w:val="fr-FR"/>
        </w:rPr>
      </w:pPr>
      <w:r w:rsidRPr="00006F01">
        <w:rPr>
          <w:lang w:val="fr-FR"/>
        </w:rPr>
        <w:tab/>
        <w:t>4.</w:t>
      </w:r>
      <w:r w:rsidRPr="00006F01">
        <w:rPr>
          <w:lang w:val="fr-FR"/>
        </w:rPr>
        <w:tab/>
        <w:t>Canada et États-Unis d</w:t>
      </w:r>
      <w:r w:rsidR="00975D4C">
        <w:rPr>
          <w:lang w:val="fr-FR"/>
        </w:rPr>
        <w:t>’</w:t>
      </w:r>
      <w:r w:rsidRPr="00006F01">
        <w:rPr>
          <w:lang w:val="fr-FR"/>
        </w:rPr>
        <w:t>Amérique</w:t>
      </w:r>
    </w:p>
    <w:p w14:paraId="5F49BB7C" w14:textId="77777777" w:rsidR="00006F01" w:rsidRPr="00006F01" w:rsidRDefault="00006F01" w:rsidP="00006F01">
      <w:pPr>
        <w:pStyle w:val="SingleTxtG"/>
        <w:rPr>
          <w:lang w:val="fr-FR"/>
        </w:rPr>
      </w:pPr>
      <w:r w:rsidRPr="00006F01">
        <w:rPr>
          <w:lang w:val="fr-FR"/>
        </w:rPr>
        <w:t>47.</w:t>
      </w:r>
      <w:r w:rsidRPr="00006F01">
        <w:rPr>
          <w:lang w:val="fr-FR"/>
        </w:rPr>
        <w:tab/>
        <w:t>L</w:t>
      </w:r>
      <w:r w:rsidR="00975D4C">
        <w:rPr>
          <w:lang w:val="fr-FR"/>
        </w:rPr>
        <w:t>’</w:t>
      </w:r>
      <w:r w:rsidRPr="00006F01">
        <w:rPr>
          <w:lang w:val="fr-FR"/>
        </w:rPr>
        <w:t>experte des États-Unis d</w:t>
      </w:r>
      <w:r w:rsidR="00975D4C">
        <w:rPr>
          <w:lang w:val="fr-FR"/>
        </w:rPr>
        <w:t>’</w:t>
      </w:r>
      <w:r w:rsidRPr="00006F01">
        <w:rPr>
          <w:lang w:val="fr-FR"/>
        </w:rPr>
        <w:t>Amérique a annoncé qu</w:t>
      </w:r>
      <w:r w:rsidR="00975D4C">
        <w:rPr>
          <w:lang w:val="fr-FR"/>
        </w:rPr>
        <w:t>’</w:t>
      </w:r>
      <w:r w:rsidRPr="00006F01">
        <w:rPr>
          <w:lang w:val="fr-FR"/>
        </w:rPr>
        <w:t>une proposition concernant la procédure à suivre pour l</w:t>
      </w:r>
      <w:r w:rsidR="00975D4C">
        <w:rPr>
          <w:lang w:val="fr-FR"/>
        </w:rPr>
        <w:t>’</w:t>
      </w:r>
      <w:r w:rsidRPr="00006F01">
        <w:rPr>
          <w:lang w:val="fr-FR"/>
        </w:rPr>
        <w:t>alignement de la réglementation sur la septième édition révisée du SGH devait être publiée au début de l</w:t>
      </w:r>
      <w:r w:rsidR="00975D4C">
        <w:rPr>
          <w:lang w:val="fr-FR"/>
        </w:rPr>
        <w:t>’</w:t>
      </w:r>
      <w:r w:rsidRPr="00006F01">
        <w:rPr>
          <w:lang w:val="fr-FR"/>
        </w:rPr>
        <w:t>année prochaine. L</w:t>
      </w:r>
      <w:r w:rsidR="00975D4C">
        <w:rPr>
          <w:lang w:val="fr-FR"/>
        </w:rPr>
        <w:t>’</w:t>
      </w:r>
      <w:r w:rsidRPr="00006F01">
        <w:rPr>
          <w:lang w:val="fr-FR"/>
        </w:rPr>
        <w:t>expert du Canada a déclaré que son pays était en train de mettre en œuvre la septième édition révisée du SGH.</w:t>
      </w:r>
    </w:p>
    <w:p w14:paraId="2AAA63A8" w14:textId="77777777" w:rsidR="00006F01" w:rsidRPr="00006F01" w:rsidRDefault="00006F01" w:rsidP="00831A38">
      <w:pPr>
        <w:pStyle w:val="H23G"/>
        <w:rPr>
          <w:lang w:val="fr-FR"/>
        </w:rPr>
      </w:pPr>
      <w:r w:rsidRPr="00006F01">
        <w:rPr>
          <w:lang w:val="fr-FR"/>
        </w:rPr>
        <w:tab/>
        <w:t>5.</w:t>
      </w:r>
      <w:r w:rsidRPr="00006F01">
        <w:rPr>
          <w:lang w:val="fr-FR"/>
        </w:rPr>
        <w:tab/>
        <w:t>Informations relatives à l</w:t>
      </w:r>
      <w:r w:rsidR="00975D4C">
        <w:rPr>
          <w:lang w:val="fr-FR"/>
        </w:rPr>
        <w:t>’</w:t>
      </w:r>
      <w:r w:rsidRPr="00006F01">
        <w:rPr>
          <w:lang w:val="fr-FR"/>
        </w:rPr>
        <w:t>état d</w:t>
      </w:r>
      <w:r w:rsidR="00975D4C">
        <w:rPr>
          <w:lang w:val="fr-FR"/>
        </w:rPr>
        <w:t>’</w:t>
      </w:r>
      <w:r w:rsidRPr="00006F01">
        <w:rPr>
          <w:lang w:val="fr-FR"/>
        </w:rPr>
        <w:t>avancement de la mise en œuvre du SGH</w:t>
      </w:r>
    </w:p>
    <w:p w14:paraId="65BDF52D" w14:textId="77777777" w:rsidR="00006F01" w:rsidRPr="00006F01" w:rsidRDefault="00006F01" w:rsidP="00831A38">
      <w:pPr>
        <w:pStyle w:val="SingleTxtG"/>
        <w:ind w:left="3402" w:hanging="2268"/>
        <w:jc w:val="left"/>
        <w:rPr>
          <w:lang w:val="fr-FR"/>
        </w:rPr>
      </w:pPr>
      <w:r w:rsidRPr="00006F01">
        <w:rPr>
          <w:i/>
          <w:iCs/>
          <w:lang w:val="fr-FR"/>
        </w:rPr>
        <w:t>Document(s) informel(s)</w:t>
      </w:r>
      <w:r w:rsidRPr="00831A38">
        <w:rPr>
          <w:lang w:val="fr-FR"/>
        </w:rPr>
        <w:t xml:space="preserve"> :</w:t>
      </w:r>
      <w:r w:rsidRPr="00006F01">
        <w:rPr>
          <w:lang w:val="fr-FR"/>
        </w:rPr>
        <w:tab/>
      </w:r>
      <w:r w:rsidRPr="00006F01">
        <w:rPr>
          <w:lang w:val="fr-FR"/>
        </w:rPr>
        <w:tab/>
        <w:t>INF.19 (</w:t>
      </w:r>
      <w:proofErr w:type="spellStart"/>
      <w:r w:rsidRPr="00006F01">
        <w:rPr>
          <w:lang w:val="fr-FR"/>
        </w:rPr>
        <w:t>Cefic</w:t>
      </w:r>
      <w:proofErr w:type="spellEnd"/>
      <w:r w:rsidRPr="00006F01">
        <w:rPr>
          <w:lang w:val="fr-FR"/>
        </w:rPr>
        <w:t>)</w:t>
      </w:r>
    </w:p>
    <w:p w14:paraId="4373B4AF" w14:textId="77777777" w:rsidR="00006F01" w:rsidRPr="00006F01" w:rsidRDefault="00006F01" w:rsidP="00006F01">
      <w:pPr>
        <w:pStyle w:val="SingleTxtG"/>
        <w:rPr>
          <w:lang w:val="fr-FR"/>
        </w:rPr>
      </w:pPr>
      <w:r w:rsidRPr="00006F01">
        <w:rPr>
          <w:lang w:val="fr-FR"/>
        </w:rPr>
        <w:t>48.</w:t>
      </w:r>
      <w:r w:rsidRPr="00006F01">
        <w:rPr>
          <w:lang w:val="fr-FR"/>
        </w:rPr>
        <w:tab/>
        <w:t xml:space="preserve">Le Sous-Comité a pris note avec intérêt des dernières informations relatives aux travaux menés sur le modèle élaboré par le </w:t>
      </w:r>
      <w:proofErr w:type="spellStart"/>
      <w:r w:rsidRPr="00006F01">
        <w:rPr>
          <w:lang w:val="fr-FR"/>
        </w:rPr>
        <w:t>Cefic</w:t>
      </w:r>
      <w:proofErr w:type="spellEnd"/>
      <w:r w:rsidRPr="00006F01">
        <w:rPr>
          <w:lang w:val="fr-FR"/>
        </w:rPr>
        <w:t xml:space="preserve"> et suggéré d</w:t>
      </w:r>
      <w:r w:rsidR="00975D4C">
        <w:rPr>
          <w:lang w:val="fr-FR"/>
        </w:rPr>
        <w:t>’</w:t>
      </w:r>
      <w:r w:rsidRPr="00006F01">
        <w:rPr>
          <w:lang w:val="fr-FR"/>
        </w:rPr>
        <w:t xml:space="preserve">intégrer à ce modèle une colonne dans laquelle figureraient des informations sur la mise en place des valeurs limites pour les mélanges. Le représentant du </w:t>
      </w:r>
      <w:proofErr w:type="spellStart"/>
      <w:r w:rsidRPr="00006F01">
        <w:rPr>
          <w:lang w:val="fr-FR"/>
        </w:rPr>
        <w:t>Cefic</w:t>
      </w:r>
      <w:proofErr w:type="spellEnd"/>
      <w:r w:rsidRPr="00006F01">
        <w:rPr>
          <w:lang w:val="fr-FR"/>
        </w:rPr>
        <w:t xml:space="preserve"> a offert de faire parvenir au secrétariat et aux experts intéressés un rapport du </w:t>
      </w:r>
      <w:proofErr w:type="spellStart"/>
      <w:r w:rsidRPr="00006F01">
        <w:rPr>
          <w:lang w:val="fr-FR"/>
        </w:rPr>
        <w:t>Cefic</w:t>
      </w:r>
      <w:proofErr w:type="spellEnd"/>
      <w:r w:rsidRPr="00006F01">
        <w:rPr>
          <w:lang w:val="fr-FR"/>
        </w:rPr>
        <w:t xml:space="preserve"> sur l</w:t>
      </w:r>
      <w:r w:rsidR="00975D4C">
        <w:rPr>
          <w:lang w:val="fr-FR"/>
        </w:rPr>
        <w:t>’</w:t>
      </w:r>
      <w:r w:rsidRPr="00006F01">
        <w:rPr>
          <w:lang w:val="fr-FR"/>
        </w:rPr>
        <w:t>état d</w:t>
      </w:r>
      <w:r w:rsidR="00975D4C">
        <w:rPr>
          <w:lang w:val="fr-FR"/>
        </w:rPr>
        <w:t>’</w:t>
      </w:r>
      <w:r w:rsidRPr="00006F01">
        <w:rPr>
          <w:lang w:val="fr-FR"/>
        </w:rPr>
        <w:t>avancement de la mise en œuvre du SGH dans le monde. Après un échange de vues, le Sous-Comité a accueilli favorablement l</w:t>
      </w:r>
      <w:r w:rsidR="00975D4C">
        <w:rPr>
          <w:lang w:val="fr-FR"/>
        </w:rPr>
        <w:t>’</w:t>
      </w:r>
      <w:r w:rsidRPr="00006F01">
        <w:rPr>
          <w:lang w:val="fr-FR"/>
        </w:rPr>
        <w:t>offre du secrétariat, qui s</w:t>
      </w:r>
      <w:r w:rsidR="00975D4C">
        <w:rPr>
          <w:lang w:val="fr-FR"/>
        </w:rPr>
        <w:t>’</w:t>
      </w:r>
      <w:r w:rsidRPr="00006F01">
        <w:rPr>
          <w:lang w:val="fr-FR"/>
        </w:rPr>
        <w:t xml:space="preserve">est proposé de soumettre, pour la session suivante, un document informel dans lequel seraient reprises les informations communiquées par le </w:t>
      </w:r>
      <w:proofErr w:type="spellStart"/>
      <w:r w:rsidRPr="00006F01">
        <w:rPr>
          <w:lang w:val="fr-FR"/>
        </w:rPr>
        <w:t>Cefic</w:t>
      </w:r>
      <w:proofErr w:type="spellEnd"/>
      <w:r w:rsidRPr="00006F01">
        <w:rPr>
          <w:lang w:val="fr-FR"/>
        </w:rPr>
        <w:t>. Les experts ont été invités à partager toute information dont ils pourraient disposer sur l</w:t>
      </w:r>
      <w:r w:rsidR="00975D4C">
        <w:rPr>
          <w:lang w:val="fr-FR"/>
        </w:rPr>
        <w:t>’</w:t>
      </w:r>
      <w:r w:rsidRPr="00006F01">
        <w:rPr>
          <w:lang w:val="fr-FR"/>
        </w:rPr>
        <w:t>état d</w:t>
      </w:r>
      <w:r w:rsidR="00975D4C">
        <w:rPr>
          <w:lang w:val="fr-FR"/>
        </w:rPr>
        <w:t>’</w:t>
      </w:r>
      <w:r w:rsidRPr="00006F01">
        <w:rPr>
          <w:lang w:val="fr-FR"/>
        </w:rPr>
        <w:t>avancement de la mise en œuvre du SGH.</w:t>
      </w:r>
    </w:p>
    <w:p w14:paraId="48E788A6" w14:textId="77777777" w:rsidR="00006F01" w:rsidRPr="00006F01" w:rsidRDefault="00006F01" w:rsidP="00831A38">
      <w:pPr>
        <w:pStyle w:val="H1G"/>
        <w:rPr>
          <w:lang w:val="fr-FR"/>
        </w:rPr>
      </w:pPr>
      <w:r w:rsidRPr="00006F01">
        <w:rPr>
          <w:lang w:val="fr-FR"/>
        </w:rPr>
        <w:tab/>
        <w:t>C.</w:t>
      </w:r>
      <w:r w:rsidRPr="00006F01">
        <w:rPr>
          <w:lang w:val="fr-FR"/>
        </w:rPr>
        <w:tab/>
        <w:t>Coopération avec d</w:t>
      </w:r>
      <w:r w:rsidR="00975D4C">
        <w:rPr>
          <w:lang w:val="fr-FR"/>
        </w:rPr>
        <w:t>’</w:t>
      </w:r>
      <w:r w:rsidRPr="00006F01">
        <w:rPr>
          <w:lang w:val="fr-FR"/>
        </w:rPr>
        <w:t>autres organes ou organisations internationales</w:t>
      </w:r>
    </w:p>
    <w:p w14:paraId="7572116F" w14:textId="77777777" w:rsidR="00006F01" w:rsidRPr="00006F01" w:rsidRDefault="00006F01" w:rsidP="00831A38">
      <w:pPr>
        <w:pStyle w:val="H23G"/>
        <w:rPr>
          <w:lang w:val="fr-FR"/>
        </w:rPr>
      </w:pPr>
      <w:r w:rsidRPr="00006F01">
        <w:rPr>
          <w:lang w:val="fr-FR"/>
        </w:rPr>
        <w:tab/>
        <w:t>1.</w:t>
      </w:r>
      <w:r w:rsidRPr="00006F01">
        <w:rPr>
          <w:lang w:val="fr-FR"/>
        </w:rPr>
        <w:tab/>
        <w:t>Examen et mise à jour des références aux documents d</w:t>
      </w:r>
      <w:r w:rsidR="00975D4C">
        <w:rPr>
          <w:lang w:val="fr-FR"/>
        </w:rPr>
        <w:t>’</w:t>
      </w:r>
      <w:r w:rsidRPr="00006F01">
        <w:rPr>
          <w:lang w:val="fr-FR"/>
        </w:rPr>
        <w:t>orientation et aux lignes directrices pour les essais de l</w:t>
      </w:r>
      <w:r w:rsidR="00975D4C">
        <w:rPr>
          <w:lang w:val="fr-FR"/>
        </w:rPr>
        <w:t>’</w:t>
      </w:r>
      <w:r w:rsidRPr="00006F01">
        <w:rPr>
          <w:lang w:val="fr-FR"/>
        </w:rPr>
        <w:t>OCDE dans le SGH</w:t>
      </w:r>
    </w:p>
    <w:p w14:paraId="3413B3F4" w14:textId="77777777" w:rsidR="00006F01" w:rsidRPr="00006F01" w:rsidRDefault="00006F01" w:rsidP="00831A38">
      <w:pPr>
        <w:pStyle w:val="SingleTxtG"/>
        <w:ind w:left="3402" w:hanging="2268"/>
        <w:jc w:val="left"/>
        <w:rPr>
          <w:lang w:val="en-GB"/>
        </w:rPr>
      </w:pPr>
      <w:r w:rsidRPr="00006F01">
        <w:rPr>
          <w:i/>
          <w:iCs/>
          <w:lang w:val="en-US"/>
        </w:rPr>
        <w:t>Document(s</w:t>
      </w:r>
      <w:proofErr w:type="gramStart"/>
      <w:r w:rsidRPr="00006F01">
        <w:rPr>
          <w:i/>
          <w:iCs/>
          <w:lang w:val="en-US"/>
        </w:rPr>
        <w:t xml:space="preserve">) </w:t>
      </w:r>
      <w:r w:rsidRPr="00831A38">
        <w:rPr>
          <w:lang w:val="en-US"/>
        </w:rPr>
        <w:t>:</w:t>
      </w:r>
      <w:proofErr w:type="gramEnd"/>
      <w:r w:rsidRPr="00831A38">
        <w:rPr>
          <w:lang w:val="en-US"/>
        </w:rPr>
        <w:t xml:space="preserve"> </w:t>
      </w:r>
      <w:r w:rsidRPr="00006F01">
        <w:rPr>
          <w:lang w:val="en-US"/>
        </w:rPr>
        <w:tab/>
      </w:r>
      <w:r w:rsidRPr="00006F01">
        <w:rPr>
          <w:lang w:val="en-US"/>
        </w:rPr>
        <w:tab/>
        <w:t>ST/SG/AC.10/C.4/2019/14 (OCDE)</w:t>
      </w:r>
    </w:p>
    <w:p w14:paraId="72EB6F61"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INF.3 (OCDE)</w:t>
      </w:r>
      <w:r w:rsidR="00831A38">
        <w:rPr>
          <w:lang w:val="fr-FR"/>
        </w:rPr>
        <w:br/>
      </w:r>
      <w:r w:rsidRPr="00006F01">
        <w:rPr>
          <w:lang w:val="fr-FR"/>
        </w:rPr>
        <w:t>INF.9 (secrétariat)</w:t>
      </w:r>
    </w:p>
    <w:p w14:paraId="4D1CD0FA" w14:textId="77777777" w:rsidR="00006F01" w:rsidRPr="00006F01" w:rsidRDefault="00006F01" w:rsidP="00006F01">
      <w:pPr>
        <w:pStyle w:val="SingleTxtG"/>
        <w:rPr>
          <w:lang w:val="fr-FR"/>
        </w:rPr>
      </w:pPr>
      <w:r w:rsidRPr="00006F01">
        <w:rPr>
          <w:lang w:val="fr-FR"/>
        </w:rPr>
        <w:t>49.</w:t>
      </w:r>
      <w:r w:rsidRPr="00006F01">
        <w:rPr>
          <w:lang w:val="fr-FR"/>
        </w:rPr>
        <w:tab/>
        <w:t>Le Sous-Comité a adopté les propositions de modifications concernant les chapitres</w:t>
      </w:r>
      <w:r w:rsidR="00831A38">
        <w:rPr>
          <w:lang w:val="fr-FR"/>
        </w:rPr>
        <w:t> </w:t>
      </w:r>
      <w:r w:rsidRPr="00006F01">
        <w:rPr>
          <w:lang w:val="fr-FR"/>
        </w:rPr>
        <w:t>3.2 et 3.5 (voir annexe I), ainsi que le paragraphe A9.5.2.3.5 (voir annexe II), telles que soumises dans le document ST/SG/AC.10/C.4/2019/14.</w:t>
      </w:r>
    </w:p>
    <w:p w14:paraId="6589E0A8" w14:textId="77777777" w:rsidR="00006F01" w:rsidRPr="00006F01" w:rsidRDefault="00006F01" w:rsidP="00006F01">
      <w:pPr>
        <w:pStyle w:val="SingleTxtG"/>
        <w:rPr>
          <w:lang w:val="fr-FR"/>
        </w:rPr>
      </w:pPr>
      <w:r w:rsidRPr="00006F01">
        <w:rPr>
          <w:lang w:val="fr-FR"/>
        </w:rPr>
        <w:t>50.</w:t>
      </w:r>
      <w:r w:rsidRPr="00006F01">
        <w:rPr>
          <w:lang w:val="fr-FR"/>
        </w:rPr>
        <w:tab/>
        <w:t>Le Sous-Comité s</w:t>
      </w:r>
      <w:r w:rsidR="00975D4C">
        <w:rPr>
          <w:lang w:val="fr-FR"/>
        </w:rPr>
        <w:t>’</w:t>
      </w:r>
      <w:r w:rsidRPr="00006F01">
        <w:rPr>
          <w:lang w:val="fr-FR"/>
        </w:rPr>
        <w:t>est félicité de la proposition formulée dans le document informel</w:t>
      </w:r>
      <w:r w:rsidR="00831A38">
        <w:rPr>
          <w:lang w:val="fr-FR"/>
        </w:rPr>
        <w:t> </w:t>
      </w:r>
      <w:r w:rsidRPr="00006F01">
        <w:rPr>
          <w:lang w:val="fr-FR"/>
        </w:rPr>
        <w:t>INF.9, mais il était divisé sur la question de savoir laquelle des options 1 ou 2 était préférable. Le secrétariat a été invité à établir un document officiel pour la session suivante.</w:t>
      </w:r>
    </w:p>
    <w:p w14:paraId="757C8510" w14:textId="77777777" w:rsidR="00006F01" w:rsidRPr="00006F01" w:rsidRDefault="00006F01" w:rsidP="00831A38">
      <w:pPr>
        <w:pStyle w:val="H23G"/>
        <w:rPr>
          <w:lang w:val="fr-FR"/>
        </w:rPr>
      </w:pPr>
      <w:r w:rsidRPr="00006F01">
        <w:rPr>
          <w:lang w:val="fr-FR"/>
        </w:rPr>
        <w:tab/>
        <w:t>2.</w:t>
      </w:r>
      <w:r w:rsidRPr="00006F01">
        <w:rPr>
          <w:lang w:val="fr-FR"/>
        </w:rPr>
        <w:tab/>
        <w:t>Groupe d</w:t>
      </w:r>
      <w:r w:rsidR="00975D4C">
        <w:rPr>
          <w:lang w:val="fr-FR"/>
        </w:rPr>
        <w:t>’</w:t>
      </w:r>
      <w:r w:rsidRPr="00006F01">
        <w:rPr>
          <w:lang w:val="fr-FR"/>
        </w:rPr>
        <w:t>experts chargé de l</w:t>
      </w:r>
      <w:r w:rsidR="00975D4C">
        <w:rPr>
          <w:lang w:val="fr-FR"/>
        </w:rPr>
        <w:t>’</w:t>
      </w:r>
      <w:r w:rsidRPr="00006F01">
        <w:rPr>
          <w:lang w:val="fr-FR"/>
        </w:rPr>
        <w:t xml:space="preserve">examen des annexes à la Convention de Bâle </w:t>
      </w:r>
      <w:r w:rsidR="00AB5CB4">
        <w:rPr>
          <w:lang w:val="fr-FR"/>
        </w:rPr>
        <w:br/>
      </w:r>
      <w:r w:rsidRPr="00006F01">
        <w:rPr>
          <w:lang w:val="fr-FR"/>
        </w:rPr>
        <w:t xml:space="preserve">sur le contrôle des mouvements transfrontières de déchets dangereux </w:t>
      </w:r>
      <w:r w:rsidR="00AB5CB4">
        <w:rPr>
          <w:lang w:val="fr-FR"/>
        </w:rPr>
        <w:br/>
      </w:r>
      <w:r w:rsidRPr="00006F01">
        <w:rPr>
          <w:lang w:val="fr-FR"/>
        </w:rPr>
        <w:t>et de leur élimination</w:t>
      </w:r>
    </w:p>
    <w:p w14:paraId="4509B691"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INF.12 (secrétariat)</w:t>
      </w:r>
    </w:p>
    <w:p w14:paraId="20ADA6FA" w14:textId="77777777" w:rsidR="00006F01" w:rsidRPr="00006F01" w:rsidRDefault="00006F01" w:rsidP="00006F01">
      <w:pPr>
        <w:pStyle w:val="SingleTxtG"/>
        <w:rPr>
          <w:lang w:val="fr-FR"/>
        </w:rPr>
      </w:pPr>
      <w:r w:rsidRPr="00006F01">
        <w:rPr>
          <w:lang w:val="fr-FR"/>
        </w:rPr>
        <w:t>51.</w:t>
      </w:r>
      <w:r w:rsidRPr="00006F01">
        <w:rPr>
          <w:lang w:val="fr-FR"/>
        </w:rPr>
        <w:tab/>
        <w:t>Le Sous-Comité a pris note des informations sur l</w:t>
      </w:r>
      <w:r w:rsidR="00975D4C">
        <w:rPr>
          <w:lang w:val="fr-FR"/>
        </w:rPr>
        <w:t>’</w:t>
      </w:r>
      <w:r w:rsidRPr="00006F01">
        <w:rPr>
          <w:lang w:val="fr-FR"/>
        </w:rPr>
        <w:t>examen des annexes à la Convention de Bâle figurant dans le document informel INF.12.</w:t>
      </w:r>
    </w:p>
    <w:p w14:paraId="40EB978B" w14:textId="77777777" w:rsidR="00006F01" w:rsidRPr="00006F01" w:rsidRDefault="00006F01" w:rsidP="00831A38">
      <w:pPr>
        <w:pStyle w:val="H23G"/>
        <w:rPr>
          <w:lang w:val="fr-FR"/>
        </w:rPr>
      </w:pPr>
      <w:r w:rsidRPr="00006F01">
        <w:rPr>
          <w:lang w:val="fr-FR"/>
        </w:rPr>
        <w:tab/>
        <w:t>3.</w:t>
      </w:r>
      <w:r w:rsidRPr="00006F01">
        <w:rPr>
          <w:lang w:val="fr-FR"/>
        </w:rPr>
        <w:tab/>
        <w:t xml:space="preserve">Approche stratégique et gestion efficace des produits chimiques et des déchets </w:t>
      </w:r>
      <w:r w:rsidR="00831A38">
        <w:rPr>
          <w:lang w:val="fr-FR"/>
        </w:rPr>
        <w:br/>
      </w:r>
      <w:r w:rsidRPr="00006F01">
        <w:rPr>
          <w:lang w:val="fr-FR"/>
        </w:rPr>
        <w:t>après 2020</w:t>
      </w:r>
    </w:p>
    <w:p w14:paraId="2921775B"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INF.16 (secrétariat)</w:t>
      </w:r>
    </w:p>
    <w:p w14:paraId="03EC98F5" w14:textId="77777777" w:rsidR="00006F01" w:rsidRPr="00006F01" w:rsidRDefault="00006F01" w:rsidP="00006F01">
      <w:pPr>
        <w:pStyle w:val="SingleTxtG"/>
        <w:rPr>
          <w:lang w:val="fr-FR"/>
        </w:rPr>
      </w:pPr>
      <w:r w:rsidRPr="00006F01">
        <w:rPr>
          <w:lang w:val="fr-FR"/>
        </w:rPr>
        <w:t>52.</w:t>
      </w:r>
      <w:r w:rsidRPr="00006F01">
        <w:rPr>
          <w:lang w:val="fr-FR"/>
        </w:rPr>
        <w:tab/>
        <w:t>Le Sous-Comité a pris note des renseignements communiqués. Les États et les ONG ont été encouragés à fournir régulièrement des informations actualisées concernant l</w:t>
      </w:r>
      <w:r w:rsidR="00975D4C">
        <w:rPr>
          <w:lang w:val="fr-FR"/>
        </w:rPr>
        <w:t>’</w:t>
      </w:r>
      <w:r w:rsidRPr="00006F01">
        <w:rPr>
          <w:lang w:val="fr-FR"/>
        </w:rPr>
        <w:t>état d</w:t>
      </w:r>
      <w:r w:rsidR="00975D4C">
        <w:rPr>
          <w:lang w:val="fr-FR"/>
        </w:rPr>
        <w:t>’</w:t>
      </w:r>
      <w:r w:rsidRPr="00006F01">
        <w:rPr>
          <w:lang w:val="fr-FR"/>
        </w:rPr>
        <w:t>avancement de la mise en œuvre du SGH, afin que les informations figurant sur la page Web qui en permet le suivi soient à jour.</w:t>
      </w:r>
    </w:p>
    <w:p w14:paraId="26B499A4" w14:textId="77777777" w:rsidR="00006F01" w:rsidRPr="00006F01" w:rsidRDefault="00006F01" w:rsidP="00831A38">
      <w:pPr>
        <w:pStyle w:val="H1G"/>
        <w:rPr>
          <w:lang w:val="fr-FR"/>
        </w:rPr>
      </w:pPr>
      <w:r w:rsidRPr="00006F01">
        <w:rPr>
          <w:lang w:val="fr-FR"/>
        </w:rPr>
        <w:lastRenderedPageBreak/>
        <w:tab/>
        <w:t>D.</w:t>
      </w:r>
      <w:r w:rsidRPr="00006F01">
        <w:rPr>
          <w:lang w:val="fr-FR"/>
        </w:rPr>
        <w:tab/>
        <w:t>Autres questions</w:t>
      </w:r>
    </w:p>
    <w:p w14:paraId="7976E99D" w14:textId="77777777" w:rsidR="00006F01" w:rsidRPr="00006F01" w:rsidRDefault="00006F01" w:rsidP="00006F01">
      <w:pPr>
        <w:pStyle w:val="SingleTxtG"/>
        <w:rPr>
          <w:lang w:val="fr-FR"/>
        </w:rPr>
      </w:pPr>
      <w:r w:rsidRPr="00006F01">
        <w:rPr>
          <w:lang w:val="fr-FR"/>
        </w:rPr>
        <w:t>53.</w:t>
      </w:r>
      <w:r w:rsidRPr="00006F01">
        <w:rPr>
          <w:lang w:val="fr-FR"/>
        </w:rPr>
        <w:tab/>
        <w:t>Aucun document n</w:t>
      </w:r>
      <w:r w:rsidR="00975D4C">
        <w:rPr>
          <w:lang w:val="fr-FR"/>
        </w:rPr>
        <w:t>’</w:t>
      </w:r>
      <w:r w:rsidRPr="00006F01">
        <w:rPr>
          <w:lang w:val="fr-FR"/>
        </w:rPr>
        <w:t>ayant été soumis au titre de ce point de l</w:t>
      </w:r>
      <w:r w:rsidR="00975D4C">
        <w:rPr>
          <w:lang w:val="fr-FR"/>
        </w:rPr>
        <w:t>’</w:t>
      </w:r>
      <w:r w:rsidRPr="00006F01">
        <w:rPr>
          <w:lang w:val="fr-FR"/>
        </w:rPr>
        <w:t>ordre du jour, aucune discussion n</w:t>
      </w:r>
      <w:r w:rsidR="00975D4C">
        <w:rPr>
          <w:lang w:val="fr-FR"/>
        </w:rPr>
        <w:t>’</w:t>
      </w:r>
      <w:r w:rsidRPr="00006F01">
        <w:rPr>
          <w:lang w:val="fr-FR"/>
        </w:rPr>
        <w:t>a eu lieu sur cette question.</w:t>
      </w:r>
    </w:p>
    <w:p w14:paraId="61ED1F59" w14:textId="77777777" w:rsidR="00006F01" w:rsidRPr="00006F01" w:rsidRDefault="00006F01" w:rsidP="00831A38">
      <w:pPr>
        <w:pStyle w:val="HChG"/>
        <w:rPr>
          <w:lang w:val="fr-FR"/>
        </w:rPr>
      </w:pPr>
      <w:r w:rsidRPr="00006F01">
        <w:rPr>
          <w:lang w:val="fr-FR"/>
        </w:rPr>
        <w:tab/>
        <w:t>VI.</w:t>
      </w:r>
      <w:r w:rsidRPr="00006F01">
        <w:rPr>
          <w:lang w:val="fr-FR"/>
        </w:rPr>
        <w:tab/>
        <w:t>Mise au point de directives pour l</w:t>
      </w:r>
      <w:r w:rsidR="00975D4C">
        <w:rPr>
          <w:lang w:val="fr-FR"/>
        </w:rPr>
        <w:t>’</w:t>
      </w:r>
      <w:r w:rsidRPr="00006F01">
        <w:rPr>
          <w:lang w:val="fr-FR"/>
        </w:rPr>
        <w:t xml:space="preserve">application des critères </w:t>
      </w:r>
      <w:r w:rsidR="00831A38">
        <w:rPr>
          <w:lang w:val="fr-FR"/>
        </w:rPr>
        <w:br/>
      </w:r>
      <w:r w:rsidRPr="00006F01">
        <w:rPr>
          <w:lang w:val="fr-FR"/>
        </w:rPr>
        <w:t>du SGH (point 5 de l</w:t>
      </w:r>
      <w:r w:rsidR="00975D4C">
        <w:rPr>
          <w:lang w:val="fr-FR"/>
        </w:rPr>
        <w:t>’</w:t>
      </w:r>
      <w:r w:rsidRPr="00006F01">
        <w:rPr>
          <w:lang w:val="fr-FR"/>
        </w:rPr>
        <w:t>ordre du jour)</w:t>
      </w:r>
    </w:p>
    <w:p w14:paraId="60D88826" w14:textId="77777777" w:rsidR="00006F01" w:rsidRPr="00006F01" w:rsidRDefault="00006F01" w:rsidP="00831A38">
      <w:pPr>
        <w:pStyle w:val="SingleTxtG"/>
        <w:ind w:left="3402" w:hanging="2268"/>
        <w:jc w:val="left"/>
        <w:rPr>
          <w:lang w:val="en-GB"/>
        </w:rPr>
      </w:pPr>
      <w:r w:rsidRPr="00006F01">
        <w:rPr>
          <w:i/>
          <w:iCs/>
          <w:lang w:val="en-US"/>
        </w:rPr>
        <w:t xml:space="preserve">Document(s) </w:t>
      </w:r>
      <w:proofErr w:type="spellStart"/>
      <w:r w:rsidRPr="00006F01">
        <w:rPr>
          <w:i/>
          <w:iCs/>
          <w:lang w:val="en-US"/>
        </w:rPr>
        <w:t>informel</w:t>
      </w:r>
      <w:proofErr w:type="spellEnd"/>
      <w:r w:rsidRPr="00006F01">
        <w:rPr>
          <w:i/>
          <w:iCs/>
          <w:lang w:val="en-US"/>
        </w:rPr>
        <w:t>(s</w:t>
      </w:r>
      <w:proofErr w:type="gramStart"/>
      <w:r w:rsidRPr="00006F01">
        <w:rPr>
          <w:i/>
          <w:iCs/>
          <w:lang w:val="en-US"/>
        </w:rPr>
        <w:t xml:space="preserve">) </w:t>
      </w:r>
      <w:r w:rsidRPr="00831A38">
        <w:rPr>
          <w:lang w:val="en-US"/>
        </w:rPr>
        <w:t>:</w:t>
      </w:r>
      <w:proofErr w:type="gramEnd"/>
      <w:r w:rsidRPr="00006F01">
        <w:rPr>
          <w:lang w:val="en-US"/>
        </w:rPr>
        <w:tab/>
      </w:r>
      <w:r w:rsidRPr="00006F01">
        <w:rPr>
          <w:lang w:val="en-US"/>
        </w:rPr>
        <w:tab/>
        <w:t>INF.24 (IPIECA)</w:t>
      </w:r>
    </w:p>
    <w:p w14:paraId="6DEC0C71" w14:textId="77777777" w:rsidR="00006F01" w:rsidRPr="00006F01" w:rsidRDefault="00006F01" w:rsidP="00006F01">
      <w:pPr>
        <w:pStyle w:val="SingleTxtG"/>
        <w:rPr>
          <w:lang w:val="fr-FR"/>
        </w:rPr>
      </w:pPr>
      <w:r w:rsidRPr="00006F01">
        <w:rPr>
          <w:lang w:val="fr-FR"/>
        </w:rPr>
        <w:t>54.</w:t>
      </w:r>
      <w:r w:rsidRPr="00006F01">
        <w:rPr>
          <w:lang w:val="fr-FR"/>
        </w:rPr>
        <w:tab/>
        <w:t>Le Sous-Comité a pris note des informations concernant la dernière mise à jour des directives de l</w:t>
      </w:r>
      <w:r w:rsidR="00975D4C">
        <w:rPr>
          <w:lang w:val="fr-FR"/>
        </w:rPr>
        <w:t>’</w:t>
      </w:r>
      <w:r w:rsidRPr="00006F01">
        <w:rPr>
          <w:lang w:val="fr-FR"/>
        </w:rPr>
        <w:t>IPIECA pour l</w:t>
      </w:r>
      <w:r w:rsidR="00975D4C">
        <w:rPr>
          <w:lang w:val="fr-FR"/>
        </w:rPr>
        <w:t>’</w:t>
      </w:r>
      <w:r w:rsidRPr="00006F01">
        <w:rPr>
          <w:lang w:val="fr-FR"/>
        </w:rPr>
        <w:t>application des critères du SGH aux matières pétrolières et a invité le secrétariat à les publier sur la page Web des orientations relatives au SGH.</w:t>
      </w:r>
    </w:p>
    <w:p w14:paraId="13A647CF" w14:textId="77777777" w:rsidR="00006F01" w:rsidRPr="00006F01" w:rsidRDefault="00006F01" w:rsidP="00831A38">
      <w:pPr>
        <w:pStyle w:val="HChG"/>
        <w:rPr>
          <w:lang w:val="fr-FR"/>
        </w:rPr>
      </w:pPr>
      <w:r w:rsidRPr="00006F01">
        <w:rPr>
          <w:lang w:val="fr-FR"/>
        </w:rPr>
        <w:tab/>
        <w:t>VII.</w:t>
      </w:r>
      <w:r w:rsidRPr="00006F01">
        <w:rPr>
          <w:lang w:val="fr-FR"/>
        </w:rPr>
        <w:tab/>
        <w:t>Renforcement des capacités (point 6 de l</w:t>
      </w:r>
      <w:r w:rsidR="00975D4C">
        <w:rPr>
          <w:lang w:val="fr-FR"/>
        </w:rPr>
        <w:t>’</w:t>
      </w:r>
      <w:r w:rsidRPr="00006F01">
        <w:rPr>
          <w:lang w:val="fr-FR"/>
        </w:rPr>
        <w:t>ordre du jour)</w:t>
      </w:r>
    </w:p>
    <w:p w14:paraId="6D1D944E"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31A38">
        <w:rPr>
          <w:lang w:val="fr-FR"/>
        </w:rPr>
        <w:t>:</w:t>
      </w:r>
      <w:r w:rsidRPr="00006F01">
        <w:rPr>
          <w:lang w:val="fr-FR"/>
        </w:rPr>
        <w:tab/>
      </w:r>
      <w:r w:rsidRPr="00006F01">
        <w:rPr>
          <w:lang w:val="fr-FR"/>
        </w:rPr>
        <w:tab/>
        <w:t>INF.24 (ICCA)</w:t>
      </w:r>
    </w:p>
    <w:p w14:paraId="22CF78D0" w14:textId="77777777" w:rsidR="00006F01" w:rsidRPr="00006F01" w:rsidRDefault="00006F01" w:rsidP="00006F01">
      <w:pPr>
        <w:pStyle w:val="SingleTxtG"/>
        <w:rPr>
          <w:lang w:val="fr-FR"/>
        </w:rPr>
      </w:pPr>
      <w:r w:rsidRPr="00006F01">
        <w:rPr>
          <w:lang w:val="fr-FR"/>
        </w:rPr>
        <w:t>55.</w:t>
      </w:r>
      <w:r w:rsidRPr="00006F01">
        <w:rPr>
          <w:lang w:val="fr-FR"/>
        </w:rPr>
        <w:tab/>
        <w:t>Le Sous-Comité s</w:t>
      </w:r>
      <w:r w:rsidR="00975D4C">
        <w:rPr>
          <w:lang w:val="fr-FR"/>
        </w:rPr>
        <w:t>’</w:t>
      </w:r>
      <w:r w:rsidRPr="00006F01">
        <w:rPr>
          <w:lang w:val="fr-FR"/>
        </w:rPr>
        <w:t>est félicité des activités de sensibilisation et de renforcement des capacités concernant le SGH menées par l</w:t>
      </w:r>
      <w:r w:rsidR="00975D4C">
        <w:rPr>
          <w:lang w:val="fr-FR"/>
        </w:rPr>
        <w:t>’</w:t>
      </w:r>
      <w:r w:rsidRPr="00006F01">
        <w:rPr>
          <w:lang w:val="fr-FR"/>
        </w:rPr>
        <w:t>ICCA dans différentes régions du monde. Le représentant de l</w:t>
      </w:r>
      <w:r w:rsidR="00975D4C">
        <w:rPr>
          <w:lang w:val="fr-FR"/>
        </w:rPr>
        <w:t>’</w:t>
      </w:r>
      <w:r w:rsidRPr="00006F01">
        <w:rPr>
          <w:lang w:val="fr-FR"/>
        </w:rPr>
        <w:t>UNITAR a complété ce tableau en faisant part d</w:t>
      </w:r>
      <w:r w:rsidR="00975D4C">
        <w:rPr>
          <w:lang w:val="fr-FR"/>
        </w:rPr>
        <w:t>’</w:t>
      </w:r>
      <w:r w:rsidRPr="00006F01">
        <w:rPr>
          <w:lang w:val="fr-FR"/>
        </w:rPr>
        <w:t>activités similaires menées par son organisation.</w:t>
      </w:r>
    </w:p>
    <w:p w14:paraId="0C5A7C70" w14:textId="77777777" w:rsidR="00006F01" w:rsidRPr="00006F01" w:rsidRDefault="00006F01" w:rsidP="00831A38">
      <w:pPr>
        <w:pStyle w:val="HChG"/>
        <w:rPr>
          <w:lang w:val="fr-FR"/>
        </w:rPr>
      </w:pPr>
      <w:r w:rsidRPr="00006F01">
        <w:rPr>
          <w:lang w:val="fr-FR"/>
        </w:rPr>
        <w:tab/>
        <w:t>VIII.</w:t>
      </w:r>
      <w:r w:rsidRPr="00006F01">
        <w:rPr>
          <w:lang w:val="fr-FR"/>
        </w:rPr>
        <w:tab/>
        <w:t>Questions diverses (point 7 de l</w:t>
      </w:r>
      <w:r w:rsidR="00975D4C">
        <w:rPr>
          <w:lang w:val="fr-FR"/>
        </w:rPr>
        <w:t>’</w:t>
      </w:r>
      <w:r w:rsidRPr="00006F01">
        <w:rPr>
          <w:lang w:val="fr-FR"/>
        </w:rPr>
        <w:t>ordre du jour)</w:t>
      </w:r>
    </w:p>
    <w:p w14:paraId="066482FF" w14:textId="77777777" w:rsidR="00006F01" w:rsidRPr="00006F01" w:rsidRDefault="00006F01" w:rsidP="00831A38">
      <w:pPr>
        <w:pStyle w:val="H1G"/>
        <w:rPr>
          <w:lang w:val="fr-FR"/>
        </w:rPr>
      </w:pPr>
      <w:r w:rsidRPr="00006F01">
        <w:rPr>
          <w:lang w:val="fr-FR"/>
        </w:rPr>
        <w:tab/>
        <w:t>A.</w:t>
      </w:r>
      <w:r w:rsidRPr="00006F01">
        <w:rPr>
          <w:lang w:val="fr-FR"/>
        </w:rPr>
        <w:tab/>
        <w:t>Condoléances</w:t>
      </w:r>
    </w:p>
    <w:p w14:paraId="59022DDA" w14:textId="77777777" w:rsidR="00006F01" w:rsidRPr="00006F01" w:rsidRDefault="00006F01" w:rsidP="00006F01">
      <w:pPr>
        <w:pStyle w:val="SingleTxtG"/>
        <w:rPr>
          <w:lang w:val="fr-FR"/>
        </w:rPr>
      </w:pPr>
      <w:r w:rsidRPr="00006F01">
        <w:rPr>
          <w:lang w:val="fr-FR"/>
        </w:rPr>
        <w:t>56.</w:t>
      </w:r>
      <w:r w:rsidRPr="00006F01">
        <w:rPr>
          <w:lang w:val="fr-FR"/>
        </w:rPr>
        <w:tab/>
        <w:t>Le Sous-Comité a appris avec une grande tristesse que M</w:t>
      </w:r>
      <w:r w:rsidRPr="00006F01">
        <w:rPr>
          <w:vertAlign w:val="superscript"/>
          <w:lang w:val="fr-FR"/>
        </w:rPr>
        <w:t>me</w:t>
      </w:r>
      <w:r w:rsidRPr="00006F01">
        <w:rPr>
          <w:lang w:val="fr-FR"/>
        </w:rPr>
        <w:t xml:space="preserve"> Jennifer </w:t>
      </w:r>
      <w:proofErr w:type="spellStart"/>
      <w:r w:rsidRPr="00006F01">
        <w:rPr>
          <w:lang w:val="fr-FR"/>
        </w:rPr>
        <w:t>Silk</w:t>
      </w:r>
      <w:proofErr w:type="spellEnd"/>
      <w:r w:rsidRPr="00006F01">
        <w:rPr>
          <w:lang w:val="fr-FR"/>
        </w:rPr>
        <w:t xml:space="preserve"> était décédée le 22 octobre 2019. M</w:t>
      </w:r>
      <w:r w:rsidRPr="00006F01">
        <w:rPr>
          <w:vertAlign w:val="superscript"/>
          <w:lang w:val="fr-FR"/>
        </w:rPr>
        <w:t>me</w:t>
      </w:r>
      <w:r w:rsidRPr="00006F01">
        <w:rPr>
          <w:lang w:val="fr-FR"/>
        </w:rPr>
        <w:t> </w:t>
      </w:r>
      <w:proofErr w:type="spellStart"/>
      <w:r w:rsidRPr="00006F01">
        <w:rPr>
          <w:lang w:val="fr-FR"/>
        </w:rPr>
        <w:t>Silk</w:t>
      </w:r>
      <w:proofErr w:type="spellEnd"/>
      <w:r w:rsidRPr="00006F01">
        <w:rPr>
          <w:lang w:val="fr-FR"/>
        </w:rPr>
        <w:t xml:space="preserve"> avait participé aux travaux sur le SGH dès les premières étapes de son élaboration, puis au-delà de son adoption et de sa mise en œuvre. Elle avait présidé le groupe international de coordination qui gérait l</w:t>
      </w:r>
      <w:r w:rsidR="00975D4C">
        <w:rPr>
          <w:lang w:val="fr-FR"/>
        </w:rPr>
        <w:t>’</w:t>
      </w:r>
      <w:r w:rsidRPr="00006F01">
        <w:rPr>
          <w:lang w:val="fr-FR"/>
        </w:rPr>
        <w:t>élaboration du SGH et participé aux sessions du Sous-Comité en tant que chef de la délégation des États-Unis d</w:t>
      </w:r>
      <w:r w:rsidR="00975D4C">
        <w:rPr>
          <w:lang w:val="fr-FR"/>
        </w:rPr>
        <w:t>’</w:t>
      </w:r>
      <w:r w:rsidRPr="00006F01">
        <w:rPr>
          <w:lang w:val="fr-FR"/>
        </w:rPr>
        <w:t>Amérique. Après son départ à la retraite, elle avait continué à travailler sur les questions relatives au SGH en tant que consultante et conseillère en formation auprès de l</w:t>
      </w:r>
      <w:r w:rsidR="00975D4C">
        <w:rPr>
          <w:lang w:val="fr-FR"/>
        </w:rPr>
        <w:t>’</w:t>
      </w:r>
      <w:r w:rsidRPr="00006F01">
        <w:rPr>
          <w:lang w:val="fr-FR"/>
        </w:rPr>
        <w:t>UNITAR. La Présidente a exprimé ses condoléances à la délégation des États-Unis d</w:t>
      </w:r>
      <w:r w:rsidR="00975D4C">
        <w:rPr>
          <w:lang w:val="fr-FR"/>
        </w:rPr>
        <w:t>’</w:t>
      </w:r>
      <w:r w:rsidRPr="00006F01">
        <w:rPr>
          <w:lang w:val="fr-FR"/>
        </w:rPr>
        <w:t>Amérique au nom du Sous-Comité, et invité cette dernière à les transmettre à la famille de M</w:t>
      </w:r>
      <w:r w:rsidRPr="00006F01">
        <w:rPr>
          <w:vertAlign w:val="superscript"/>
          <w:lang w:val="fr-FR"/>
        </w:rPr>
        <w:t>me</w:t>
      </w:r>
      <w:r w:rsidR="00916057">
        <w:rPr>
          <w:lang w:val="fr-FR"/>
        </w:rPr>
        <w:t> </w:t>
      </w:r>
      <w:proofErr w:type="spellStart"/>
      <w:r w:rsidRPr="00006F01">
        <w:rPr>
          <w:lang w:val="fr-FR"/>
        </w:rPr>
        <w:t>Silk</w:t>
      </w:r>
      <w:proofErr w:type="spellEnd"/>
      <w:r w:rsidRPr="00006F01">
        <w:rPr>
          <w:lang w:val="fr-FR"/>
        </w:rPr>
        <w:t>.</w:t>
      </w:r>
    </w:p>
    <w:p w14:paraId="43A5ED65" w14:textId="77777777" w:rsidR="00006F01" w:rsidRPr="00006F01" w:rsidRDefault="00006F01" w:rsidP="00831A38">
      <w:pPr>
        <w:pStyle w:val="H1G"/>
        <w:rPr>
          <w:lang w:val="fr-FR"/>
        </w:rPr>
      </w:pPr>
      <w:r w:rsidRPr="00006F01">
        <w:rPr>
          <w:lang w:val="fr-FR"/>
        </w:rPr>
        <w:tab/>
        <w:t>B.</w:t>
      </w:r>
      <w:r w:rsidRPr="00006F01">
        <w:rPr>
          <w:lang w:val="fr-FR"/>
        </w:rPr>
        <w:tab/>
      </w:r>
      <w:r w:rsidRPr="008536E1">
        <w:rPr>
          <w:spacing w:val="-2"/>
          <w:lang w:val="fr-FR"/>
        </w:rPr>
        <w:t>Définitions et utilisation de sigles, acronymes et abréviations dans le SGH</w:t>
      </w:r>
    </w:p>
    <w:p w14:paraId="4F91166E" w14:textId="77777777" w:rsidR="00006F01" w:rsidRPr="00006F01" w:rsidRDefault="00006F01" w:rsidP="00831A38">
      <w:pPr>
        <w:pStyle w:val="SingleTxtG"/>
        <w:ind w:left="3402" w:hanging="2268"/>
        <w:jc w:val="left"/>
        <w:rPr>
          <w:lang w:val="fr-FR"/>
        </w:rPr>
      </w:pPr>
      <w:r w:rsidRPr="00006F01">
        <w:rPr>
          <w:i/>
          <w:iCs/>
          <w:lang w:val="fr-FR"/>
        </w:rPr>
        <w:t xml:space="preserve">Document(s) informel(s) </w:t>
      </w:r>
      <w:r w:rsidRPr="008536E1">
        <w:rPr>
          <w:lang w:val="fr-FR"/>
        </w:rPr>
        <w:t>:</w:t>
      </w:r>
      <w:r w:rsidRPr="00006F01">
        <w:rPr>
          <w:lang w:val="fr-FR"/>
        </w:rPr>
        <w:tab/>
      </w:r>
      <w:r w:rsidRPr="00006F01">
        <w:rPr>
          <w:lang w:val="fr-FR"/>
        </w:rPr>
        <w:tab/>
        <w:t>INF.8 (secrétariat)</w:t>
      </w:r>
    </w:p>
    <w:p w14:paraId="0C165288" w14:textId="77777777" w:rsidR="00006F01" w:rsidRPr="00006F01" w:rsidRDefault="00006F01" w:rsidP="00006F01">
      <w:pPr>
        <w:pStyle w:val="SingleTxtG"/>
        <w:rPr>
          <w:lang w:val="fr-FR"/>
        </w:rPr>
      </w:pPr>
      <w:r w:rsidRPr="00006F01">
        <w:rPr>
          <w:lang w:val="fr-FR"/>
        </w:rPr>
        <w:t>57.</w:t>
      </w:r>
      <w:r w:rsidRPr="00006F01">
        <w:rPr>
          <w:lang w:val="fr-FR"/>
        </w:rPr>
        <w:tab/>
        <w:t>Le Sous-Comité a invité le secrétariat à soumettre un document officiel portant sur la proposition présentée dans le document informel INF.8. À la suite d</w:t>
      </w:r>
      <w:r w:rsidR="00975D4C">
        <w:rPr>
          <w:lang w:val="fr-FR"/>
        </w:rPr>
        <w:t>’</w:t>
      </w:r>
      <w:r w:rsidRPr="00006F01">
        <w:rPr>
          <w:lang w:val="fr-FR"/>
        </w:rPr>
        <w:t>une proposition de certains experts, le secrétariat a été invité à prévoir la possibilité de supprimer les définitions actuelles des dangers physiques au chapitre 1.2.</w:t>
      </w:r>
    </w:p>
    <w:p w14:paraId="4F68D358" w14:textId="77777777" w:rsidR="00006F01" w:rsidRPr="00006F01" w:rsidRDefault="00006F01" w:rsidP="008536E1">
      <w:pPr>
        <w:pStyle w:val="H1G"/>
        <w:rPr>
          <w:lang w:val="fr-FR"/>
        </w:rPr>
      </w:pPr>
      <w:r w:rsidRPr="00006F01">
        <w:rPr>
          <w:lang w:val="fr-FR"/>
        </w:rPr>
        <w:tab/>
        <w:t>C.</w:t>
      </w:r>
      <w:r w:rsidRPr="00006F01">
        <w:rPr>
          <w:lang w:val="fr-FR"/>
        </w:rPr>
        <w:tab/>
        <w:t>Session conjointe des Sous-Comités SGH et TMD</w:t>
      </w:r>
    </w:p>
    <w:p w14:paraId="0380A9B2" w14:textId="77777777" w:rsidR="00006F01" w:rsidRPr="00006F01" w:rsidRDefault="00006F01" w:rsidP="00006F01">
      <w:pPr>
        <w:pStyle w:val="SingleTxtG"/>
        <w:rPr>
          <w:lang w:val="fr-FR"/>
        </w:rPr>
      </w:pPr>
      <w:r w:rsidRPr="00006F01">
        <w:rPr>
          <w:lang w:val="fr-FR"/>
        </w:rPr>
        <w:t>58.</w:t>
      </w:r>
      <w:r w:rsidRPr="00006F01">
        <w:rPr>
          <w:lang w:val="fr-FR"/>
        </w:rPr>
        <w:tab/>
        <w:t>Le Sous-Comité a avancé l</w:t>
      </w:r>
      <w:r w:rsidR="00975D4C">
        <w:rPr>
          <w:lang w:val="fr-FR"/>
        </w:rPr>
        <w:t>’</w:t>
      </w:r>
      <w:r w:rsidRPr="00006F01">
        <w:rPr>
          <w:lang w:val="fr-FR"/>
        </w:rPr>
        <w:t>idée d</w:t>
      </w:r>
      <w:r w:rsidR="00975D4C">
        <w:rPr>
          <w:lang w:val="fr-FR"/>
        </w:rPr>
        <w:t>’</w:t>
      </w:r>
      <w:r w:rsidRPr="00006F01">
        <w:rPr>
          <w:lang w:val="fr-FR"/>
        </w:rPr>
        <w:t>une session conjointe avec le Sous-Comité TMD à la session suivante pour étudier la proposition relative à l</w:t>
      </w:r>
      <w:r w:rsidR="00975D4C">
        <w:rPr>
          <w:lang w:val="fr-FR"/>
        </w:rPr>
        <w:t>’</w:t>
      </w:r>
      <w:r w:rsidRPr="00006F01">
        <w:rPr>
          <w:lang w:val="fr-FR"/>
        </w:rPr>
        <w:t>examen du chapitre 2.1 et toute autre question intéressant les deux Sous-Comités. Le Président du Sous-Comité TMD a souscrit à cette suggestion. De plus amples informations seraient fournies dans l</w:t>
      </w:r>
      <w:r w:rsidR="00975D4C">
        <w:rPr>
          <w:lang w:val="fr-FR"/>
        </w:rPr>
        <w:t>’</w:t>
      </w:r>
      <w:r w:rsidRPr="00006F01">
        <w:rPr>
          <w:lang w:val="fr-FR"/>
        </w:rPr>
        <w:t>ordre du jour de la session suivante. Les experts ont été invités à informer le secrétariat de la session qu</w:t>
      </w:r>
      <w:r w:rsidR="00975D4C">
        <w:rPr>
          <w:lang w:val="fr-FR"/>
        </w:rPr>
        <w:t>’</w:t>
      </w:r>
      <w:r w:rsidRPr="00006F01">
        <w:rPr>
          <w:lang w:val="fr-FR"/>
        </w:rPr>
        <w:t>ils préféreraient pour l</w:t>
      </w:r>
      <w:r w:rsidR="00975D4C">
        <w:rPr>
          <w:lang w:val="fr-FR"/>
        </w:rPr>
        <w:t>’</w:t>
      </w:r>
      <w:r w:rsidRPr="00006F01">
        <w:rPr>
          <w:lang w:val="fr-FR"/>
        </w:rPr>
        <w:t>examen de leurs documents.</w:t>
      </w:r>
    </w:p>
    <w:p w14:paraId="79FAB327" w14:textId="77777777" w:rsidR="00006F01" w:rsidRPr="00006F01" w:rsidRDefault="00006F01" w:rsidP="00006F01">
      <w:pPr>
        <w:pStyle w:val="SingleTxtG"/>
        <w:rPr>
          <w:lang w:val="fr-FR"/>
        </w:rPr>
      </w:pPr>
      <w:r w:rsidRPr="00006F01">
        <w:rPr>
          <w:lang w:val="fr-FR"/>
        </w:rPr>
        <w:t>59.</w:t>
      </w:r>
      <w:r w:rsidRPr="00006F01">
        <w:rPr>
          <w:lang w:val="fr-FR"/>
        </w:rPr>
        <w:tab/>
        <w:t>Le Sous-Comité a pris note de la date limite de soumission des documents officiels pour la session suivante, à savoir le 9</w:t>
      </w:r>
      <w:r w:rsidR="00583607">
        <w:rPr>
          <w:lang w:val="fr-FR"/>
        </w:rPr>
        <w:t> </w:t>
      </w:r>
      <w:r w:rsidRPr="00006F01">
        <w:rPr>
          <w:lang w:val="fr-FR"/>
        </w:rPr>
        <w:t xml:space="preserve">avril 2020. La date limite de soumission des documents </w:t>
      </w:r>
      <w:r w:rsidRPr="00006F01">
        <w:rPr>
          <w:lang w:val="fr-FR"/>
        </w:rPr>
        <w:lastRenderedPageBreak/>
        <w:t>officiels que devraient examiner les deux Sous-Comités TMD et SGH était fixée au 3</w:t>
      </w:r>
      <w:r w:rsidR="008536E1">
        <w:rPr>
          <w:lang w:val="fr-FR"/>
        </w:rPr>
        <w:t> </w:t>
      </w:r>
      <w:r w:rsidRPr="00006F01">
        <w:rPr>
          <w:lang w:val="fr-FR"/>
        </w:rPr>
        <w:t>avril 2020.</w:t>
      </w:r>
    </w:p>
    <w:p w14:paraId="21B7E6CA" w14:textId="77777777" w:rsidR="00006F01" w:rsidRPr="00006F01" w:rsidRDefault="00006F01" w:rsidP="008536E1">
      <w:pPr>
        <w:pStyle w:val="HChG"/>
        <w:rPr>
          <w:lang w:val="fr-FR"/>
        </w:rPr>
      </w:pPr>
      <w:r w:rsidRPr="00006F01">
        <w:rPr>
          <w:lang w:val="fr-FR"/>
        </w:rPr>
        <w:tab/>
        <w:t>IX.</w:t>
      </w:r>
      <w:r w:rsidRPr="00006F01">
        <w:rPr>
          <w:lang w:val="fr-FR"/>
        </w:rPr>
        <w:tab/>
        <w:t>Adoption du rapport (point 8 de l</w:t>
      </w:r>
      <w:r w:rsidR="00975D4C">
        <w:rPr>
          <w:lang w:val="fr-FR"/>
        </w:rPr>
        <w:t>’</w:t>
      </w:r>
      <w:r w:rsidRPr="00006F01">
        <w:rPr>
          <w:lang w:val="fr-FR"/>
        </w:rPr>
        <w:t>ordre du jour)</w:t>
      </w:r>
    </w:p>
    <w:p w14:paraId="271DA488" w14:textId="77777777" w:rsidR="00975D4C" w:rsidRDefault="00006F01" w:rsidP="00006F01">
      <w:pPr>
        <w:pStyle w:val="SingleTxtG"/>
        <w:rPr>
          <w:lang w:val="fr-FR"/>
        </w:rPr>
      </w:pPr>
      <w:r w:rsidRPr="00006F01">
        <w:rPr>
          <w:lang w:val="fr-FR"/>
        </w:rPr>
        <w:t>60.</w:t>
      </w:r>
      <w:r w:rsidRPr="00006F01">
        <w:rPr>
          <w:lang w:val="fr-FR"/>
        </w:rPr>
        <w:tab/>
        <w:t>Conformément à la pratique établie, le Sous-Comité a adopté le rapport sur sa trente</w:t>
      </w:r>
      <w:r w:rsidR="007C467D">
        <w:rPr>
          <w:lang w:val="fr-FR"/>
        </w:rPr>
        <w:noBreakHyphen/>
      </w:r>
      <w:r w:rsidRPr="00006F01">
        <w:rPr>
          <w:lang w:val="fr-FR"/>
        </w:rPr>
        <w:t>huitième session, ainsi que ses annexes, sur la base d</w:t>
      </w:r>
      <w:r w:rsidR="00975D4C">
        <w:rPr>
          <w:lang w:val="fr-FR"/>
        </w:rPr>
        <w:t>’</w:t>
      </w:r>
      <w:r w:rsidRPr="00006F01">
        <w:rPr>
          <w:lang w:val="fr-FR"/>
        </w:rPr>
        <w:t>un projet établi par le secrétariat.</w:t>
      </w:r>
    </w:p>
    <w:p w14:paraId="373DC462" w14:textId="77777777" w:rsidR="00006F01" w:rsidRDefault="00975D4C" w:rsidP="00975D4C">
      <w:pPr>
        <w:pStyle w:val="HChG"/>
        <w:rPr>
          <w:lang w:val="fr-FR"/>
        </w:rPr>
      </w:pPr>
      <w:r>
        <w:rPr>
          <w:lang w:val="fr-FR"/>
        </w:rPr>
        <w:br w:type="page"/>
      </w:r>
      <w:r>
        <w:rPr>
          <w:lang w:val="fr-FR"/>
        </w:rPr>
        <w:lastRenderedPageBreak/>
        <w:t>Annexe I</w:t>
      </w:r>
    </w:p>
    <w:p w14:paraId="57A3A84F" w14:textId="77777777" w:rsidR="00975D4C" w:rsidRDefault="00975D4C" w:rsidP="00975D4C">
      <w:pPr>
        <w:pStyle w:val="SingleTxtG"/>
        <w:jc w:val="right"/>
        <w:rPr>
          <w:lang w:val="fr-FR"/>
        </w:rPr>
      </w:pPr>
      <w:r>
        <w:rPr>
          <w:lang w:val="fr-FR"/>
        </w:rPr>
        <w:t>[</w:t>
      </w:r>
      <w:r w:rsidRPr="00975D4C">
        <w:rPr>
          <w:i/>
          <w:iCs/>
          <w:lang w:val="fr-FR"/>
        </w:rPr>
        <w:t>Original : anglais et français</w:t>
      </w:r>
      <w:r>
        <w:rPr>
          <w:lang w:val="fr-FR"/>
        </w:rPr>
        <w:t>]</w:t>
      </w:r>
    </w:p>
    <w:p w14:paraId="3C7CCE31" w14:textId="77777777" w:rsidR="00975D4C" w:rsidRDefault="00975D4C" w:rsidP="00975D4C">
      <w:pPr>
        <w:pStyle w:val="HChG"/>
        <w:rPr>
          <w:lang w:val="fr-FR"/>
        </w:rPr>
      </w:pPr>
      <w:r>
        <w:rPr>
          <w:lang w:val="fr-FR"/>
        </w:rPr>
        <w:tab/>
      </w:r>
      <w:r w:rsidRPr="003A2882">
        <w:rPr>
          <w:lang w:val="fr-FR"/>
        </w:rPr>
        <w:tab/>
        <w:t>Projet d</w:t>
      </w:r>
      <w:r>
        <w:rPr>
          <w:lang w:val="fr-FR"/>
        </w:rPr>
        <w:t>’</w:t>
      </w:r>
      <w:r w:rsidRPr="003A2882">
        <w:rPr>
          <w:lang w:val="fr-FR"/>
        </w:rPr>
        <w:t xml:space="preserve">amendements à la </w:t>
      </w:r>
      <w:r>
        <w:rPr>
          <w:lang w:val="fr-FR"/>
        </w:rPr>
        <w:t xml:space="preserve">huitième </w:t>
      </w:r>
      <w:r w:rsidRPr="003A2882">
        <w:rPr>
          <w:lang w:val="fr-FR"/>
        </w:rPr>
        <w:t xml:space="preserve">édition révisée </w:t>
      </w:r>
      <w:r>
        <w:rPr>
          <w:lang w:val="fr-FR"/>
        </w:rPr>
        <w:br/>
        <w:t xml:space="preserve">du Système général harmonisé de classification </w:t>
      </w:r>
      <w:r>
        <w:rPr>
          <w:lang w:val="fr-FR"/>
        </w:rPr>
        <w:br/>
        <w:t>et d’étiquetage des produits chimiques (ST/SG/AC.10/30/Rev.8</w:t>
      </w:r>
      <w:r w:rsidRPr="003A2882">
        <w:rPr>
          <w:lang w:val="fr-FR"/>
        </w:rPr>
        <w:t>)</w:t>
      </w:r>
    </w:p>
    <w:p w14:paraId="1AFF126F" w14:textId="77777777" w:rsidR="00975D4C" w:rsidRDefault="00975D4C" w:rsidP="00975D4C">
      <w:pPr>
        <w:pStyle w:val="H1G"/>
      </w:pPr>
      <w:r>
        <w:rPr>
          <w:lang w:val="fr-FR"/>
        </w:rPr>
        <w:tab/>
      </w:r>
      <w:r>
        <w:rPr>
          <w:lang w:val="fr-FR"/>
        </w:rPr>
        <w:tab/>
      </w:r>
      <w:r>
        <w:t>Chapitre 1.2</w:t>
      </w:r>
    </w:p>
    <w:p w14:paraId="4672DDA1" w14:textId="77777777" w:rsidR="00975D4C" w:rsidRDefault="00975D4C" w:rsidP="00975D4C">
      <w:pPr>
        <w:pStyle w:val="SingleTxtG"/>
      </w:pPr>
      <w:r>
        <w:t>Modifier la</w:t>
      </w:r>
      <w:r w:rsidRPr="00702F78">
        <w:t xml:space="preserve"> définition de </w:t>
      </w:r>
      <w:r w:rsidRPr="00732937">
        <w:t>« </w:t>
      </w:r>
      <w:r w:rsidRPr="00AB26CB">
        <w:rPr>
          <w:b/>
          <w:bCs/>
          <w:i/>
          <w:iCs/>
        </w:rPr>
        <w:t>Recommandations relatives au transport des marchandises dangereuses, Règlement type</w:t>
      </w:r>
      <w:r w:rsidRPr="00732937">
        <w:t> »</w:t>
      </w:r>
      <w:r w:rsidRPr="00702F78">
        <w:t xml:space="preserve">, </w:t>
      </w:r>
      <w:r>
        <w:t xml:space="preserve">pour </w:t>
      </w:r>
      <w:r w:rsidRPr="00702F78">
        <w:t>lire</w:t>
      </w:r>
      <w:r>
        <w:t xml:space="preserve"> comme suit</w:t>
      </w:r>
      <w:r w:rsidRPr="00732937">
        <w:t> :</w:t>
      </w:r>
    </w:p>
    <w:p w14:paraId="3FAD30E5" w14:textId="77777777" w:rsidR="00975D4C" w:rsidRPr="00702F78" w:rsidRDefault="00975D4C" w:rsidP="00975D4C">
      <w:pPr>
        <w:pStyle w:val="SingleTxtG"/>
        <w:ind w:left="1701"/>
      </w:pPr>
      <w:r w:rsidRPr="00732937">
        <w:t>« </w:t>
      </w:r>
      <w:r w:rsidRPr="00702F78">
        <w:rPr>
          <w:b/>
          <w:bCs/>
          <w:i/>
          <w:iCs/>
        </w:rPr>
        <w:t>Règlement type de l</w:t>
      </w:r>
      <w:r>
        <w:rPr>
          <w:b/>
          <w:bCs/>
          <w:i/>
          <w:iCs/>
        </w:rPr>
        <w:t>’</w:t>
      </w:r>
      <w:r w:rsidRPr="00702F78">
        <w:rPr>
          <w:b/>
          <w:bCs/>
          <w:i/>
          <w:iCs/>
        </w:rPr>
        <w:t>ONU</w:t>
      </w:r>
      <w:r w:rsidRPr="00702F78">
        <w:t>, le Règlement type annexé à l</w:t>
      </w:r>
      <w:r>
        <w:t>’</w:t>
      </w:r>
      <w:r w:rsidRPr="00702F78">
        <w:t>édition révisée la plus récente des Recommandations relatives au transport des marchandises dangereuses publiée par l</w:t>
      </w:r>
      <w:r>
        <w:t>’</w:t>
      </w:r>
      <w:r w:rsidRPr="00702F78">
        <w:t>Organisation des Nations Unies</w:t>
      </w:r>
      <w:r w:rsidRPr="00732937">
        <w:t> ; »</w:t>
      </w:r>
      <w:r w:rsidRPr="00702F78">
        <w:t>.</w:t>
      </w:r>
    </w:p>
    <w:p w14:paraId="72399F00" w14:textId="77777777" w:rsidR="00975D4C" w:rsidRPr="0034375C" w:rsidRDefault="00975D4C" w:rsidP="00975D4C">
      <w:pPr>
        <w:pStyle w:val="SingleTxtG"/>
        <w:rPr>
          <w:i/>
        </w:rPr>
      </w:pPr>
      <w:r w:rsidRPr="0034375C">
        <w:rPr>
          <w:u w:val="single"/>
        </w:rPr>
        <w:t>Amendement de conséquence</w:t>
      </w:r>
      <w:r w:rsidRPr="0034375C">
        <w:t> : Remplacer toutes les références existantes (voir par. 2 ci</w:t>
      </w:r>
      <w:r>
        <w:noBreakHyphen/>
      </w:r>
      <w:r w:rsidRPr="0034375C">
        <w:t xml:space="preserve">avant) par « Règlement type </w:t>
      </w:r>
      <w:r w:rsidRPr="00975D4C">
        <w:t>de l’ONU</w:t>
      </w:r>
      <w:r w:rsidRPr="0034375C">
        <w:t> ».</w:t>
      </w:r>
    </w:p>
    <w:p w14:paraId="2795ACBA" w14:textId="77777777" w:rsidR="00975D4C" w:rsidRDefault="00975D4C" w:rsidP="00975D4C">
      <w:pPr>
        <w:pStyle w:val="SingleTxtG"/>
        <w:rPr>
          <w:i/>
          <w:iCs/>
        </w:rPr>
      </w:pPr>
      <w:r w:rsidRPr="00385B2E">
        <w:rPr>
          <w:i/>
          <w:iCs/>
        </w:rPr>
        <w:t>(</w:t>
      </w:r>
      <w:r>
        <w:rPr>
          <w:i/>
          <w:iCs/>
        </w:rPr>
        <w:t xml:space="preserve">Document de référence </w:t>
      </w:r>
      <w:r w:rsidRPr="00385B2E">
        <w:rPr>
          <w:i/>
          <w:iCs/>
        </w:rPr>
        <w:t>: ST/SG/AC.10/C.4/2019/9)</w:t>
      </w:r>
    </w:p>
    <w:p w14:paraId="34101A70" w14:textId="77777777" w:rsidR="00975D4C" w:rsidRDefault="00975D4C" w:rsidP="00975D4C">
      <w:pPr>
        <w:pStyle w:val="H1G"/>
      </w:pPr>
      <w:r>
        <w:tab/>
      </w:r>
      <w:r>
        <w:tab/>
        <w:t>Chapitre 1.5</w:t>
      </w:r>
    </w:p>
    <w:p w14:paraId="68D2FD5F" w14:textId="77777777" w:rsidR="00975D4C" w:rsidRDefault="00975D4C" w:rsidP="00975D4C">
      <w:pPr>
        <w:tabs>
          <w:tab w:val="right" w:pos="1134"/>
        </w:tabs>
        <w:spacing w:after="240"/>
        <w:ind w:left="1134"/>
      </w:pPr>
      <w:r>
        <w:t>1.5.3.2.1</w:t>
      </w:r>
      <w:r>
        <w:tab/>
        <w:t>L’amendement ne s’applique à la version française.</w:t>
      </w:r>
    </w:p>
    <w:p w14:paraId="014F18AE" w14:textId="77777777" w:rsidR="00975D4C" w:rsidRDefault="00975D4C" w:rsidP="00975D4C">
      <w:pPr>
        <w:pStyle w:val="SingleTxtG"/>
        <w:rPr>
          <w:i/>
          <w:iCs/>
        </w:rPr>
      </w:pPr>
      <w:r w:rsidRPr="00385B2E">
        <w:rPr>
          <w:i/>
          <w:iCs/>
        </w:rPr>
        <w:t>(</w:t>
      </w:r>
      <w:r>
        <w:rPr>
          <w:i/>
          <w:iCs/>
        </w:rPr>
        <w:t xml:space="preserve">Document de référence </w:t>
      </w:r>
      <w:r w:rsidRPr="00385B2E">
        <w:rPr>
          <w:i/>
          <w:iCs/>
        </w:rPr>
        <w:t>: ST/SG/AC.10/C.4/2019/</w:t>
      </w:r>
      <w:r>
        <w:rPr>
          <w:i/>
          <w:iCs/>
        </w:rPr>
        <w:t>13</w:t>
      </w:r>
      <w:r w:rsidRPr="00385B2E">
        <w:rPr>
          <w:i/>
          <w:iCs/>
        </w:rPr>
        <w:t>)</w:t>
      </w:r>
    </w:p>
    <w:p w14:paraId="527285A7" w14:textId="77777777" w:rsidR="00975D4C" w:rsidRDefault="00975D4C" w:rsidP="00975D4C">
      <w:pPr>
        <w:pStyle w:val="H1G"/>
      </w:pPr>
      <w:r>
        <w:tab/>
      </w:r>
      <w:r>
        <w:tab/>
        <w:t>Chapitre 2.3</w:t>
      </w:r>
    </w:p>
    <w:p w14:paraId="0E7E4B96" w14:textId="77777777" w:rsidR="00975D4C" w:rsidRPr="00D063FC" w:rsidRDefault="00975D4C" w:rsidP="00975D4C">
      <w:pPr>
        <w:pStyle w:val="SingleTxtG"/>
        <w:keepNext/>
        <w:keepLines/>
      </w:pPr>
      <w:r>
        <w:t>Au tableau 2.3.1, sous « </w:t>
      </w:r>
      <w:r w:rsidRPr="00D063FC">
        <w:t>Crit</w:t>
      </w:r>
      <w:r>
        <w:t xml:space="preserve">ères » </w:t>
      </w:r>
      <w:r w:rsidRPr="00D063FC">
        <w:t>:</w:t>
      </w:r>
    </w:p>
    <w:p w14:paraId="1E26785C" w14:textId="77777777" w:rsidR="00975D4C" w:rsidRPr="00D063FC" w:rsidRDefault="00975D4C" w:rsidP="00FD7702">
      <w:pPr>
        <w:pStyle w:val="Bullet1G"/>
      </w:pPr>
      <w:r>
        <w:t>Remplacer</w:t>
      </w:r>
      <w:r w:rsidRPr="00D063FC">
        <w:t xml:space="preserve"> </w:t>
      </w:r>
      <w:r>
        <w:t>« </w:t>
      </w:r>
      <w:r w:rsidRPr="00D063FC">
        <w:t>(1)</w:t>
      </w:r>
      <w:r>
        <w:t> »</w:t>
      </w:r>
      <w:r w:rsidRPr="00D063FC">
        <w:t xml:space="preserve">, </w:t>
      </w:r>
      <w:r>
        <w:t>« </w:t>
      </w:r>
      <w:r w:rsidRPr="00D063FC">
        <w:t>(2)</w:t>
      </w:r>
      <w:r>
        <w:t> »</w:t>
      </w:r>
      <w:r w:rsidRPr="00D063FC">
        <w:t xml:space="preserve"> </w:t>
      </w:r>
      <w:r>
        <w:t>et</w:t>
      </w:r>
      <w:r w:rsidRPr="00D063FC">
        <w:t xml:space="preserve"> </w:t>
      </w:r>
      <w:r>
        <w:t>« </w:t>
      </w:r>
      <w:r w:rsidRPr="00D063FC">
        <w:t>(3)</w:t>
      </w:r>
      <w:r>
        <w:t> »</w:t>
      </w:r>
      <w:r w:rsidRPr="00D063FC">
        <w:t xml:space="preserve"> </w:t>
      </w:r>
      <w:r>
        <w:t>par « </w:t>
      </w:r>
      <w:r w:rsidRPr="00D063FC">
        <w:t>(a)</w:t>
      </w:r>
      <w:r>
        <w:t> »</w:t>
      </w:r>
      <w:r w:rsidRPr="00D063FC">
        <w:t xml:space="preserve">, </w:t>
      </w:r>
      <w:r>
        <w:t>« </w:t>
      </w:r>
      <w:r w:rsidRPr="00D063FC">
        <w:t>(b)</w:t>
      </w:r>
      <w:r>
        <w:t> »</w:t>
      </w:r>
      <w:r w:rsidRPr="00D063FC">
        <w:t xml:space="preserve"> </w:t>
      </w:r>
      <w:r>
        <w:t>et</w:t>
      </w:r>
      <w:r w:rsidRPr="00D063FC">
        <w:t xml:space="preserve"> </w:t>
      </w:r>
      <w:r>
        <w:t>« </w:t>
      </w:r>
      <w:r w:rsidRPr="00D063FC">
        <w:t>(c)</w:t>
      </w:r>
      <w:r>
        <w:t> » ;</w:t>
      </w:r>
    </w:p>
    <w:p w14:paraId="44E4241C" w14:textId="77777777" w:rsidR="00975D4C" w:rsidRDefault="00975D4C" w:rsidP="00FD7702">
      <w:pPr>
        <w:pStyle w:val="Bullet1G"/>
      </w:pPr>
      <w:r w:rsidRPr="00FD7702">
        <w:t>Remplacer</w:t>
      </w:r>
      <w:r>
        <w:t xml:space="preserve"> « (a) », « (b) », « (c) » par « (i) », « (ii) » et « (iii) ».</w:t>
      </w:r>
    </w:p>
    <w:p w14:paraId="7F4A12F8" w14:textId="77777777" w:rsidR="00975D4C" w:rsidRDefault="00975D4C" w:rsidP="00975D4C">
      <w:pPr>
        <w:pStyle w:val="Bullet1G"/>
        <w:numPr>
          <w:ilvl w:val="0"/>
          <w:numId w:val="0"/>
        </w:numPr>
        <w:ind w:left="1134"/>
        <w:rPr>
          <w:i/>
          <w:iCs/>
        </w:rPr>
      </w:pPr>
      <w:r w:rsidRPr="00385B2E">
        <w:rPr>
          <w:i/>
          <w:iCs/>
        </w:rPr>
        <w:t>(</w:t>
      </w:r>
      <w:r>
        <w:rPr>
          <w:i/>
          <w:iCs/>
        </w:rPr>
        <w:t xml:space="preserve">Document de référence </w:t>
      </w:r>
      <w:r w:rsidRPr="00385B2E">
        <w:rPr>
          <w:i/>
          <w:iCs/>
        </w:rPr>
        <w:t>: ST/SG/AC.10/C.4/2019/9)</w:t>
      </w:r>
    </w:p>
    <w:p w14:paraId="57C6BB43" w14:textId="77777777" w:rsidR="00975D4C" w:rsidRDefault="00975D4C" w:rsidP="00975D4C">
      <w:pPr>
        <w:pStyle w:val="H1G"/>
      </w:pPr>
      <w:r>
        <w:tab/>
      </w:r>
      <w:r>
        <w:tab/>
        <w:t>Chapitre 3.2</w:t>
      </w:r>
    </w:p>
    <w:p w14:paraId="7E0AED40" w14:textId="77777777" w:rsidR="00975D4C" w:rsidRDefault="00975D4C" w:rsidP="00975D4C">
      <w:pPr>
        <w:pStyle w:val="SingleTxtG"/>
      </w:pPr>
      <w:r>
        <w:t>Au tableau 3.2.2, sous « Critères », remplacer « </w:t>
      </w:r>
      <w:r w:rsidRPr="00D063FC">
        <w:t>(1)</w:t>
      </w:r>
      <w:r>
        <w:t> »</w:t>
      </w:r>
      <w:r w:rsidRPr="00D063FC">
        <w:t xml:space="preserve">, </w:t>
      </w:r>
      <w:r>
        <w:t>« </w:t>
      </w:r>
      <w:r w:rsidRPr="00D063FC">
        <w:t>(2)</w:t>
      </w:r>
      <w:r>
        <w:t> »</w:t>
      </w:r>
      <w:r w:rsidRPr="00D063FC">
        <w:t xml:space="preserve"> </w:t>
      </w:r>
      <w:r>
        <w:t>et</w:t>
      </w:r>
      <w:r w:rsidRPr="00D063FC">
        <w:t xml:space="preserve"> </w:t>
      </w:r>
      <w:r>
        <w:t>« </w:t>
      </w:r>
      <w:r w:rsidRPr="00D063FC">
        <w:t>(3)</w:t>
      </w:r>
      <w:r>
        <w:t> »</w:t>
      </w:r>
      <w:r w:rsidRPr="00D063FC">
        <w:t xml:space="preserve"> </w:t>
      </w:r>
      <w:r>
        <w:t>par « </w:t>
      </w:r>
      <w:r w:rsidRPr="00D063FC">
        <w:t>(a)</w:t>
      </w:r>
      <w:r>
        <w:t> »</w:t>
      </w:r>
      <w:r w:rsidRPr="00D063FC">
        <w:t xml:space="preserve">, </w:t>
      </w:r>
      <w:r>
        <w:t>« </w:t>
      </w:r>
      <w:r w:rsidRPr="00D063FC">
        <w:t>(b)</w:t>
      </w:r>
      <w:r>
        <w:t> »</w:t>
      </w:r>
      <w:r w:rsidRPr="00D063FC">
        <w:t xml:space="preserve"> </w:t>
      </w:r>
      <w:r>
        <w:t>et</w:t>
      </w:r>
      <w:r w:rsidRPr="00D063FC">
        <w:t xml:space="preserve"> </w:t>
      </w:r>
      <w:r>
        <w:t>« </w:t>
      </w:r>
      <w:r w:rsidRPr="00D063FC">
        <w:t>(c)</w:t>
      </w:r>
      <w:r>
        <w:t> ».</w:t>
      </w:r>
    </w:p>
    <w:p w14:paraId="043CB062" w14:textId="77777777" w:rsidR="00975D4C" w:rsidRDefault="00975D4C" w:rsidP="00975D4C">
      <w:pPr>
        <w:pStyle w:val="Bullet1G"/>
        <w:numPr>
          <w:ilvl w:val="0"/>
          <w:numId w:val="0"/>
        </w:numPr>
        <w:ind w:left="1134"/>
        <w:rPr>
          <w:i/>
          <w:iCs/>
        </w:rPr>
      </w:pPr>
      <w:r w:rsidRPr="00385B2E">
        <w:rPr>
          <w:i/>
          <w:iCs/>
        </w:rPr>
        <w:t>(</w:t>
      </w:r>
      <w:r>
        <w:rPr>
          <w:i/>
          <w:iCs/>
        </w:rPr>
        <w:t xml:space="preserve">Document de référence </w:t>
      </w:r>
      <w:r w:rsidRPr="00385B2E">
        <w:rPr>
          <w:i/>
          <w:iCs/>
        </w:rPr>
        <w:t>: ST/SG/AC.10/C.4/2019/9)</w:t>
      </w:r>
    </w:p>
    <w:p w14:paraId="27474418" w14:textId="77777777" w:rsidR="00975D4C" w:rsidRPr="00280858" w:rsidRDefault="00975D4C" w:rsidP="00975D4C">
      <w:pPr>
        <w:pStyle w:val="H23G"/>
        <w:rPr>
          <w:b w:val="0"/>
          <w:bCs/>
        </w:rPr>
      </w:pPr>
      <w:r>
        <w:tab/>
      </w:r>
      <w:r>
        <w:tab/>
      </w:r>
      <w:r w:rsidRPr="00280858">
        <w:rPr>
          <w:b w:val="0"/>
          <w:bCs/>
        </w:rPr>
        <w:t>Au tableau 3.2.6</w:t>
      </w:r>
      <w:r>
        <w:rPr>
          <w:b w:val="0"/>
          <w:bCs/>
        </w:rPr>
        <w:t> :</w:t>
      </w:r>
    </w:p>
    <w:p w14:paraId="740C11CD" w14:textId="77777777" w:rsidR="00975D4C" w:rsidRPr="00FD7702" w:rsidRDefault="00975D4C" w:rsidP="00FD7702">
      <w:pPr>
        <w:pStyle w:val="Bullet1G"/>
      </w:pPr>
      <w:r>
        <w:rPr>
          <w:lang w:val="fr-FR"/>
        </w:rPr>
        <w:t xml:space="preserve">Dans le </w:t>
      </w:r>
      <w:r w:rsidRPr="00FD7702">
        <w:t>titre de la troisième colonne, modifier la liste des méthodes comme suit : « ...</w:t>
      </w:r>
      <w:r w:rsidR="00667934" w:rsidRPr="00FD7702">
        <w:t xml:space="preserve"> </w:t>
      </w:r>
      <w:r w:rsidRPr="00FD7702">
        <w:t>méthodes 1, 2, 3, 4 et 5 »</w:t>
      </w:r>
      <w:r w:rsidR="0081101F" w:rsidRPr="00FD7702">
        <w:t> ;</w:t>
      </w:r>
    </w:p>
    <w:p w14:paraId="0E13D173" w14:textId="77777777" w:rsidR="00975D4C" w:rsidRPr="00FD7702" w:rsidRDefault="00975D4C" w:rsidP="00FD7702">
      <w:pPr>
        <w:pStyle w:val="Bullet1G"/>
      </w:pPr>
      <w:r w:rsidRPr="00FD7702">
        <w:t>Dans la ligne pour la catégorie 1, à la troisième cellule du tableau, supprimer « et » avant 4 et ajouter « et 5 » dans la liste des méthodes avant « &lt;50 % »</w:t>
      </w:r>
      <w:r w:rsidR="0081101F" w:rsidRPr="00FD7702">
        <w:t> ;</w:t>
      </w:r>
    </w:p>
    <w:p w14:paraId="2956D284" w14:textId="77777777" w:rsidR="00975D4C" w:rsidRDefault="00975D4C" w:rsidP="00FD7702">
      <w:pPr>
        <w:pStyle w:val="Bullet1G"/>
        <w:rPr>
          <w:lang w:val="fr-FR"/>
        </w:rPr>
      </w:pPr>
      <w:r w:rsidRPr="00FD7702">
        <w:t>Dans la ligne pour la catégorie 1A, à la cinquième cellule du tableau, ajouter un « s » à « Méthode</w:t>
      </w:r>
      <w:r>
        <w:rPr>
          <w:lang w:val="fr-FR"/>
        </w:rPr>
        <w:t> » et insérer « et 5 » dans la liste des méthodes avant « &lt;15 % ».</w:t>
      </w:r>
    </w:p>
    <w:p w14:paraId="02D6CC1A" w14:textId="77777777" w:rsidR="00975D4C" w:rsidRDefault="00975D4C" w:rsidP="00975D4C">
      <w:pPr>
        <w:pStyle w:val="Bullet1G"/>
        <w:numPr>
          <w:ilvl w:val="0"/>
          <w:numId w:val="0"/>
        </w:numPr>
        <w:ind w:left="1134"/>
      </w:pPr>
      <w:r w:rsidRPr="00385B2E">
        <w:rPr>
          <w:i/>
          <w:iCs/>
        </w:rPr>
        <w:t>(</w:t>
      </w:r>
      <w:r>
        <w:rPr>
          <w:i/>
          <w:iCs/>
        </w:rPr>
        <w:t>Document de référence</w:t>
      </w:r>
      <w:r w:rsidR="0081101F">
        <w:rPr>
          <w:i/>
          <w:iCs/>
        </w:rPr>
        <w:t xml:space="preserve"> </w:t>
      </w:r>
      <w:r w:rsidRPr="00385B2E">
        <w:rPr>
          <w:i/>
          <w:iCs/>
        </w:rPr>
        <w:t>: ST/SG/AC.10/C.4/2019/</w:t>
      </w:r>
      <w:r>
        <w:rPr>
          <w:i/>
          <w:iCs/>
        </w:rPr>
        <w:t>14</w:t>
      </w:r>
      <w:r w:rsidRPr="00385B2E">
        <w:rPr>
          <w:i/>
          <w:iCs/>
        </w:rPr>
        <w:t>)</w:t>
      </w:r>
    </w:p>
    <w:p w14:paraId="0560B320" w14:textId="77777777" w:rsidR="00975D4C" w:rsidRDefault="00975D4C" w:rsidP="00975D4C">
      <w:pPr>
        <w:pStyle w:val="H1G"/>
      </w:pPr>
      <w:r>
        <w:rPr>
          <w:lang w:val="fr-FR"/>
        </w:rPr>
        <w:lastRenderedPageBreak/>
        <w:tab/>
      </w:r>
      <w:r>
        <w:rPr>
          <w:lang w:val="fr-FR"/>
        </w:rPr>
        <w:tab/>
        <w:t>Chapitre 3.5</w:t>
      </w:r>
    </w:p>
    <w:p w14:paraId="69C49683" w14:textId="77777777" w:rsidR="00975D4C" w:rsidRPr="00C26DFC" w:rsidRDefault="00975D4C" w:rsidP="00975D4C">
      <w:pPr>
        <w:pStyle w:val="SingleTxtG"/>
        <w:ind w:left="2268" w:hanging="1134"/>
      </w:pPr>
      <w:r>
        <w:rPr>
          <w:lang w:val="fr-FR"/>
        </w:rPr>
        <w:t>3.5.2.7 a)</w:t>
      </w:r>
      <w:r>
        <w:rPr>
          <w:lang w:val="fr-FR"/>
        </w:rPr>
        <w:tab/>
        <w:t>À la fin de la liste actuelle, ajouter : « Essais de mutations génétiques des cellules somatiques et germinales de rongeurs transgéniques (OCDE 488) ».</w:t>
      </w:r>
    </w:p>
    <w:p w14:paraId="35CEFFCA" w14:textId="77777777" w:rsidR="00975D4C" w:rsidRDefault="00975D4C" w:rsidP="00975D4C">
      <w:pPr>
        <w:pStyle w:val="SingleTxtG"/>
        <w:keepNext/>
        <w:ind w:left="2268" w:hanging="1134"/>
      </w:pPr>
      <w:r>
        <w:rPr>
          <w:lang w:val="fr-FR"/>
        </w:rPr>
        <w:t>3.5.2.8</w:t>
      </w:r>
      <w:r>
        <w:rPr>
          <w:lang w:val="fr-FR"/>
        </w:rPr>
        <w:tab/>
        <w:t>Ajouter les références suivantes après la phrase introductive, avant les exemples actuels (« Essai de synthèse... ») :</w:t>
      </w:r>
    </w:p>
    <w:p w14:paraId="6137BBA0" w14:textId="77777777" w:rsidR="00975D4C" w:rsidRPr="00307652" w:rsidRDefault="00975D4C" w:rsidP="00975D4C">
      <w:pPr>
        <w:pStyle w:val="SingleTxtG"/>
        <w:ind w:left="2268"/>
      </w:pPr>
      <w:r>
        <w:rPr>
          <w:lang w:val="fr-FR"/>
        </w:rPr>
        <w:t xml:space="preserve">« Test des comètes </w:t>
      </w:r>
      <w:r w:rsidRPr="0081101F">
        <w:rPr>
          <w:i/>
          <w:iCs/>
          <w:lang w:val="fr-FR"/>
        </w:rPr>
        <w:t>in vivo</w:t>
      </w:r>
      <w:r>
        <w:rPr>
          <w:lang w:val="fr-FR"/>
        </w:rPr>
        <w:t xml:space="preserve"> en conditions alcalines sur cellules de mammifères (OCDE 489)</w:t>
      </w:r>
      <w:r w:rsidR="0081101F">
        <w:rPr>
          <w:lang w:val="fr-FR"/>
        </w:rPr>
        <w:t> ;</w:t>
      </w:r>
    </w:p>
    <w:p w14:paraId="3225E1C3" w14:textId="77777777" w:rsidR="00975D4C" w:rsidRDefault="00975D4C" w:rsidP="00975D4C">
      <w:pPr>
        <w:pStyle w:val="SingleTxtG"/>
        <w:ind w:left="2268"/>
      </w:pPr>
      <w:r>
        <w:rPr>
          <w:lang w:val="fr-FR"/>
        </w:rPr>
        <w:t>Essais de mutations génétiques des cellules somatiques et germinales de rongeurs transgéniques (OCDE 488) ».</w:t>
      </w:r>
    </w:p>
    <w:p w14:paraId="7252BA3F" w14:textId="77777777" w:rsidR="00975D4C" w:rsidRDefault="00975D4C" w:rsidP="00975D4C">
      <w:pPr>
        <w:pStyle w:val="SingleTxtG"/>
        <w:ind w:left="2268" w:hanging="1134"/>
      </w:pPr>
      <w:r>
        <w:rPr>
          <w:lang w:val="fr-FR"/>
        </w:rPr>
        <w:t>3.5.2.9</w:t>
      </w:r>
      <w:r>
        <w:rPr>
          <w:lang w:val="fr-FR"/>
        </w:rPr>
        <w:tab/>
        <w:t>Modifier la fin du deuxième exemple comme suit : « OCDE 476 et 490) ».</w:t>
      </w:r>
    </w:p>
    <w:p w14:paraId="6ABFFCDE" w14:textId="77777777" w:rsidR="00975D4C" w:rsidRDefault="00975D4C" w:rsidP="00975D4C">
      <w:pPr>
        <w:pStyle w:val="Bullet1G"/>
        <w:numPr>
          <w:ilvl w:val="0"/>
          <w:numId w:val="0"/>
        </w:numPr>
        <w:ind w:left="1134"/>
        <w:rPr>
          <w:i/>
          <w:iCs/>
        </w:rPr>
      </w:pPr>
      <w:r w:rsidRPr="00385B2E">
        <w:rPr>
          <w:i/>
          <w:iCs/>
        </w:rPr>
        <w:t>(</w:t>
      </w:r>
      <w:r>
        <w:rPr>
          <w:i/>
          <w:iCs/>
        </w:rPr>
        <w:t>Document de référence</w:t>
      </w:r>
      <w:r w:rsidR="0081101F">
        <w:rPr>
          <w:i/>
          <w:iCs/>
        </w:rPr>
        <w:t xml:space="preserve"> </w:t>
      </w:r>
      <w:r w:rsidRPr="00385B2E">
        <w:rPr>
          <w:i/>
          <w:iCs/>
        </w:rPr>
        <w:t>: ST/SG/AC.10/C.4/2019/</w:t>
      </w:r>
      <w:r>
        <w:rPr>
          <w:i/>
          <w:iCs/>
        </w:rPr>
        <w:t>14</w:t>
      </w:r>
      <w:r w:rsidRPr="00385B2E">
        <w:rPr>
          <w:i/>
          <w:iCs/>
        </w:rPr>
        <w:t>)</w:t>
      </w:r>
    </w:p>
    <w:p w14:paraId="6254C5C2" w14:textId="77777777" w:rsidR="00975D4C" w:rsidRDefault="00975D4C" w:rsidP="00975D4C">
      <w:pPr>
        <w:pStyle w:val="H1G"/>
      </w:pPr>
      <w:r>
        <w:tab/>
      </w:r>
      <w:r>
        <w:tab/>
        <w:t>Annexe 1</w:t>
      </w:r>
    </w:p>
    <w:p w14:paraId="6933A001" w14:textId="77777777" w:rsidR="00975D4C" w:rsidRDefault="00975D4C" w:rsidP="00975D4C">
      <w:pPr>
        <w:pStyle w:val="SingleTxtG"/>
      </w:pPr>
      <w:r>
        <w:t>Les amend</w:t>
      </w:r>
      <w:r w:rsidR="0081101F">
        <w:t>e</w:t>
      </w:r>
      <w:r>
        <w:t xml:space="preserve">ments proposés dans le document </w:t>
      </w:r>
      <w:r w:rsidRPr="009E1059">
        <w:t>ST/SG/AC.10/C.4/2019/</w:t>
      </w:r>
      <w:r>
        <w:t>12 on</w:t>
      </w:r>
      <w:r w:rsidR="0081101F">
        <w:t>t</w:t>
      </w:r>
      <w:r>
        <w:t xml:space="preserve"> été adoptés avec la modification suivante</w:t>
      </w:r>
      <w:r w:rsidR="0081101F">
        <w:t> </w:t>
      </w:r>
      <w:r>
        <w:t>:</w:t>
      </w:r>
    </w:p>
    <w:p w14:paraId="7C8E4237" w14:textId="77777777" w:rsidR="00975D4C" w:rsidRDefault="00975D4C" w:rsidP="00975D4C">
      <w:pPr>
        <w:pStyle w:val="SingleTxtG"/>
      </w:pPr>
      <w:r w:rsidRPr="00165943">
        <w:t>Au nota 3</w:t>
      </w:r>
      <w:r>
        <w:t xml:space="preserve"> sous le titre de l’annexe</w:t>
      </w:r>
      <w:r w:rsidRPr="00165943">
        <w:t xml:space="preserve">, remplacer </w:t>
      </w:r>
      <w:r w:rsidR="0081101F">
        <w:t>« </w:t>
      </w:r>
      <w:r w:rsidRPr="00165943">
        <w:t>chapitre 5.2 du Règlement type</w:t>
      </w:r>
      <w:r w:rsidRPr="00A16EBB">
        <w:rPr>
          <w:sz w:val="18"/>
          <w:szCs w:val="18"/>
          <w:vertAlign w:val="superscript"/>
        </w:rPr>
        <w:t>1</w:t>
      </w:r>
      <w:r w:rsidRPr="00165943">
        <w:t xml:space="preserve"> </w:t>
      </w:r>
      <w:r w:rsidR="0081101F">
        <w:t>« </w:t>
      </w:r>
      <w:r w:rsidRPr="00165943">
        <w:t xml:space="preserve">par </w:t>
      </w:r>
      <w:r w:rsidR="0081101F">
        <w:t>« </w:t>
      </w:r>
      <w:r w:rsidRPr="00165943">
        <w:t>chapitre 5.2, section 5.2.2.2 du Règlement type</w:t>
      </w:r>
      <w:r w:rsidR="0081101F">
        <w:t> »</w:t>
      </w:r>
      <w:r w:rsidRPr="00165943">
        <w:t xml:space="preserve"> et supprimer </w:t>
      </w:r>
      <w:r w:rsidRPr="00FD7702">
        <w:t>la note en bas de page</w:t>
      </w:r>
      <w:r w:rsidRPr="00165943">
        <w:t xml:space="preserve"> y</w:t>
      </w:r>
      <w:r w:rsidR="0081101F">
        <w:t> </w:t>
      </w:r>
      <w:r w:rsidRPr="00165943">
        <w:t>relative.</w:t>
      </w:r>
    </w:p>
    <w:p w14:paraId="788F41D8" w14:textId="77777777" w:rsidR="00975D4C" w:rsidRDefault="00975D4C" w:rsidP="00975D4C">
      <w:pPr>
        <w:pStyle w:val="SingleTxtG"/>
        <w:keepNext/>
        <w:keepLines/>
      </w:pPr>
      <w:r>
        <w:t>Remplacer le tableau A1.7 par le suivant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62"/>
        <w:gridCol w:w="965"/>
        <w:gridCol w:w="1331"/>
        <w:gridCol w:w="1162"/>
        <w:gridCol w:w="1301"/>
        <w:gridCol w:w="1358"/>
        <w:gridCol w:w="1162"/>
        <w:gridCol w:w="1196"/>
      </w:tblGrid>
      <w:tr w:rsidR="00975D4C" w:rsidRPr="00165943" w14:paraId="778F068F" w14:textId="77777777" w:rsidTr="005F699D">
        <w:trPr>
          <w:cantSplit/>
          <w:trHeight w:val="20"/>
          <w:tblHeader/>
          <w:jc w:val="center"/>
        </w:trPr>
        <w:tc>
          <w:tcPr>
            <w:tcW w:w="3458" w:type="dxa"/>
            <w:gridSpan w:val="3"/>
            <w:tcBorders>
              <w:top w:val="single" w:sz="4" w:space="0" w:color="auto"/>
              <w:left w:val="single" w:sz="4" w:space="0" w:color="auto"/>
              <w:bottom w:val="single" w:sz="4" w:space="0" w:color="auto"/>
              <w:right w:val="single" w:sz="4" w:space="0" w:color="auto"/>
            </w:tcBorders>
            <w:shd w:val="clear" w:color="auto" w:fill="FFFFFF"/>
          </w:tcPr>
          <w:p w14:paraId="2ADE0411"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Classification</w:t>
            </w:r>
          </w:p>
        </w:tc>
        <w:tc>
          <w:tcPr>
            <w:tcW w:w="4983" w:type="dxa"/>
            <w:gridSpan w:val="4"/>
            <w:tcBorders>
              <w:top w:val="single" w:sz="4" w:space="0" w:color="auto"/>
              <w:left w:val="single" w:sz="4" w:space="0" w:color="auto"/>
              <w:bottom w:val="single" w:sz="4" w:space="0" w:color="auto"/>
              <w:right w:val="single" w:sz="4" w:space="0" w:color="auto"/>
            </w:tcBorders>
            <w:shd w:val="clear" w:color="auto" w:fill="FFFFFF"/>
          </w:tcPr>
          <w:p w14:paraId="224EB8C0"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Étiquetage</w:t>
            </w:r>
          </w:p>
        </w:tc>
        <w:tc>
          <w:tcPr>
            <w:tcW w:w="1196" w:type="dxa"/>
            <w:vMerge w:val="restart"/>
            <w:tcBorders>
              <w:top w:val="single" w:sz="4" w:space="0" w:color="auto"/>
              <w:left w:val="single" w:sz="4" w:space="0" w:color="auto"/>
              <w:right w:val="single" w:sz="4" w:space="0" w:color="auto"/>
            </w:tcBorders>
            <w:shd w:val="clear" w:color="auto" w:fill="FFFFFF"/>
            <w:vAlign w:val="center"/>
          </w:tcPr>
          <w:p w14:paraId="4112568C"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Codes des mentions de danger du SGH</w:t>
            </w:r>
          </w:p>
        </w:tc>
      </w:tr>
      <w:tr w:rsidR="0081101F" w:rsidRPr="00165943" w14:paraId="7F0428A2" w14:textId="77777777" w:rsidTr="005F699D">
        <w:trPr>
          <w:cantSplit/>
          <w:trHeight w:val="20"/>
          <w:tblHeader/>
          <w:jc w:val="center"/>
        </w:trPr>
        <w:tc>
          <w:tcPr>
            <w:tcW w:w="1162" w:type="dxa"/>
            <w:tcBorders>
              <w:bottom w:val="single" w:sz="4" w:space="0" w:color="auto"/>
            </w:tcBorders>
            <w:shd w:val="clear" w:color="auto" w:fill="FFFFFF"/>
            <w:vAlign w:val="center"/>
          </w:tcPr>
          <w:p w14:paraId="44FB83A6"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Classe de danger du SGH</w:t>
            </w:r>
          </w:p>
        </w:tc>
        <w:tc>
          <w:tcPr>
            <w:tcW w:w="965" w:type="dxa"/>
            <w:tcBorders>
              <w:bottom w:val="single" w:sz="4" w:space="0" w:color="auto"/>
            </w:tcBorders>
            <w:shd w:val="clear" w:color="auto" w:fill="FFFFFF"/>
            <w:vAlign w:val="center"/>
          </w:tcPr>
          <w:p w14:paraId="7FF66020"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Catégorie de danger du SGH</w:t>
            </w:r>
          </w:p>
        </w:tc>
        <w:tc>
          <w:tcPr>
            <w:tcW w:w="1331" w:type="dxa"/>
            <w:tcBorders>
              <w:bottom w:val="single" w:sz="4" w:space="0" w:color="auto"/>
            </w:tcBorders>
            <w:shd w:val="clear" w:color="auto" w:fill="FFFFFF"/>
            <w:vAlign w:val="center"/>
          </w:tcPr>
          <w:p w14:paraId="29D2B040" w14:textId="61B141E8" w:rsidR="00975D4C" w:rsidRPr="0081101F" w:rsidRDefault="00975D4C" w:rsidP="00975D4C">
            <w:pPr>
              <w:spacing w:before="60" w:after="60" w:line="180" w:lineRule="atLeast"/>
              <w:ind w:left="57" w:right="57"/>
              <w:jc w:val="center"/>
              <w:rPr>
                <w:b/>
                <w:bCs/>
                <w:sz w:val="18"/>
                <w:szCs w:val="18"/>
              </w:rPr>
            </w:pPr>
            <w:r w:rsidRPr="0081101F">
              <w:rPr>
                <w:b/>
                <w:bCs/>
                <w:sz w:val="18"/>
                <w:szCs w:val="18"/>
              </w:rPr>
              <w:t xml:space="preserve">Classe </w:t>
            </w:r>
            <w:r w:rsidR="0081101F">
              <w:rPr>
                <w:b/>
                <w:bCs/>
                <w:sz w:val="18"/>
                <w:szCs w:val="18"/>
              </w:rPr>
              <w:br/>
            </w:r>
            <w:r w:rsidRPr="0081101F">
              <w:rPr>
                <w:b/>
                <w:bCs/>
                <w:sz w:val="18"/>
                <w:szCs w:val="18"/>
              </w:rPr>
              <w:t xml:space="preserve">ou division </w:t>
            </w:r>
            <w:r w:rsidR="0081101F">
              <w:rPr>
                <w:b/>
                <w:bCs/>
                <w:sz w:val="18"/>
                <w:szCs w:val="18"/>
              </w:rPr>
              <w:br/>
            </w:r>
            <w:r w:rsidRPr="0081101F">
              <w:rPr>
                <w:b/>
                <w:bCs/>
                <w:sz w:val="18"/>
                <w:szCs w:val="18"/>
              </w:rPr>
              <w:t xml:space="preserve">du Règlement </w:t>
            </w:r>
            <w:r w:rsidRPr="005F699D">
              <w:rPr>
                <w:b/>
                <w:bCs/>
                <w:spacing w:val="-2"/>
                <w:sz w:val="18"/>
                <w:szCs w:val="18"/>
              </w:rPr>
              <w:t>type de</w:t>
            </w:r>
            <w:r w:rsidR="0081101F" w:rsidRPr="005F699D">
              <w:rPr>
                <w:b/>
                <w:bCs/>
                <w:spacing w:val="-2"/>
                <w:sz w:val="18"/>
                <w:szCs w:val="18"/>
              </w:rPr>
              <w:t xml:space="preserve"> </w:t>
            </w:r>
            <w:r w:rsidR="005F699D">
              <w:rPr>
                <w:b/>
                <w:bCs/>
                <w:spacing w:val="-2"/>
                <w:sz w:val="18"/>
                <w:szCs w:val="18"/>
              </w:rPr>
              <w:t>l</w:t>
            </w:r>
            <w:r w:rsidRPr="005F699D">
              <w:rPr>
                <w:b/>
                <w:bCs/>
                <w:spacing w:val="-2"/>
                <w:sz w:val="18"/>
                <w:szCs w:val="18"/>
              </w:rPr>
              <w:t>’ONU</w:t>
            </w:r>
          </w:p>
        </w:tc>
        <w:tc>
          <w:tcPr>
            <w:tcW w:w="1162" w:type="dxa"/>
            <w:tcBorders>
              <w:bottom w:val="single" w:sz="4" w:space="0" w:color="auto"/>
            </w:tcBorders>
            <w:shd w:val="clear" w:color="auto" w:fill="FFFFFF"/>
            <w:vAlign w:val="center"/>
          </w:tcPr>
          <w:p w14:paraId="12C04E36" w14:textId="77777777" w:rsidR="00975D4C" w:rsidRPr="0081101F" w:rsidRDefault="00975D4C" w:rsidP="00975D4C">
            <w:pPr>
              <w:spacing w:before="60" w:after="60" w:line="180" w:lineRule="atLeast"/>
              <w:ind w:left="57" w:right="57"/>
              <w:jc w:val="center"/>
              <w:rPr>
                <w:noProof/>
                <w:sz w:val="18"/>
                <w:szCs w:val="18"/>
              </w:rPr>
            </w:pPr>
            <w:r w:rsidRPr="0081101F">
              <w:rPr>
                <w:b/>
                <w:bCs/>
                <w:sz w:val="18"/>
                <w:szCs w:val="18"/>
              </w:rPr>
              <w:t>Pictogramme du SGH</w:t>
            </w:r>
          </w:p>
        </w:tc>
        <w:tc>
          <w:tcPr>
            <w:tcW w:w="1301" w:type="dxa"/>
            <w:tcBorders>
              <w:bottom w:val="single" w:sz="4" w:space="0" w:color="auto"/>
            </w:tcBorders>
            <w:shd w:val="clear" w:color="auto" w:fill="FFFFFF"/>
            <w:vAlign w:val="center"/>
          </w:tcPr>
          <w:p w14:paraId="7685219D" w14:textId="77777777" w:rsidR="00975D4C" w:rsidRPr="0081101F" w:rsidRDefault="00975D4C" w:rsidP="00975D4C">
            <w:pPr>
              <w:spacing w:before="60" w:after="60" w:line="180" w:lineRule="atLeast"/>
              <w:ind w:left="57" w:right="57"/>
              <w:jc w:val="center"/>
              <w:rPr>
                <w:b/>
                <w:noProof/>
                <w:sz w:val="18"/>
                <w:szCs w:val="18"/>
              </w:rPr>
            </w:pPr>
            <w:r w:rsidRPr="0081101F">
              <w:rPr>
                <w:b/>
                <w:bCs/>
                <w:sz w:val="18"/>
                <w:szCs w:val="18"/>
              </w:rPr>
              <w:t>Pictogramme du Règlement type de l’ONU</w:t>
            </w:r>
          </w:p>
        </w:tc>
        <w:tc>
          <w:tcPr>
            <w:tcW w:w="1358" w:type="dxa"/>
            <w:tcBorders>
              <w:bottom w:val="single" w:sz="4" w:space="0" w:color="auto"/>
            </w:tcBorders>
            <w:shd w:val="clear" w:color="auto" w:fill="FFFFFF"/>
            <w:vAlign w:val="center"/>
          </w:tcPr>
          <w:p w14:paraId="6C67867C" w14:textId="77777777" w:rsidR="00975D4C" w:rsidRPr="0081101F" w:rsidRDefault="00975D4C" w:rsidP="00975D4C">
            <w:pPr>
              <w:spacing w:before="60" w:after="60" w:line="180" w:lineRule="atLeast"/>
              <w:ind w:left="57" w:right="57"/>
              <w:jc w:val="center"/>
              <w:rPr>
                <w:b/>
                <w:sz w:val="18"/>
                <w:szCs w:val="18"/>
              </w:rPr>
            </w:pPr>
            <w:r w:rsidRPr="0081101F">
              <w:rPr>
                <w:b/>
                <w:bCs/>
                <w:sz w:val="18"/>
                <w:szCs w:val="18"/>
              </w:rPr>
              <w:t>Mention d’avertissement du SGH</w:t>
            </w:r>
          </w:p>
        </w:tc>
        <w:tc>
          <w:tcPr>
            <w:tcW w:w="1162" w:type="dxa"/>
            <w:tcBorders>
              <w:bottom w:val="single" w:sz="4" w:space="0" w:color="auto"/>
              <w:right w:val="single" w:sz="4" w:space="0" w:color="auto"/>
            </w:tcBorders>
            <w:shd w:val="clear" w:color="auto" w:fill="FFFFFF"/>
            <w:vAlign w:val="center"/>
          </w:tcPr>
          <w:p w14:paraId="5A9F2607" w14:textId="77777777" w:rsidR="00975D4C" w:rsidRPr="0081101F" w:rsidRDefault="00975D4C" w:rsidP="00975D4C">
            <w:pPr>
              <w:spacing w:before="60" w:after="60" w:line="180" w:lineRule="atLeast"/>
              <w:ind w:left="57" w:right="57"/>
              <w:jc w:val="center"/>
              <w:rPr>
                <w:b/>
                <w:noProof/>
                <w:sz w:val="18"/>
                <w:szCs w:val="18"/>
              </w:rPr>
            </w:pPr>
            <w:r w:rsidRPr="0081101F">
              <w:rPr>
                <w:b/>
                <w:bCs/>
                <w:sz w:val="18"/>
                <w:szCs w:val="18"/>
              </w:rPr>
              <w:t xml:space="preserve">Mention </w:t>
            </w:r>
            <w:r w:rsidR="0081101F">
              <w:rPr>
                <w:b/>
                <w:bCs/>
                <w:sz w:val="18"/>
                <w:szCs w:val="18"/>
              </w:rPr>
              <w:br/>
            </w:r>
            <w:r w:rsidRPr="0081101F">
              <w:rPr>
                <w:b/>
                <w:bCs/>
                <w:sz w:val="18"/>
                <w:szCs w:val="18"/>
              </w:rPr>
              <w:t xml:space="preserve">de danger </w:t>
            </w:r>
            <w:r w:rsidR="0081101F">
              <w:rPr>
                <w:b/>
                <w:bCs/>
                <w:sz w:val="18"/>
                <w:szCs w:val="18"/>
              </w:rPr>
              <w:br/>
            </w:r>
            <w:r w:rsidRPr="0081101F">
              <w:rPr>
                <w:b/>
                <w:bCs/>
                <w:sz w:val="18"/>
                <w:szCs w:val="18"/>
              </w:rPr>
              <w:t>du SGH</w:t>
            </w:r>
          </w:p>
        </w:tc>
        <w:tc>
          <w:tcPr>
            <w:tcW w:w="1196" w:type="dxa"/>
            <w:vMerge/>
            <w:tcBorders>
              <w:left w:val="single" w:sz="4" w:space="0" w:color="auto"/>
              <w:bottom w:val="single" w:sz="4" w:space="0" w:color="auto"/>
              <w:right w:val="single" w:sz="4" w:space="0" w:color="auto"/>
            </w:tcBorders>
            <w:shd w:val="clear" w:color="auto" w:fill="FFFFFF"/>
            <w:vAlign w:val="center"/>
          </w:tcPr>
          <w:p w14:paraId="2682B270" w14:textId="77777777" w:rsidR="00975D4C" w:rsidRPr="0081101F" w:rsidRDefault="00975D4C" w:rsidP="00975D4C">
            <w:pPr>
              <w:spacing w:before="60" w:after="60" w:line="180" w:lineRule="atLeast"/>
              <w:ind w:left="57" w:right="57"/>
              <w:jc w:val="center"/>
              <w:rPr>
                <w:noProof/>
                <w:sz w:val="18"/>
                <w:szCs w:val="18"/>
                <w:lang w:eastAsia="sv-SE"/>
              </w:rPr>
            </w:pPr>
          </w:p>
        </w:tc>
      </w:tr>
      <w:tr w:rsidR="0081101F" w:rsidRPr="00165943" w14:paraId="1FC759B0" w14:textId="77777777" w:rsidTr="005F699D">
        <w:trPr>
          <w:cantSplit/>
          <w:trHeight w:val="514"/>
          <w:jc w:val="center"/>
        </w:trPr>
        <w:tc>
          <w:tcPr>
            <w:tcW w:w="1162" w:type="dxa"/>
            <w:vMerge w:val="restart"/>
            <w:tcBorders>
              <w:bottom w:val="nil"/>
            </w:tcBorders>
            <w:shd w:val="clear" w:color="auto" w:fill="FFFFFF"/>
            <w:vAlign w:val="center"/>
          </w:tcPr>
          <w:p w14:paraId="5D97C6A9" w14:textId="77777777" w:rsidR="00975D4C" w:rsidRPr="0081101F" w:rsidRDefault="00975D4C" w:rsidP="00975D4C">
            <w:pPr>
              <w:spacing w:before="40" w:after="40" w:line="200" w:lineRule="atLeast"/>
              <w:jc w:val="center"/>
              <w:rPr>
                <w:b/>
                <w:sz w:val="18"/>
                <w:szCs w:val="18"/>
              </w:rPr>
            </w:pPr>
            <w:r w:rsidRPr="0081101F">
              <w:rPr>
                <w:b/>
                <w:bCs/>
                <w:sz w:val="18"/>
                <w:szCs w:val="18"/>
              </w:rPr>
              <w:t>Matières solides inflammables</w:t>
            </w:r>
          </w:p>
        </w:tc>
        <w:tc>
          <w:tcPr>
            <w:tcW w:w="965" w:type="dxa"/>
            <w:tcBorders>
              <w:bottom w:val="single" w:sz="4" w:space="0" w:color="auto"/>
            </w:tcBorders>
            <w:shd w:val="clear" w:color="auto" w:fill="FFFFFF"/>
            <w:vAlign w:val="center"/>
          </w:tcPr>
          <w:p w14:paraId="22AD2C52" w14:textId="77777777" w:rsidR="00975D4C" w:rsidRPr="0081101F" w:rsidRDefault="00975D4C" w:rsidP="00975D4C">
            <w:pPr>
              <w:spacing w:before="40" w:after="40" w:line="200" w:lineRule="atLeast"/>
              <w:ind w:left="57" w:right="57"/>
              <w:jc w:val="center"/>
              <w:rPr>
                <w:b/>
                <w:sz w:val="18"/>
                <w:szCs w:val="18"/>
              </w:rPr>
            </w:pPr>
            <w:r w:rsidRPr="0081101F">
              <w:rPr>
                <w:b/>
                <w:bCs/>
                <w:sz w:val="18"/>
                <w:szCs w:val="18"/>
              </w:rPr>
              <w:t>1</w:t>
            </w:r>
          </w:p>
        </w:tc>
        <w:tc>
          <w:tcPr>
            <w:tcW w:w="1331" w:type="dxa"/>
            <w:vMerge w:val="restart"/>
            <w:tcBorders>
              <w:bottom w:val="nil"/>
            </w:tcBorders>
            <w:shd w:val="clear" w:color="auto" w:fill="FFFFFF"/>
            <w:vAlign w:val="center"/>
          </w:tcPr>
          <w:p w14:paraId="688A00FB" w14:textId="77777777" w:rsidR="00975D4C" w:rsidRPr="0081101F" w:rsidRDefault="00975D4C" w:rsidP="00975D4C">
            <w:pPr>
              <w:spacing w:before="40" w:after="40" w:line="200" w:lineRule="atLeast"/>
              <w:ind w:left="57" w:right="57"/>
              <w:jc w:val="center"/>
              <w:rPr>
                <w:b/>
                <w:noProof/>
                <w:sz w:val="18"/>
                <w:szCs w:val="18"/>
              </w:rPr>
            </w:pPr>
            <w:r w:rsidRPr="0081101F">
              <w:rPr>
                <w:b/>
                <w:bCs/>
                <w:sz w:val="18"/>
                <w:szCs w:val="18"/>
              </w:rPr>
              <w:t>4.1</w:t>
            </w:r>
          </w:p>
        </w:tc>
        <w:tc>
          <w:tcPr>
            <w:tcW w:w="1162" w:type="dxa"/>
            <w:vMerge w:val="restart"/>
            <w:tcBorders>
              <w:bottom w:val="nil"/>
            </w:tcBorders>
            <w:shd w:val="clear" w:color="auto" w:fill="FFFFFF"/>
            <w:vAlign w:val="center"/>
          </w:tcPr>
          <w:p w14:paraId="11548A0F" w14:textId="77777777" w:rsidR="00975D4C" w:rsidRPr="0081101F" w:rsidRDefault="00975D4C" w:rsidP="00975D4C">
            <w:pPr>
              <w:spacing w:before="40" w:after="40" w:line="200" w:lineRule="atLeast"/>
              <w:ind w:left="57" w:right="57"/>
              <w:jc w:val="center"/>
              <w:rPr>
                <w:b/>
                <w:sz w:val="18"/>
                <w:szCs w:val="18"/>
              </w:rPr>
            </w:pPr>
            <w:r w:rsidRPr="0081101F">
              <w:rPr>
                <w:noProof/>
                <w:sz w:val="18"/>
                <w:szCs w:val="18"/>
              </w:rPr>
              <w:drawing>
                <wp:inline distT="0" distB="0" distL="0" distR="0" wp14:anchorId="7D02725D" wp14:editId="61EA5F9B">
                  <wp:extent cx="5715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301" w:type="dxa"/>
            <w:vMerge w:val="restart"/>
            <w:tcBorders>
              <w:bottom w:val="nil"/>
            </w:tcBorders>
            <w:shd w:val="clear" w:color="auto" w:fill="FFFFFF"/>
            <w:vAlign w:val="center"/>
          </w:tcPr>
          <w:p w14:paraId="73411200" w14:textId="77777777" w:rsidR="00975D4C" w:rsidRPr="0081101F" w:rsidRDefault="00975D4C" w:rsidP="00975D4C">
            <w:pPr>
              <w:spacing w:before="40" w:after="40" w:line="200" w:lineRule="atLeast"/>
              <w:ind w:left="57" w:right="57"/>
              <w:jc w:val="center"/>
              <w:rPr>
                <w:b/>
                <w:sz w:val="18"/>
                <w:szCs w:val="18"/>
              </w:rPr>
            </w:pPr>
            <w:r w:rsidRPr="0081101F">
              <w:rPr>
                <w:b/>
                <w:noProof/>
                <w:sz w:val="18"/>
                <w:szCs w:val="18"/>
                <w:lang w:eastAsia="en-GB"/>
              </w:rPr>
              <w:drawing>
                <wp:inline distT="0" distB="0" distL="0" distR="0" wp14:anchorId="7762A708" wp14:editId="1EAEC310">
                  <wp:extent cx="600075" cy="600075"/>
                  <wp:effectExtent l="0" t="0" r="0" b="0"/>
                  <wp:docPr id="12" name="Picture 12" descr="Description: Beskrivning: H:\Mina Dokument\KemI Internationellt\GHS\Pictograms\strip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Beskrivning: H:\Mina Dokument\KemI Internationellt\GHS\Pictograms\stripe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358" w:type="dxa"/>
            <w:tcBorders>
              <w:bottom w:val="single" w:sz="4" w:space="0" w:color="auto"/>
            </w:tcBorders>
            <w:shd w:val="clear" w:color="auto" w:fill="FFFFFF"/>
            <w:vAlign w:val="center"/>
          </w:tcPr>
          <w:p w14:paraId="225C7ED1" w14:textId="77777777" w:rsidR="00975D4C" w:rsidRPr="0081101F" w:rsidRDefault="00975D4C" w:rsidP="00975D4C">
            <w:pPr>
              <w:spacing w:before="40" w:after="40" w:line="200" w:lineRule="atLeast"/>
              <w:ind w:left="57" w:right="57"/>
              <w:jc w:val="center"/>
              <w:rPr>
                <w:b/>
                <w:sz w:val="18"/>
                <w:szCs w:val="18"/>
              </w:rPr>
            </w:pPr>
            <w:r w:rsidRPr="0081101F">
              <w:rPr>
                <w:b/>
                <w:bCs/>
                <w:sz w:val="18"/>
                <w:szCs w:val="18"/>
              </w:rPr>
              <w:t>Danger</w:t>
            </w:r>
          </w:p>
        </w:tc>
        <w:tc>
          <w:tcPr>
            <w:tcW w:w="1162" w:type="dxa"/>
            <w:vMerge w:val="restart"/>
            <w:tcBorders>
              <w:bottom w:val="nil"/>
            </w:tcBorders>
            <w:shd w:val="clear" w:color="auto" w:fill="FFFFFF"/>
            <w:vAlign w:val="center"/>
          </w:tcPr>
          <w:p w14:paraId="5179D24B" w14:textId="77777777" w:rsidR="00975D4C" w:rsidRPr="0081101F" w:rsidRDefault="00975D4C" w:rsidP="00975D4C">
            <w:pPr>
              <w:spacing w:before="40" w:after="40" w:line="200" w:lineRule="atLeast"/>
              <w:ind w:left="57" w:right="57"/>
              <w:rPr>
                <w:noProof/>
                <w:sz w:val="18"/>
                <w:szCs w:val="18"/>
              </w:rPr>
            </w:pPr>
            <w:r w:rsidRPr="0081101F">
              <w:rPr>
                <w:sz w:val="18"/>
                <w:szCs w:val="18"/>
              </w:rPr>
              <w:t>Matière solide inflammable</w:t>
            </w:r>
          </w:p>
        </w:tc>
        <w:tc>
          <w:tcPr>
            <w:tcW w:w="1196" w:type="dxa"/>
            <w:vMerge w:val="restart"/>
            <w:tcBorders>
              <w:bottom w:val="nil"/>
            </w:tcBorders>
            <w:shd w:val="clear" w:color="auto" w:fill="FFFFFF"/>
            <w:vAlign w:val="center"/>
          </w:tcPr>
          <w:p w14:paraId="49857431" w14:textId="77777777" w:rsidR="00975D4C" w:rsidRPr="0081101F" w:rsidRDefault="00975D4C" w:rsidP="00975D4C">
            <w:pPr>
              <w:spacing w:before="40" w:after="40" w:line="200" w:lineRule="atLeast"/>
              <w:ind w:left="57" w:right="57"/>
              <w:jc w:val="center"/>
              <w:rPr>
                <w:noProof/>
                <w:sz w:val="18"/>
                <w:szCs w:val="18"/>
              </w:rPr>
            </w:pPr>
            <w:r w:rsidRPr="0081101F">
              <w:rPr>
                <w:sz w:val="18"/>
                <w:szCs w:val="18"/>
              </w:rPr>
              <w:t>H228</w:t>
            </w:r>
          </w:p>
        </w:tc>
      </w:tr>
      <w:tr w:rsidR="0081101F" w:rsidRPr="00165943" w14:paraId="0AB5A76E" w14:textId="77777777" w:rsidTr="005F699D">
        <w:trPr>
          <w:cantSplit/>
          <w:trHeight w:val="20"/>
          <w:jc w:val="center"/>
        </w:trPr>
        <w:tc>
          <w:tcPr>
            <w:tcW w:w="1162" w:type="dxa"/>
            <w:vMerge/>
            <w:tcBorders>
              <w:top w:val="nil"/>
            </w:tcBorders>
            <w:shd w:val="clear" w:color="auto" w:fill="FFFFFF"/>
            <w:vAlign w:val="center"/>
          </w:tcPr>
          <w:p w14:paraId="3DC87F44" w14:textId="77777777" w:rsidR="00975D4C" w:rsidRPr="00165943" w:rsidRDefault="00975D4C" w:rsidP="00975D4C">
            <w:pPr>
              <w:spacing w:before="40" w:after="40" w:line="200" w:lineRule="atLeast"/>
              <w:ind w:left="57" w:right="57"/>
              <w:jc w:val="center"/>
              <w:rPr>
                <w:b/>
                <w:sz w:val="16"/>
                <w:szCs w:val="16"/>
              </w:rPr>
            </w:pPr>
          </w:p>
        </w:tc>
        <w:tc>
          <w:tcPr>
            <w:tcW w:w="965" w:type="dxa"/>
            <w:tcBorders>
              <w:top w:val="single" w:sz="4" w:space="0" w:color="auto"/>
            </w:tcBorders>
            <w:shd w:val="clear" w:color="auto" w:fill="FFFFFF"/>
            <w:vAlign w:val="center"/>
          </w:tcPr>
          <w:p w14:paraId="4FC734BC" w14:textId="77777777" w:rsidR="00975D4C" w:rsidRPr="0081101F" w:rsidRDefault="00975D4C" w:rsidP="00975D4C">
            <w:pPr>
              <w:spacing w:before="40" w:after="40" w:line="200" w:lineRule="atLeast"/>
              <w:ind w:left="57" w:right="57"/>
              <w:jc w:val="center"/>
              <w:rPr>
                <w:b/>
                <w:sz w:val="18"/>
                <w:szCs w:val="18"/>
              </w:rPr>
            </w:pPr>
            <w:r w:rsidRPr="0081101F">
              <w:rPr>
                <w:b/>
                <w:bCs/>
                <w:sz w:val="18"/>
                <w:szCs w:val="18"/>
              </w:rPr>
              <w:t>2</w:t>
            </w:r>
          </w:p>
        </w:tc>
        <w:tc>
          <w:tcPr>
            <w:tcW w:w="1331" w:type="dxa"/>
            <w:vMerge/>
            <w:tcBorders>
              <w:top w:val="nil"/>
            </w:tcBorders>
            <w:shd w:val="clear" w:color="auto" w:fill="FFFFFF"/>
          </w:tcPr>
          <w:p w14:paraId="283EF2C1" w14:textId="77777777" w:rsidR="00975D4C" w:rsidRPr="00165943" w:rsidRDefault="00975D4C" w:rsidP="00975D4C">
            <w:pPr>
              <w:spacing w:before="40" w:after="40" w:line="200" w:lineRule="atLeast"/>
              <w:ind w:left="57" w:right="57"/>
              <w:jc w:val="center"/>
              <w:rPr>
                <w:noProof/>
                <w:sz w:val="16"/>
                <w:szCs w:val="16"/>
              </w:rPr>
            </w:pPr>
          </w:p>
        </w:tc>
        <w:tc>
          <w:tcPr>
            <w:tcW w:w="1162" w:type="dxa"/>
            <w:vMerge/>
            <w:tcBorders>
              <w:top w:val="nil"/>
            </w:tcBorders>
            <w:shd w:val="clear" w:color="auto" w:fill="FFFFFF"/>
            <w:vAlign w:val="center"/>
          </w:tcPr>
          <w:p w14:paraId="11F3A384" w14:textId="77777777" w:rsidR="00975D4C" w:rsidRPr="00165943" w:rsidRDefault="00975D4C" w:rsidP="00975D4C">
            <w:pPr>
              <w:spacing w:before="40" w:after="40" w:line="200" w:lineRule="atLeast"/>
              <w:ind w:left="57" w:right="57"/>
              <w:jc w:val="center"/>
              <w:rPr>
                <w:b/>
                <w:i/>
                <w:sz w:val="16"/>
                <w:szCs w:val="16"/>
              </w:rPr>
            </w:pPr>
          </w:p>
        </w:tc>
        <w:tc>
          <w:tcPr>
            <w:tcW w:w="1301" w:type="dxa"/>
            <w:vMerge/>
            <w:tcBorders>
              <w:top w:val="nil"/>
            </w:tcBorders>
            <w:shd w:val="clear" w:color="auto" w:fill="FFFFFF"/>
          </w:tcPr>
          <w:p w14:paraId="4AD4CAC8" w14:textId="77777777" w:rsidR="00975D4C" w:rsidRPr="00165943" w:rsidRDefault="00975D4C" w:rsidP="00975D4C">
            <w:pPr>
              <w:spacing w:before="40" w:after="40" w:line="200" w:lineRule="atLeast"/>
              <w:ind w:left="57" w:right="57"/>
              <w:jc w:val="center"/>
              <w:rPr>
                <w:b/>
                <w:sz w:val="16"/>
                <w:szCs w:val="16"/>
              </w:rPr>
            </w:pPr>
          </w:p>
        </w:tc>
        <w:tc>
          <w:tcPr>
            <w:tcW w:w="1358" w:type="dxa"/>
            <w:tcBorders>
              <w:top w:val="single" w:sz="4" w:space="0" w:color="auto"/>
            </w:tcBorders>
            <w:shd w:val="clear" w:color="auto" w:fill="FFFFFF"/>
            <w:vAlign w:val="center"/>
          </w:tcPr>
          <w:p w14:paraId="60742D9A" w14:textId="77777777" w:rsidR="00975D4C" w:rsidRPr="0081101F" w:rsidRDefault="00975D4C" w:rsidP="00975D4C">
            <w:pPr>
              <w:spacing w:before="40" w:after="40" w:line="200" w:lineRule="atLeast"/>
              <w:ind w:left="57" w:right="57"/>
              <w:jc w:val="center"/>
              <w:rPr>
                <w:b/>
                <w:sz w:val="18"/>
                <w:szCs w:val="18"/>
              </w:rPr>
            </w:pPr>
            <w:r w:rsidRPr="0081101F">
              <w:rPr>
                <w:b/>
                <w:bCs/>
                <w:sz w:val="18"/>
                <w:szCs w:val="18"/>
              </w:rPr>
              <w:t>Attention</w:t>
            </w:r>
          </w:p>
        </w:tc>
        <w:tc>
          <w:tcPr>
            <w:tcW w:w="1162" w:type="dxa"/>
            <w:vMerge/>
            <w:tcBorders>
              <w:top w:val="nil"/>
            </w:tcBorders>
            <w:shd w:val="clear" w:color="auto" w:fill="FFFFFF"/>
            <w:vAlign w:val="center"/>
          </w:tcPr>
          <w:p w14:paraId="640649B4" w14:textId="77777777" w:rsidR="00975D4C" w:rsidRPr="00165943" w:rsidRDefault="00975D4C" w:rsidP="00975D4C">
            <w:pPr>
              <w:spacing w:before="40" w:after="40" w:line="200" w:lineRule="atLeast"/>
              <w:ind w:left="57" w:right="57"/>
              <w:rPr>
                <w:sz w:val="16"/>
                <w:szCs w:val="16"/>
              </w:rPr>
            </w:pPr>
          </w:p>
        </w:tc>
        <w:tc>
          <w:tcPr>
            <w:tcW w:w="1196" w:type="dxa"/>
            <w:vMerge/>
            <w:tcBorders>
              <w:top w:val="nil"/>
            </w:tcBorders>
            <w:shd w:val="clear" w:color="auto" w:fill="FFFFFF"/>
            <w:vAlign w:val="center"/>
          </w:tcPr>
          <w:p w14:paraId="604679A5" w14:textId="77777777" w:rsidR="00975D4C" w:rsidRPr="00165943" w:rsidRDefault="00975D4C" w:rsidP="00975D4C">
            <w:pPr>
              <w:spacing w:before="40" w:after="40" w:line="200" w:lineRule="atLeast"/>
              <w:ind w:left="57" w:right="57"/>
              <w:jc w:val="center"/>
              <w:rPr>
                <w:noProof/>
                <w:sz w:val="16"/>
                <w:szCs w:val="16"/>
                <w:lang w:eastAsia="sv-SE"/>
              </w:rPr>
            </w:pPr>
          </w:p>
        </w:tc>
      </w:tr>
    </w:tbl>
    <w:p w14:paraId="75E4DD6E" w14:textId="77777777" w:rsidR="00975D4C" w:rsidRPr="00D360C4" w:rsidRDefault="00975D4C" w:rsidP="00975D4C">
      <w:pPr>
        <w:pStyle w:val="H1G"/>
      </w:pPr>
      <w:r>
        <w:tab/>
      </w:r>
      <w:r>
        <w:tab/>
      </w:r>
      <w:r w:rsidRPr="00D360C4">
        <w:t>Annexe 3</w:t>
      </w:r>
    </w:p>
    <w:p w14:paraId="680FC72F" w14:textId="77777777" w:rsidR="00975D4C" w:rsidRPr="00D360C4" w:rsidRDefault="00975D4C" w:rsidP="00975D4C">
      <w:pPr>
        <w:pStyle w:val="SingleTxtG"/>
      </w:pPr>
      <w:r w:rsidRPr="00D360C4">
        <w:t>Section 2, tableau A3.2.2, conseil de prudence P230</w:t>
      </w:r>
      <w:r w:rsidR="001153D1">
        <w:t xml:space="preserve"> </w:t>
      </w:r>
      <w:r w:rsidRPr="00D360C4">
        <w:t>:</w:t>
      </w:r>
    </w:p>
    <w:p w14:paraId="40594A97" w14:textId="77777777" w:rsidR="00975D4C" w:rsidRPr="00280858" w:rsidRDefault="00975D4C" w:rsidP="001153D1">
      <w:pPr>
        <w:pStyle w:val="Bullet1G"/>
      </w:pPr>
      <w:r w:rsidRPr="00280858">
        <w:t xml:space="preserve">À la colonne (2), </w:t>
      </w:r>
      <w:proofErr w:type="gramStart"/>
      <w:r w:rsidRPr="00280858">
        <w:t>remplacer:</w:t>
      </w:r>
      <w:proofErr w:type="gramEnd"/>
      <w:r w:rsidRPr="00280858">
        <w:t xml:space="preserve"> « Maintenir humidifié avec... » par « Maintenir dilué </w:t>
      </w:r>
      <w:r w:rsidRPr="001153D1">
        <w:t>avec</w:t>
      </w:r>
      <w:r w:rsidRPr="00280858">
        <w:t>... : »</w:t>
      </w:r>
    </w:p>
    <w:p w14:paraId="3C8F47A4" w14:textId="77777777" w:rsidR="00975D4C" w:rsidRPr="00280858" w:rsidRDefault="00975D4C" w:rsidP="00975D4C">
      <w:pPr>
        <w:pStyle w:val="Bullet1G"/>
        <w:numPr>
          <w:ilvl w:val="0"/>
          <w:numId w:val="1"/>
        </w:numPr>
      </w:pPr>
      <w:r w:rsidRPr="00280858">
        <w:t>Pour la classe de danger des explosifs (divisions 1.1, 1.2, 1.3 et 1.5), remplacer le texte dans la colonne « </w:t>
      </w:r>
      <w:r w:rsidRPr="00280858">
        <w:rPr>
          <w:i/>
        </w:rPr>
        <w:t>Conditions relatives à l</w:t>
      </w:r>
      <w:r>
        <w:rPr>
          <w:i/>
        </w:rPr>
        <w:t>’</w:t>
      </w:r>
      <w:r w:rsidRPr="00280858">
        <w:rPr>
          <w:i/>
        </w:rPr>
        <w:t>utilisation</w:t>
      </w:r>
      <w:r w:rsidRPr="00280858">
        <w:t> » par le texte suivant :</w:t>
      </w:r>
    </w:p>
    <w:p w14:paraId="5FBC2EAD" w14:textId="77777777" w:rsidR="00975D4C" w:rsidRPr="00883923" w:rsidRDefault="00975D4C" w:rsidP="00667934">
      <w:pPr>
        <w:pStyle w:val="SingleTxtG"/>
        <w:ind w:left="1701"/>
        <w:rPr>
          <w:i/>
          <w:iCs/>
        </w:rPr>
      </w:pPr>
      <w:r>
        <w:rPr>
          <w:i/>
          <w:iCs/>
        </w:rPr>
        <w:t>« </w:t>
      </w:r>
      <w:r w:rsidRPr="00883923">
        <w:rPr>
          <w:i/>
          <w:iCs/>
        </w:rPr>
        <w:t>- Pour les matières et les mélanges explosibles qui sont dilués avec des matières solides ou liquides, ou mouillés avec de l</w:t>
      </w:r>
      <w:r>
        <w:rPr>
          <w:i/>
          <w:iCs/>
        </w:rPr>
        <w:t>’</w:t>
      </w:r>
      <w:r w:rsidRPr="00883923">
        <w:rPr>
          <w:i/>
          <w:iCs/>
        </w:rPr>
        <w:t>eau ou d</w:t>
      </w:r>
      <w:r>
        <w:rPr>
          <w:i/>
          <w:iCs/>
        </w:rPr>
        <w:t>’</w:t>
      </w:r>
      <w:r w:rsidRPr="00883923">
        <w:rPr>
          <w:i/>
          <w:iCs/>
        </w:rPr>
        <w:t>autres liquides, ou dissous ou mis en suspension dans l</w:t>
      </w:r>
      <w:r>
        <w:rPr>
          <w:i/>
          <w:iCs/>
        </w:rPr>
        <w:t>’</w:t>
      </w:r>
      <w:r w:rsidRPr="00883923">
        <w:rPr>
          <w:i/>
          <w:iCs/>
        </w:rPr>
        <w:t>eau ou dans d</w:t>
      </w:r>
      <w:r>
        <w:rPr>
          <w:i/>
          <w:iCs/>
        </w:rPr>
        <w:t>’</w:t>
      </w:r>
      <w:r w:rsidRPr="00883923">
        <w:rPr>
          <w:i/>
          <w:iCs/>
        </w:rPr>
        <w:t>autres liquides afin de diminuer leurs propriétés explosives.</w:t>
      </w:r>
    </w:p>
    <w:p w14:paraId="5157835B" w14:textId="77777777" w:rsidR="00975D4C" w:rsidRPr="00883923" w:rsidRDefault="00975D4C" w:rsidP="00667934">
      <w:pPr>
        <w:pStyle w:val="SingleTxtG"/>
        <w:ind w:left="1701"/>
      </w:pPr>
      <w:r w:rsidRPr="00883923">
        <w:t>... Il revient au fabricant/fournisseur ou à l</w:t>
      </w:r>
      <w:r>
        <w:t>’</w:t>
      </w:r>
      <w:r w:rsidRPr="00883923">
        <w:t>autorité compétente de préciser les matières appropriées.</w:t>
      </w:r>
      <w:r>
        <w:t> »</w:t>
      </w:r>
      <w:r w:rsidR="00667934">
        <w:t>.</w:t>
      </w:r>
    </w:p>
    <w:p w14:paraId="2557121A" w14:textId="77777777" w:rsidR="00975D4C" w:rsidRDefault="00975D4C" w:rsidP="00975D4C">
      <w:pPr>
        <w:pStyle w:val="SingleTxtG"/>
      </w:pPr>
      <w:r w:rsidRPr="00D360C4">
        <w:t>Section 3, tableau des conseils de prudence pour les matières et objets explosibles (divisions 1.1, 1.2, 1.3 et 1.5)</w:t>
      </w:r>
      <w:r>
        <w:t>, d</w:t>
      </w:r>
      <w:r w:rsidRPr="00883923">
        <w:t xml:space="preserve">ans la colonne </w:t>
      </w:r>
      <w:r>
        <w:t>« </w:t>
      </w:r>
      <w:r w:rsidRPr="00883923">
        <w:t>Prévention</w:t>
      </w:r>
      <w:r>
        <w:t> »</w:t>
      </w:r>
      <w:r w:rsidRPr="00883923">
        <w:t xml:space="preserve">, </w:t>
      </w:r>
      <w:r>
        <w:t xml:space="preserve">remplacer le texte relatif au conseil de prudence </w:t>
      </w:r>
      <w:r w:rsidRPr="00883923">
        <w:t>P230</w:t>
      </w:r>
      <w:r>
        <w:t xml:space="preserve"> par le texte suivant :</w:t>
      </w:r>
    </w:p>
    <w:p w14:paraId="185E3355" w14:textId="77777777" w:rsidR="00975D4C" w:rsidRPr="00883923" w:rsidRDefault="00975D4C" w:rsidP="001153D1">
      <w:pPr>
        <w:pStyle w:val="SingleTxtG"/>
        <w:keepNext/>
        <w:ind w:left="1701"/>
        <w:rPr>
          <w:i/>
          <w:iCs/>
        </w:rPr>
      </w:pPr>
      <w:r>
        <w:rPr>
          <w:b/>
          <w:bCs/>
        </w:rPr>
        <w:lastRenderedPageBreak/>
        <w:t>« </w:t>
      </w:r>
      <w:r w:rsidRPr="00883923">
        <w:rPr>
          <w:b/>
          <w:bCs/>
        </w:rPr>
        <w:t>Maintenir dilué avec…</w:t>
      </w:r>
    </w:p>
    <w:p w14:paraId="70E40D15" w14:textId="77777777" w:rsidR="00975D4C" w:rsidRPr="00883923" w:rsidRDefault="00975D4C" w:rsidP="00975D4C">
      <w:pPr>
        <w:pStyle w:val="SingleTxtG"/>
        <w:ind w:left="1701"/>
        <w:rPr>
          <w:i/>
          <w:iCs/>
        </w:rPr>
      </w:pPr>
      <w:r w:rsidRPr="00883923">
        <w:rPr>
          <w:i/>
          <w:iCs/>
        </w:rPr>
        <w:t>- Pour les matières et les mélanges explosibles qui sont dilués avec des matières solides ou liquides, ou mouillés avec de l</w:t>
      </w:r>
      <w:r>
        <w:rPr>
          <w:i/>
          <w:iCs/>
        </w:rPr>
        <w:t>’</w:t>
      </w:r>
      <w:r w:rsidRPr="00883923">
        <w:rPr>
          <w:i/>
          <w:iCs/>
        </w:rPr>
        <w:t>eau ou d</w:t>
      </w:r>
      <w:r>
        <w:rPr>
          <w:i/>
          <w:iCs/>
        </w:rPr>
        <w:t>’</w:t>
      </w:r>
      <w:r w:rsidRPr="00883923">
        <w:rPr>
          <w:i/>
          <w:iCs/>
        </w:rPr>
        <w:t>autres liquides, ou dissous ou mis en suspension dans l</w:t>
      </w:r>
      <w:r>
        <w:rPr>
          <w:i/>
          <w:iCs/>
        </w:rPr>
        <w:t>’</w:t>
      </w:r>
      <w:r w:rsidRPr="00883923">
        <w:rPr>
          <w:i/>
          <w:iCs/>
        </w:rPr>
        <w:t>eau ou dans d</w:t>
      </w:r>
      <w:r>
        <w:rPr>
          <w:i/>
          <w:iCs/>
        </w:rPr>
        <w:t>’</w:t>
      </w:r>
      <w:r w:rsidRPr="00883923">
        <w:rPr>
          <w:i/>
          <w:iCs/>
        </w:rPr>
        <w:t>autres liquides afin de diminuer leurs propriétés explosives.</w:t>
      </w:r>
    </w:p>
    <w:p w14:paraId="77D6CA39" w14:textId="77777777" w:rsidR="00975D4C" w:rsidRDefault="00975D4C" w:rsidP="00975D4C">
      <w:pPr>
        <w:pStyle w:val="SingleTxtG"/>
        <w:ind w:left="1701"/>
        <w:rPr>
          <w:highlight w:val="yellow"/>
        </w:rPr>
      </w:pPr>
      <w:r w:rsidRPr="00883923">
        <w:t>... Il revient au fabricant/fournisseur ou à l</w:t>
      </w:r>
      <w:r>
        <w:t>’</w:t>
      </w:r>
      <w:r w:rsidRPr="00883923">
        <w:t>autorité compétente de préciser les matières appropriées.</w:t>
      </w:r>
      <w:r>
        <w:t> »</w:t>
      </w:r>
      <w:r w:rsidR="001153D1">
        <w:t>.</w:t>
      </w:r>
    </w:p>
    <w:p w14:paraId="0618E69F" w14:textId="77777777" w:rsidR="00975D4C" w:rsidRDefault="00975D4C" w:rsidP="00975D4C">
      <w:pPr>
        <w:pStyle w:val="SingleTxtG"/>
        <w:rPr>
          <w:i/>
          <w:iCs/>
        </w:rPr>
      </w:pPr>
      <w:r w:rsidRPr="00385B2E">
        <w:rPr>
          <w:i/>
          <w:iCs/>
        </w:rPr>
        <w:t>(</w:t>
      </w:r>
      <w:r>
        <w:rPr>
          <w:i/>
          <w:iCs/>
        </w:rPr>
        <w:t>Document de référence</w:t>
      </w:r>
      <w:r w:rsidR="00A16EBB">
        <w:rPr>
          <w:i/>
          <w:iCs/>
        </w:rPr>
        <w:t xml:space="preserve"> </w:t>
      </w:r>
      <w:r w:rsidRPr="00385B2E">
        <w:rPr>
          <w:i/>
          <w:iCs/>
        </w:rPr>
        <w:t>: ST/SG/AC.10/C.4/2019/</w:t>
      </w:r>
      <w:r>
        <w:rPr>
          <w:i/>
          <w:iCs/>
        </w:rPr>
        <w:t>15</w:t>
      </w:r>
      <w:r w:rsidRPr="00385B2E">
        <w:rPr>
          <w:i/>
          <w:iCs/>
        </w:rPr>
        <w:t>)</w:t>
      </w:r>
    </w:p>
    <w:p w14:paraId="04540342" w14:textId="77777777" w:rsidR="00975D4C" w:rsidRDefault="00975D4C" w:rsidP="00975D4C">
      <w:pPr>
        <w:pStyle w:val="SingleTxtG"/>
        <w:ind w:left="1701"/>
        <w:rPr>
          <w:i/>
          <w:iCs/>
        </w:rPr>
      </w:pPr>
      <w:r w:rsidRPr="000236C2">
        <w:rPr>
          <w:i/>
          <w:iCs/>
          <w:u w:val="single"/>
        </w:rPr>
        <w:t>Nota du secrétariat</w:t>
      </w:r>
      <w:r>
        <w:rPr>
          <w:i/>
          <w:iCs/>
        </w:rPr>
        <w:t> :</w:t>
      </w:r>
    </w:p>
    <w:p w14:paraId="260DB5DF" w14:textId="77777777" w:rsidR="00975D4C" w:rsidRPr="000236C2" w:rsidRDefault="00975D4C" w:rsidP="00975D4C">
      <w:pPr>
        <w:pStyle w:val="SingleTxtG"/>
        <w:ind w:left="1701"/>
        <w:rPr>
          <w:i/>
          <w:iCs/>
        </w:rPr>
      </w:pPr>
      <w:r w:rsidRPr="000236C2">
        <w:rPr>
          <w:i/>
          <w:iCs/>
        </w:rPr>
        <w:t>Amendement de conséquence : le même amendement s</w:t>
      </w:r>
      <w:r>
        <w:rPr>
          <w:i/>
          <w:iCs/>
        </w:rPr>
        <w:t>’</w:t>
      </w:r>
      <w:r w:rsidRPr="000236C2">
        <w:rPr>
          <w:i/>
          <w:iCs/>
        </w:rPr>
        <w:t>applique aux tableaux des conseils de prudence, en ce qui concerne le conseil P230, dans les tableaux relatifs aux matières explosibles sensibilisées (catégories 1, 2, 3 et 4).</w:t>
      </w:r>
    </w:p>
    <w:p w14:paraId="7706FD02" w14:textId="77777777" w:rsidR="00975D4C" w:rsidRDefault="00975D4C" w:rsidP="00975D4C">
      <w:pPr>
        <w:pStyle w:val="H1G"/>
      </w:pPr>
      <w:r>
        <w:tab/>
      </w:r>
      <w:r>
        <w:tab/>
        <w:t>Annexe 4</w:t>
      </w:r>
    </w:p>
    <w:p w14:paraId="62251D20" w14:textId="77777777" w:rsidR="00975D4C" w:rsidRDefault="00975D4C" w:rsidP="00A16EBB">
      <w:pPr>
        <w:pStyle w:val="SingleTxtG"/>
        <w:ind w:left="2268" w:hanging="1134"/>
      </w:pPr>
      <w:r>
        <w:t>A4.3.9</w:t>
      </w:r>
      <w:r>
        <w:tab/>
        <w:t xml:space="preserve">Modifier le titre de la section 9 pour lire comme suit : </w:t>
      </w:r>
      <w:r w:rsidR="00A16EBB">
        <w:t>« </w:t>
      </w:r>
      <w:r w:rsidRPr="00B9090B">
        <w:rPr>
          <w:lang w:val="fr-FR"/>
        </w:rPr>
        <w:t>Propriétés physiques et chimiques</w:t>
      </w:r>
      <w:r w:rsidR="00A16EBB">
        <w:t> »</w:t>
      </w:r>
    </w:p>
    <w:p w14:paraId="44DB47F1" w14:textId="77777777" w:rsidR="00975D4C" w:rsidRDefault="00975D4C" w:rsidP="00975D4C">
      <w:pPr>
        <w:pStyle w:val="SingleTxtG"/>
        <w:rPr>
          <w:i/>
          <w:iCs/>
        </w:rPr>
      </w:pPr>
      <w:r w:rsidRPr="00385B2E">
        <w:rPr>
          <w:i/>
          <w:iCs/>
        </w:rPr>
        <w:t>(</w:t>
      </w:r>
      <w:r>
        <w:rPr>
          <w:i/>
          <w:iCs/>
        </w:rPr>
        <w:t>Document de référence</w:t>
      </w:r>
      <w:r w:rsidR="00A16EBB">
        <w:rPr>
          <w:i/>
          <w:iCs/>
        </w:rPr>
        <w:t xml:space="preserve"> </w:t>
      </w:r>
      <w:r w:rsidRPr="00385B2E">
        <w:rPr>
          <w:i/>
          <w:iCs/>
        </w:rPr>
        <w:t>: ST/SG/AC.10/C.4/2019/</w:t>
      </w:r>
      <w:r>
        <w:rPr>
          <w:i/>
          <w:iCs/>
        </w:rPr>
        <w:t>13</w:t>
      </w:r>
      <w:r w:rsidRPr="00385B2E">
        <w:rPr>
          <w:i/>
          <w:iCs/>
        </w:rPr>
        <w:t>)</w:t>
      </w:r>
    </w:p>
    <w:p w14:paraId="2B63B0EF" w14:textId="77777777" w:rsidR="00975D4C" w:rsidRDefault="00975D4C" w:rsidP="00975D4C">
      <w:pPr>
        <w:pStyle w:val="HChG"/>
      </w:pPr>
      <w:r>
        <w:br w:type="page"/>
      </w:r>
      <w:r>
        <w:lastRenderedPageBreak/>
        <w:t>Annexe II</w:t>
      </w:r>
    </w:p>
    <w:p w14:paraId="2A878622" w14:textId="77777777" w:rsidR="00975D4C" w:rsidRDefault="00975D4C" w:rsidP="00975D4C">
      <w:pPr>
        <w:jc w:val="right"/>
      </w:pPr>
      <w:r>
        <w:t>[</w:t>
      </w:r>
      <w:r w:rsidRPr="00975D4C">
        <w:rPr>
          <w:i/>
          <w:iCs/>
        </w:rPr>
        <w:t>Original : anglais et français</w:t>
      </w:r>
      <w:r>
        <w:t>]</w:t>
      </w:r>
    </w:p>
    <w:p w14:paraId="2C31A0DE" w14:textId="77777777" w:rsidR="00975D4C" w:rsidRDefault="00975D4C" w:rsidP="00975D4C">
      <w:pPr>
        <w:pStyle w:val="HChG"/>
      </w:pPr>
      <w:r>
        <w:tab/>
      </w:r>
      <w:r>
        <w:tab/>
        <w:t xml:space="preserve">Corrections </w:t>
      </w:r>
      <w:r w:rsidRPr="003A2882">
        <w:rPr>
          <w:lang w:val="fr-FR"/>
        </w:rPr>
        <w:t xml:space="preserve">à la </w:t>
      </w:r>
      <w:r>
        <w:rPr>
          <w:lang w:val="fr-FR"/>
        </w:rPr>
        <w:t xml:space="preserve">huitième </w:t>
      </w:r>
      <w:r w:rsidRPr="003A2882">
        <w:rPr>
          <w:lang w:val="fr-FR"/>
        </w:rPr>
        <w:t xml:space="preserve">édition révisée </w:t>
      </w:r>
      <w:r>
        <w:rPr>
          <w:lang w:val="fr-FR"/>
        </w:rPr>
        <w:t>du Système général harmonisé de classification et d’étiquetage des produits chimiques (ST/SG/AC.10/30/Rev.8</w:t>
      </w:r>
      <w:r w:rsidRPr="003A2882">
        <w:rPr>
          <w:lang w:val="fr-FR"/>
        </w:rPr>
        <w:t>)</w:t>
      </w:r>
    </w:p>
    <w:p w14:paraId="06F52850" w14:textId="77777777" w:rsidR="00975D4C" w:rsidRDefault="00975D4C" w:rsidP="00392CBF">
      <w:pPr>
        <w:pStyle w:val="H1G"/>
      </w:pPr>
      <w:r>
        <w:tab/>
        <w:t>1.</w:t>
      </w:r>
      <w:r>
        <w:tab/>
        <w:t xml:space="preserve">Chapitre 1.4, sous-paragraphes 1.4.10.5.3.3 a), b) et c), mentions </w:t>
      </w:r>
      <w:r w:rsidR="00392CBF">
        <w:br/>
      </w:r>
      <w:r>
        <w:t>de danger H410, H411 et H412</w:t>
      </w:r>
    </w:p>
    <w:p w14:paraId="0618395E" w14:textId="77777777" w:rsidR="00975D4C" w:rsidRPr="00E01520" w:rsidRDefault="00975D4C" w:rsidP="00975D4C">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6A5D7661" w14:textId="77777777" w:rsidR="00975D4C" w:rsidRPr="000A0EC2"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8</w:t>
      </w:r>
      <w:r w:rsidRPr="00385B2E">
        <w:rPr>
          <w:i/>
          <w:iCs/>
        </w:rPr>
        <w:t>)</w:t>
      </w:r>
    </w:p>
    <w:p w14:paraId="1E936006" w14:textId="77777777" w:rsidR="00975D4C" w:rsidRPr="00A657E8" w:rsidRDefault="00975D4C" w:rsidP="00392CBF">
      <w:pPr>
        <w:pStyle w:val="H1G"/>
      </w:pPr>
      <w:r>
        <w:tab/>
        <w:t>2.</w:t>
      </w:r>
      <w:r>
        <w:tab/>
      </w:r>
      <w:r w:rsidRPr="00A657E8">
        <w:t>Chap</w:t>
      </w:r>
      <w:r>
        <w:t>i</w:t>
      </w:r>
      <w:r w:rsidRPr="00A657E8">
        <w:t>tr</w:t>
      </w:r>
      <w:r>
        <w:t>e</w:t>
      </w:r>
      <w:r w:rsidRPr="00A657E8">
        <w:t xml:space="preserve"> 2.3, </w:t>
      </w:r>
      <w:r>
        <w:t>diagramme de décision</w:t>
      </w:r>
      <w:r w:rsidRPr="00A657E8">
        <w:t xml:space="preserve"> 2.3.2</w:t>
      </w:r>
    </w:p>
    <w:p w14:paraId="16D79887" w14:textId="77777777" w:rsidR="00975D4C" w:rsidRPr="00DD281C" w:rsidRDefault="00975D4C" w:rsidP="00975D4C">
      <w:pPr>
        <w:pStyle w:val="SingleTxtG"/>
        <w:keepNext/>
        <w:keepLines/>
      </w:pPr>
      <w:r w:rsidRPr="00DD281C">
        <w:t>L</w:t>
      </w:r>
      <w:r>
        <w:t>es</w:t>
      </w:r>
      <w:r w:rsidRPr="00DD281C">
        <w:t xml:space="preserve"> correction</w:t>
      </w:r>
      <w:r>
        <w:t>s</w:t>
      </w:r>
      <w:r w:rsidRPr="00DD281C">
        <w:t xml:space="preserve"> ne s</w:t>
      </w:r>
      <w:r>
        <w:t>’</w:t>
      </w:r>
      <w:r w:rsidRPr="00DD281C">
        <w:t>applique</w:t>
      </w:r>
      <w:r>
        <w:t>nt</w:t>
      </w:r>
      <w:r w:rsidRPr="00DD281C">
        <w:t xml:space="preserve"> pas à la version française.</w:t>
      </w:r>
    </w:p>
    <w:p w14:paraId="68033E6B" w14:textId="77777777" w:rsidR="00975D4C" w:rsidRPr="00385B2E" w:rsidRDefault="00975D4C" w:rsidP="00975D4C">
      <w:pPr>
        <w:pStyle w:val="SingleTxtG"/>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5F7E84BB" w14:textId="77777777" w:rsidR="00975D4C" w:rsidRPr="00A657E8" w:rsidRDefault="00975D4C" w:rsidP="00392CBF">
      <w:pPr>
        <w:pStyle w:val="H1G"/>
      </w:pPr>
      <w:r>
        <w:tab/>
        <w:t>3.</w:t>
      </w:r>
      <w:r w:rsidRPr="00A657E8">
        <w:tab/>
      </w:r>
      <w:r>
        <w:t>Chapitre</w:t>
      </w:r>
      <w:r w:rsidRPr="00A657E8">
        <w:t xml:space="preserve"> 2.7, paragraph</w:t>
      </w:r>
      <w:r>
        <w:t>e</w:t>
      </w:r>
      <w:r w:rsidRPr="00A657E8">
        <w:t xml:space="preserve">s 2.7.2.1, 2.7.2.4 </w:t>
      </w:r>
      <w:r>
        <w:t xml:space="preserve">et </w:t>
      </w:r>
      <w:r w:rsidRPr="00A657E8">
        <w:t>2.7.4</w:t>
      </w:r>
    </w:p>
    <w:p w14:paraId="13B6EF6D" w14:textId="77777777" w:rsidR="00975D4C" w:rsidRPr="00DD281C" w:rsidRDefault="00975D4C" w:rsidP="00975D4C">
      <w:pPr>
        <w:pStyle w:val="SingleTxtG"/>
      </w:pPr>
      <w:r w:rsidRPr="00DD281C">
        <w:rPr>
          <w:i/>
          <w:iCs/>
        </w:rPr>
        <w:t>Au lieu de</w:t>
      </w:r>
      <w:r w:rsidRPr="00DD281C">
        <w:t xml:space="preserve"> 33.2.1 </w:t>
      </w:r>
      <w:r w:rsidRPr="00DD281C">
        <w:rPr>
          <w:i/>
          <w:iCs/>
        </w:rPr>
        <w:t>lire</w:t>
      </w:r>
      <w:r w:rsidRPr="00DD281C">
        <w:t xml:space="preserve"> 33.2</w:t>
      </w:r>
    </w:p>
    <w:p w14:paraId="6C0BD4E1" w14:textId="77777777" w:rsidR="00975D4C" w:rsidRPr="00385B2E" w:rsidRDefault="00975D4C" w:rsidP="00975D4C">
      <w:pPr>
        <w:pStyle w:val="SingleTxtG"/>
        <w:spacing w:after="80"/>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1CF2A2FE" w14:textId="77777777" w:rsidR="00975D4C" w:rsidRPr="00A657E8" w:rsidRDefault="00975D4C" w:rsidP="00392CBF">
      <w:pPr>
        <w:pStyle w:val="H1G"/>
      </w:pPr>
      <w:r>
        <w:tab/>
        <w:t>4.</w:t>
      </w:r>
      <w:r>
        <w:tab/>
      </w:r>
      <w:r w:rsidRPr="00A657E8">
        <w:t>Chap</w:t>
      </w:r>
      <w:r>
        <w:t>i</w:t>
      </w:r>
      <w:r w:rsidRPr="00A657E8">
        <w:t>tr</w:t>
      </w:r>
      <w:r>
        <w:t>e</w:t>
      </w:r>
      <w:r w:rsidRPr="00A657E8">
        <w:t xml:space="preserve"> 2.9, paragraph</w:t>
      </w:r>
      <w:r>
        <w:t>e</w:t>
      </w:r>
      <w:r w:rsidRPr="00A657E8">
        <w:t xml:space="preserve">s 2.9.2 </w:t>
      </w:r>
      <w:r>
        <w:t>et</w:t>
      </w:r>
      <w:r w:rsidRPr="00A657E8">
        <w:t xml:space="preserve"> 2.9.4.1</w:t>
      </w:r>
    </w:p>
    <w:p w14:paraId="2363A971" w14:textId="77777777" w:rsidR="00975D4C" w:rsidRDefault="00975D4C" w:rsidP="00975D4C">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33.3.1.5 </w:t>
      </w:r>
      <w:r>
        <w:rPr>
          <w:rFonts w:asciiTheme="majorBidi" w:hAnsiTheme="majorBidi" w:cstheme="majorBidi"/>
          <w:i/>
          <w:iCs/>
        </w:rPr>
        <w:t>lire</w:t>
      </w:r>
      <w:r>
        <w:rPr>
          <w:rFonts w:asciiTheme="majorBidi" w:hAnsiTheme="majorBidi" w:cstheme="majorBidi"/>
        </w:rPr>
        <w:t xml:space="preserve"> 33.4.5</w:t>
      </w:r>
    </w:p>
    <w:p w14:paraId="41680C3F" w14:textId="77777777" w:rsidR="00975D4C" w:rsidRPr="00385B2E" w:rsidRDefault="00975D4C" w:rsidP="00975D4C">
      <w:pPr>
        <w:pStyle w:val="SingleTxtG"/>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4FAAAF91" w14:textId="77777777" w:rsidR="00975D4C" w:rsidRPr="00A657E8" w:rsidRDefault="00975D4C" w:rsidP="00392CBF">
      <w:pPr>
        <w:pStyle w:val="H1G"/>
      </w:pPr>
      <w:r>
        <w:tab/>
        <w:t>5.</w:t>
      </w:r>
      <w:r w:rsidRPr="00A657E8">
        <w:tab/>
        <w:t>Chap</w:t>
      </w:r>
      <w:r>
        <w:t>i</w:t>
      </w:r>
      <w:r w:rsidRPr="00A657E8">
        <w:t>tr</w:t>
      </w:r>
      <w:r>
        <w:t>e</w:t>
      </w:r>
      <w:r w:rsidRPr="00A657E8">
        <w:t xml:space="preserve"> 2.10, paragraph</w:t>
      </w:r>
      <w:r>
        <w:t>e</w:t>
      </w:r>
      <w:r w:rsidRPr="00A657E8">
        <w:t xml:space="preserve">s 2.10.2 </w:t>
      </w:r>
      <w:r>
        <w:t xml:space="preserve">et </w:t>
      </w:r>
      <w:r w:rsidRPr="00A657E8">
        <w:t>2.10.4.1</w:t>
      </w:r>
    </w:p>
    <w:p w14:paraId="621E2FFB" w14:textId="77777777" w:rsidR="00975D4C" w:rsidRDefault="00975D4C" w:rsidP="00975D4C">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33.3.1.4 </w:t>
      </w:r>
      <w:r>
        <w:rPr>
          <w:rFonts w:asciiTheme="majorBidi" w:hAnsiTheme="majorBidi" w:cstheme="majorBidi"/>
          <w:i/>
          <w:iCs/>
        </w:rPr>
        <w:t>lire</w:t>
      </w:r>
      <w:r>
        <w:rPr>
          <w:rFonts w:asciiTheme="majorBidi" w:hAnsiTheme="majorBidi" w:cstheme="majorBidi"/>
        </w:rPr>
        <w:t xml:space="preserve"> 33.4.4</w:t>
      </w:r>
    </w:p>
    <w:p w14:paraId="3B239603" w14:textId="77777777" w:rsidR="00975D4C" w:rsidRDefault="00975D4C" w:rsidP="00975D4C">
      <w:pPr>
        <w:pStyle w:val="SingleTxtG"/>
        <w:rPr>
          <w:rFonts w:asciiTheme="majorBidi" w:hAnsiTheme="majorBidi" w:cstheme="majorBidi"/>
        </w:rPr>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5F3EC528" w14:textId="77777777" w:rsidR="00975D4C" w:rsidRPr="00A657E8" w:rsidRDefault="00975D4C" w:rsidP="00392CBF">
      <w:pPr>
        <w:pStyle w:val="H1G"/>
      </w:pPr>
      <w:r>
        <w:tab/>
        <w:t>6.</w:t>
      </w:r>
      <w:r w:rsidRPr="00A657E8">
        <w:tab/>
        <w:t>Chap</w:t>
      </w:r>
      <w:r>
        <w:t>i</w:t>
      </w:r>
      <w:r w:rsidRPr="00A657E8">
        <w:t>tr</w:t>
      </w:r>
      <w:r>
        <w:t>e</w:t>
      </w:r>
      <w:r w:rsidRPr="00A657E8">
        <w:t xml:space="preserve"> 2.11, paragraph</w:t>
      </w:r>
      <w:r>
        <w:t>e</w:t>
      </w:r>
      <w:r w:rsidRPr="00A657E8">
        <w:t xml:space="preserve">s 2.11.2.1, 2.11.2.2 </w:t>
      </w:r>
      <w:r>
        <w:t>et</w:t>
      </w:r>
      <w:r w:rsidRPr="00A657E8">
        <w:t xml:space="preserve"> 2.11.4.1</w:t>
      </w:r>
    </w:p>
    <w:p w14:paraId="061E8818" w14:textId="77777777" w:rsidR="00975D4C" w:rsidRDefault="00975D4C" w:rsidP="00975D4C">
      <w:pPr>
        <w:pStyle w:val="SingleTxtG"/>
        <w:rPr>
          <w:rFonts w:asciiTheme="majorBidi" w:hAnsiTheme="majorBidi" w:cstheme="majorBidi"/>
        </w:rPr>
      </w:pPr>
      <w:r>
        <w:rPr>
          <w:rFonts w:asciiTheme="majorBidi" w:hAnsiTheme="majorBidi" w:cstheme="majorBidi"/>
          <w:i/>
          <w:iCs/>
        </w:rPr>
        <w:t xml:space="preserve">Au lieu de </w:t>
      </w:r>
      <w:r>
        <w:rPr>
          <w:rFonts w:asciiTheme="majorBidi" w:hAnsiTheme="majorBidi" w:cstheme="majorBidi"/>
        </w:rPr>
        <w:t xml:space="preserve">33.3.1.6 </w:t>
      </w:r>
      <w:r>
        <w:rPr>
          <w:rFonts w:asciiTheme="majorBidi" w:hAnsiTheme="majorBidi" w:cstheme="majorBidi"/>
          <w:i/>
          <w:iCs/>
        </w:rPr>
        <w:t>lire</w:t>
      </w:r>
      <w:r>
        <w:rPr>
          <w:rFonts w:asciiTheme="majorBidi" w:hAnsiTheme="majorBidi" w:cstheme="majorBidi"/>
        </w:rPr>
        <w:t xml:space="preserve"> 33.4.6</w:t>
      </w:r>
    </w:p>
    <w:p w14:paraId="5C57BE29" w14:textId="77777777" w:rsidR="00975D4C" w:rsidRDefault="00975D4C" w:rsidP="00975D4C">
      <w:pPr>
        <w:pStyle w:val="SingleTxtG"/>
        <w:rPr>
          <w:rFonts w:asciiTheme="majorBidi" w:hAnsiTheme="majorBidi" w:cstheme="majorBidi"/>
        </w:rPr>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2D2702A3" w14:textId="77777777" w:rsidR="00975D4C" w:rsidRPr="00A657E8" w:rsidRDefault="00975D4C" w:rsidP="00392CBF">
      <w:pPr>
        <w:pStyle w:val="H1G"/>
      </w:pPr>
      <w:r>
        <w:tab/>
        <w:t>7.</w:t>
      </w:r>
      <w:r w:rsidRPr="00A657E8">
        <w:tab/>
        <w:t>Chap</w:t>
      </w:r>
      <w:r>
        <w:t>i</w:t>
      </w:r>
      <w:r w:rsidRPr="00A657E8">
        <w:t>tr</w:t>
      </w:r>
      <w:r>
        <w:t>e</w:t>
      </w:r>
      <w:r w:rsidRPr="00A657E8">
        <w:t xml:space="preserve"> 2.12, paragraph</w:t>
      </w:r>
      <w:r>
        <w:t>e</w:t>
      </w:r>
      <w:r w:rsidRPr="00A657E8">
        <w:t xml:space="preserve">s 2.12.2 </w:t>
      </w:r>
      <w:r>
        <w:t xml:space="preserve">et </w:t>
      </w:r>
      <w:r w:rsidRPr="00A657E8">
        <w:t>2.12.4.1</w:t>
      </w:r>
    </w:p>
    <w:p w14:paraId="4C9CF597" w14:textId="77777777" w:rsidR="00975D4C" w:rsidRDefault="00975D4C" w:rsidP="00975D4C">
      <w:pPr>
        <w:pStyle w:val="SingleTxtG"/>
        <w:rPr>
          <w:rFonts w:asciiTheme="majorBidi" w:hAnsiTheme="majorBidi" w:cstheme="majorBidi"/>
        </w:rPr>
      </w:pPr>
      <w:r>
        <w:rPr>
          <w:rFonts w:asciiTheme="majorBidi" w:hAnsiTheme="majorBidi" w:cstheme="majorBidi"/>
          <w:i/>
          <w:iCs/>
        </w:rPr>
        <w:t>Au lieu</w:t>
      </w:r>
      <w:r w:rsidRPr="00FF0DA3">
        <w:rPr>
          <w:rFonts w:asciiTheme="majorBidi" w:hAnsiTheme="majorBidi" w:cstheme="majorBidi"/>
          <w:i/>
          <w:iCs/>
        </w:rPr>
        <w:t xml:space="preserve"> </w:t>
      </w:r>
      <w:r w:rsidRPr="00FF0DA3">
        <w:rPr>
          <w:rFonts w:asciiTheme="majorBidi" w:hAnsiTheme="majorBidi" w:cstheme="majorBidi"/>
        </w:rPr>
        <w:t xml:space="preserve">33.4.1.4 </w:t>
      </w:r>
      <w:r>
        <w:rPr>
          <w:rFonts w:asciiTheme="majorBidi" w:hAnsiTheme="majorBidi" w:cstheme="majorBidi"/>
          <w:i/>
          <w:iCs/>
        </w:rPr>
        <w:t>lire</w:t>
      </w:r>
      <w:r w:rsidRPr="00FF0DA3">
        <w:rPr>
          <w:rFonts w:asciiTheme="majorBidi" w:hAnsiTheme="majorBidi" w:cstheme="majorBidi"/>
        </w:rPr>
        <w:t xml:space="preserve"> 33.5.4</w:t>
      </w:r>
    </w:p>
    <w:p w14:paraId="3C867B8C"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0E3E6D99" w14:textId="77777777" w:rsidR="00975D4C" w:rsidRPr="009E1059" w:rsidRDefault="00975D4C" w:rsidP="00392CBF">
      <w:pPr>
        <w:pStyle w:val="H1G"/>
      </w:pPr>
      <w:r>
        <w:tab/>
        <w:t>8.</w:t>
      </w:r>
      <w:r>
        <w:tab/>
      </w:r>
      <w:r w:rsidRPr="00392CBF">
        <w:rPr>
          <w:spacing w:val="-2"/>
        </w:rPr>
        <w:t>Chapitre 2.14, tableau 2.14.1, sous « critères concernant l’épreuve O.3 »,</w:t>
      </w:r>
      <w:r>
        <w:t xml:space="preserve"> catégorie 1</w:t>
      </w:r>
    </w:p>
    <w:p w14:paraId="0BFF41DB" w14:textId="77777777" w:rsidR="00975D4C" w:rsidRDefault="00975D4C" w:rsidP="00975D4C">
      <w:pPr>
        <w:pStyle w:val="SingleTxtG"/>
        <w:rPr>
          <w:rFonts w:asciiTheme="majorBidi" w:hAnsiTheme="majorBidi" w:cstheme="majorBidi"/>
        </w:rPr>
      </w:pPr>
      <w:r>
        <w:rPr>
          <w:rFonts w:asciiTheme="majorBidi" w:hAnsiTheme="majorBidi" w:cstheme="majorBidi"/>
          <w:i/>
          <w:iCs/>
        </w:rPr>
        <w:t>Au lieu de</w:t>
      </w:r>
      <w:r w:rsidRPr="002F75B9">
        <w:rPr>
          <w:rFonts w:asciiTheme="majorBidi" w:hAnsiTheme="majorBidi" w:cstheme="majorBidi"/>
          <w:i/>
          <w:iCs/>
        </w:rPr>
        <w:t xml:space="preserve"> </w:t>
      </w:r>
      <w:r w:rsidRPr="002F75B9">
        <w:rPr>
          <w:rFonts w:asciiTheme="majorBidi" w:hAnsiTheme="majorBidi" w:cstheme="majorBidi"/>
        </w:rPr>
        <w:t xml:space="preserve">vitesse </w:t>
      </w:r>
      <w:r>
        <w:rPr>
          <w:rFonts w:asciiTheme="majorBidi" w:hAnsiTheme="majorBidi" w:cstheme="majorBidi"/>
        </w:rPr>
        <w:t xml:space="preserve">moyenne </w:t>
      </w:r>
      <w:r w:rsidRPr="002F75B9">
        <w:rPr>
          <w:rFonts w:asciiTheme="majorBidi" w:hAnsiTheme="majorBidi" w:cstheme="majorBidi"/>
        </w:rPr>
        <w:t xml:space="preserve">de combustion inférieure à </w:t>
      </w:r>
      <w:r>
        <w:rPr>
          <w:rFonts w:asciiTheme="majorBidi" w:hAnsiTheme="majorBidi" w:cstheme="majorBidi"/>
          <w:i/>
          <w:iCs/>
        </w:rPr>
        <w:t>lire</w:t>
      </w:r>
      <w:r w:rsidRPr="002F75B9">
        <w:rPr>
          <w:rFonts w:asciiTheme="majorBidi" w:hAnsiTheme="majorBidi" w:cstheme="majorBidi"/>
        </w:rPr>
        <w:t xml:space="preserve"> vitesse </w:t>
      </w:r>
      <w:r>
        <w:rPr>
          <w:rFonts w:asciiTheme="majorBidi" w:hAnsiTheme="majorBidi" w:cstheme="majorBidi"/>
        </w:rPr>
        <w:t xml:space="preserve">moyenne </w:t>
      </w:r>
      <w:r w:rsidRPr="002F75B9">
        <w:rPr>
          <w:rFonts w:asciiTheme="majorBidi" w:hAnsiTheme="majorBidi" w:cstheme="majorBidi"/>
        </w:rPr>
        <w:t>de combustion supérieure à</w:t>
      </w:r>
    </w:p>
    <w:p w14:paraId="5A8E15AB" w14:textId="77777777" w:rsidR="00975D4C" w:rsidRDefault="00975D4C" w:rsidP="00975D4C">
      <w:pPr>
        <w:pStyle w:val="SingleTxtG"/>
        <w:rPr>
          <w:i/>
          <w:iCs/>
        </w:rPr>
      </w:pPr>
      <w:r w:rsidRPr="00385B2E">
        <w:rPr>
          <w:i/>
          <w:iCs/>
        </w:rPr>
        <w:lastRenderedPageBreak/>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17E23A48" w14:textId="77777777" w:rsidR="00975D4C" w:rsidRPr="00A657E8" w:rsidRDefault="00975D4C" w:rsidP="00392CBF">
      <w:pPr>
        <w:pStyle w:val="H1G"/>
      </w:pPr>
      <w:r>
        <w:tab/>
        <w:t>9.</w:t>
      </w:r>
      <w:r>
        <w:tab/>
      </w:r>
      <w:r w:rsidRPr="00A657E8">
        <w:t>Chap</w:t>
      </w:r>
      <w:r>
        <w:t>i</w:t>
      </w:r>
      <w:r w:rsidRPr="00A657E8">
        <w:t>tr</w:t>
      </w:r>
      <w:r>
        <w:t>e</w:t>
      </w:r>
      <w:r w:rsidRPr="00A657E8">
        <w:t xml:space="preserve"> 3.2, </w:t>
      </w:r>
      <w:r>
        <w:t>diagramme de décision</w:t>
      </w:r>
      <w:r w:rsidRPr="00A657E8">
        <w:t xml:space="preserve"> 3.2.1</w:t>
      </w:r>
    </w:p>
    <w:p w14:paraId="5CE2AAFB" w14:textId="77777777" w:rsidR="00975D4C" w:rsidRPr="008D3D9D" w:rsidRDefault="00975D4C" w:rsidP="00975D4C">
      <w:pPr>
        <w:pStyle w:val="SingleTxtG"/>
        <w:rPr>
          <w:rFonts w:asciiTheme="majorBidi" w:hAnsiTheme="majorBidi" w:cstheme="majorBidi"/>
        </w:rPr>
      </w:pPr>
      <w:r w:rsidRPr="008D3D9D">
        <w:rPr>
          <w:rFonts w:asciiTheme="majorBidi" w:hAnsiTheme="majorBidi" w:cstheme="majorBidi"/>
        </w:rPr>
        <w:t>La correction ne s</w:t>
      </w:r>
      <w:r>
        <w:rPr>
          <w:rFonts w:asciiTheme="majorBidi" w:hAnsiTheme="majorBidi" w:cstheme="majorBidi"/>
        </w:rPr>
        <w:t>’</w:t>
      </w:r>
      <w:r w:rsidRPr="008D3D9D">
        <w:rPr>
          <w:rFonts w:asciiTheme="majorBidi" w:hAnsiTheme="majorBidi" w:cstheme="majorBidi"/>
        </w:rPr>
        <w:t>applique pas à la version française</w:t>
      </w:r>
    </w:p>
    <w:p w14:paraId="7EC63C51"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xml:space="preserve">: </w:t>
      </w:r>
      <w:r>
        <w:rPr>
          <w:i/>
          <w:iCs/>
        </w:rPr>
        <w:t>document informel INF.7</w:t>
      </w:r>
      <w:r w:rsidRPr="00385B2E">
        <w:rPr>
          <w:i/>
          <w:iCs/>
        </w:rPr>
        <w:t>)</w:t>
      </w:r>
    </w:p>
    <w:p w14:paraId="1604E72A" w14:textId="77777777" w:rsidR="00975D4C" w:rsidRPr="00BA7D22" w:rsidRDefault="00975D4C" w:rsidP="00392CBF">
      <w:pPr>
        <w:pStyle w:val="H1G"/>
      </w:pPr>
      <w:r>
        <w:tab/>
        <w:t>10.</w:t>
      </w:r>
      <w:r>
        <w:tab/>
        <w:t xml:space="preserve">Annexe 1, tableau A1.29 b), </w:t>
      </w:r>
      <w:r w:rsidRPr="00BA7D22">
        <w:t xml:space="preserve">colonne </w:t>
      </w:r>
      <w:r w:rsidR="00392CBF">
        <w:t>« </w:t>
      </w:r>
      <w:r w:rsidRPr="00BA7D22">
        <w:t>mention de danger</w:t>
      </w:r>
      <w:r w:rsidR="00392CBF">
        <w:t> »</w:t>
      </w:r>
      <w:r w:rsidRPr="00BA7D22">
        <w:t xml:space="preserve">, </w:t>
      </w:r>
      <w:r w:rsidR="00392CBF">
        <w:br/>
      </w:r>
      <w:r w:rsidRPr="00BA7D22">
        <w:t>pour les codes H410, H411 et H412</w:t>
      </w:r>
    </w:p>
    <w:p w14:paraId="5524F3EC" w14:textId="77777777" w:rsidR="00975D4C" w:rsidRPr="00E01520" w:rsidRDefault="00975D4C" w:rsidP="00975D4C">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05AE9162" w14:textId="77777777" w:rsidR="00975D4C" w:rsidRPr="000A0EC2"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8</w:t>
      </w:r>
      <w:r w:rsidRPr="00385B2E">
        <w:rPr>
          <w:i/>
          <w:iCs/>
        </w:rPr>
        <w:t>)</w:t>
      </w:r>
    </w:p>
    <w:p w14:paraId="150C1E9E" w14:textId="77777777" w:rsidR="00975D4C" w:rsidRPr="00BA7D22" w:rsidRDefault="00975D4C" w:rsidP="00392CBF">
      <w:pPr>
        <w:pStyle w:val="H1G"/>
      </w:pPr>
      <w:r w:rsidRPr="00BA7D22">
        <w:tab/>
      </w:r>
      <w:r>
        <w:t>11</w:t>
      </w:r>
      <w:r w:rsidRPr="00BA7D22">
        <w:t>.</w:t>
      </w:r>
      <w:r w:rsidRPr="00BA7D22">
        <w:tab/>
        <w:t xml:space="preserve">Annexe 3, section 1, tableau A3.1.3, colonne (2), </w:t>
      </w:r>
      <w:r>
        <w:t xml:space="preserve">mentions </w:t>
      </w:r>
      <w:r w:rsidR="00392CBF">
        <w:br/>
      </w:r>
      <w:r>
        <w:t>de danger</w:t>
      </w:r>
      <w:r w:rsidRPr="00BA7D22">
        <w:t xml:space="preserve"> H410, H411 et H412</w:t>
      </w:r>
    </w:p>
    <w:p w14:paraId="0CFF47DA" w14:textId="77777777" w:rsidR="00975D4C" w:rsidRDefault="00975D4C" w:rsidP="00975D4C">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38742F5E"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8</w:t>
      </w:r>
      <w:r w:rsidRPr="00385B2E">
        <w:rPr>
          <w:i/>
          <w:iCs/>
        </w:rPr>
        <w:t>)</w:t>
      </w:r>
    </w:p>
    <w:p w14:paraId="5C49F353" w14:textId="77777777" w:rsidR="00975D4C" w:rsidRDefault="00975D4C" w:rsidP="00392CBF">
      <w:pPr>
        <w:pStyle w:val="H1G"/>
      </w:pPr>
      <w:r>
        <w:tab/>
        <w:t>1</w:t>
      </w:r>
      <w:r w:rsidR="001153D1">
        <w:t>2</w:t>
      </w:r>
      <w:r w:rsidRPr="00D360C4">
        <w:t>.</w:t>
      </w:r>
      <w:r w:rsidRPr="00D360C4">
        <w:tab/>
      </w:r>
      <w:r>
        <w:t>A</w:t>
      </w:r>
      <w:r w:rsidRPr="00883923">
        <w:t>nnexe</w:t>
      </w:r>
      <w:r>
        <w:t> </w:t>
      </w:r>
      <w:r w:rsidRPr="00883923">
        <w:t xml:space="preserve">3, </w:t>
      </w:r>
      <w:r>
        <w:t xml:space="preserve">section 3, </w:t>
      </w:r>
      <w:r w:rsidRPr="00BA7D22">
        <w:t xml:space="preserve">tableau des conseils de prudence pour </w:t>
      </w:r>
      <w:r w:rsidRPr="00883923">
        <w:t>les liquides pyrophoriques (chap</w:t>
      </w:r>
      <w:r w:rsidR="00392CBF">
        <w:t>. </w:t>
      </w:r>
      <w:r w:rsidRPr="00883923">
        <w:t>2.9) et les matières solides pyrophoriques (chap</w:t>
      </w:r>
      <w:r w:rsidR="00392CBF">
        <w:t>. </w:t>
      </w:r>
      <w:r w:rsidRPr="00883923">
        <w:t>2.10)</w:t>
      </w:r>
    </w:p>
    <w:p w14:paraId="1C08B09D" w14:textId="77777777" w:rsidR="00975D4C" w:rsidRPr="00D360C4" w:rsidRDefault="00975D4C" w:rsidP="00975D4C">
      <w:pPr>
        <w:pStyle w:val="SingleTxtG"/>
      </w:pPr>
      <w:r>
        <w:t>S</w:t>
      </w:r>
      <w:r w:rsidRPr="00883923">
        <w:t xml:space="preserve">ous </w:t>
      </w:r>
      <w:r>
        <w:t>« </w:t>
      </w:r>
      <w:r w:rsidRPr="00883923">
        <w:t>Prévention</w:t>
      </w:r>
      <w:r>
        <w:t> »</w:t>
      </w:r>
      <w:r w:rsidRPr="00883923">
        <w:t>, ajouter</w:t>
      </w:r>
      <w:r>
        <w:t> </w:t>
      </w:r>
      <w:r w:rsidRPr="00883923">
        <w:t>:</w:t>
      </w:r>
    </w:p>
    <w:p w14:paraId="146C3B5F" w14:textId="77777777" w:rsidR="00975D4C" w:rsidRPr="00883923" w:rsidRDefault="00975D4C" w:rsidP="00975D4C">
      <w:pPr>
        <w:pStyle w:val="SingleTxtG"/>
        <w:ind w:left="1701"/>
      </w:pPr>
      <w:r>
        <w:t>« </w:t>
      </w:r>
      <w:r w:rsidRPr="00883923">
        <w:t>P231</w:t>
      </w:r>
    </w:p>
    <w:p w14:paraId="172E782B" w14:textId="77777777" w:rsidR="00975D4C" w:rsidRPr="00883923" w:rsidRDefault="00975D4C" w:rsidP="00975D4C">
      <w:pPr>
        <w:pStyle w:val="SingleTxtG"/>
        <w:ind w:left="1701"/>
        <w:rPr>
          <w:b/>
          <w:bCs/>
        </w:rPr>
      </w:pPr>
      <w:r w:rsidRPr="00883923">
        <w:rPr>
          <w:b/>
          <w:bCs/>
        </w:rPr>
        <w:t>Manipuler et stocker le contenu sous gaz inerte/…</w:t>
      </w:r>
    </w:p>
    <w:p w14:paraId="6CC4B620" w14:textId="77777777" w:rsidR="00975D4C" w:rsidRDefault="00975D4C" w:rsidP="00975D4C">
      <w:pPr>
        <w:pStyle w:val="SingleTxtG"/>
        <w:ind w:left="1701"/>
      </w:pPr>
      <w:r w:rsidRPr="00883923">
        <w:t>…</w:t>
      </w:r>
      <w:r w:rsidR="00392CBF">
        <w:t xml:space="preserve"> </w:t>
      </w:r>
      <w:r w:rsidRPr="00883923">
        <w:t>Il revient au fabricant/fournisseur ou à l</w:t>
      </w:r>
      <w:r>
        <w:t>’</w:t>
      </w:r>
      <w:r w:rsidRPr="00883923">
        <w:t>autorité compétente de préciser le liquide ou le gaz approprié si le terme “gaz inerte” n</w:t>
      </w:r>
      <w:r>
        <w:t>’</w:t>
      </w:r>
      <w:r w:rsidRPr="00883923">
        <w:t>est pas approprié.</w:t>
      </w:r>
      <w:r>
        <w:t> ».</w:t>
      </w:r>
    </w:p>
    <w:p w14:paraId="518BE5C8"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15</w:t>
      </w:r>
      <w:r w:rsidRPr="00385B2E">
        <w:rPr>
          <w:i/>
          <w:iCs/>
        </w:rPr>
        <w:t>)</w:t>
      </w:r>
    </w:p>
    <w:p w14:paraId="7EFB02BE" w14:textId="77777777" w:rsidR="00975D4C" w:rsidRPr="008D3D9D" w:rsidRDefault="00975D4C" w:rsidP="00392CBF">
      <w:pPr>
        <w:pStyle w:val="H1G"/>
      </w:pPr>
      <w:r>
        <w:tab/>
      </w:r>
      <w:r w:rsidRPr="008D3D9D">
        <w:t>1</w:t>
      </w:r>
      <w:r>
        <w:t>3</w:t>
      </w:r>
      <w:r w:rsidRPr="008D3D9D">
        <w:t>.</w:t>
      </w:r>
      <w:r w:rsidRPr="008D3D9D">
        <w:tab/>
      </w:r>
      <w:r>
        <w:t>A</w:t>
      </w:r>
      <w:r w:rsidRPr="00883923">
        <w:t>nnexe</w:t>
      </w:r>
      <w:r>
        <w:t> </w:t>
      </w:r>
      <w:r w:rsidRPr="00883923">
        <w:t xml:space="preserve">3, </w:t>
      </w:r>
      <w:r>
        <w:t xml:space="preserve">section 3, </w:t>
      </w:r>
      <w:r w:rsidRPr="00BA7D22">
        <w:t xml:space="preserve">tableau des conseils de prudence </w:t>
      </w:r>
      <w:r>
        <w:t xml:space="preserve">pour </w:t>
      </w:r>
      <w:r w:rsidRPr="00883923">
        <w:t>les lésions</w:t>
      </w:r>
      <w:r w:rsidR="00392CBF">
        <w:br/>
      </w:r>
      <w:r w:rsidRPr="00883923">
        <w:t>et les irritations oculaires (chap</w:t>
      </w:r>
      <w:r w:rsidR="00392CBF">
        <w:t>.</w:t>
      </w:r>
      <w:r>
        <w:t> </w:t>
      </w:r>
      <w:r w:rsidRPr="00883923">
        <w:t>3.3), s</w:t>
      </w:r>
      <w:r>
        <w:t>’</w:t>
      </w:r>
      <w:r w:rsidRPr="00883923">
        <w:t xml:space="preserve">agissant des catégories </w:t>
      </w:r>
      <w:r w:rsidR="00392CBF">
        <w:br/>
      </w:r>
      <w:r w:rsidRPr="00883923">
        <w:t>de danger 1, 2/2A et 2B</w:t>
      </w:r>
    </w:p>
    <w:p w14:paraId="7EA53219" w14:textId="77777777" w:rsidR="00975D4C" w:rsidRDefault="00975D4C" w:rsidP="00975D4C">
      <w:pPr>
        <w:pStyle w:val="SingleTxtG"/>
        <w:rPr>
          <w:rFonts w:asciiTheme="majorBidi" w:hAnsiTheme="majorBidi" w:cstheme="majorBidi"/>
        </w:rPr>
      </w:pPr>
      <w:r w:rsidRPr="008D3D9D">
        <w:rPr>
          <w:rFonts w:asciiTheme="majorBidi" w:hAnsiTheme="majorBidi" w:cstheme="majorBidi"/>
        </w:rPr>
        <w:t>La correction ne s</w:t>
      </w:r>
      <w:r>
        <w:rPr>
          <w:rFonts w:asciiTheme="majorBidi" w:hAnsiTheme="majorBidi" w:cstheme="majorBidi"/>
        </w:rPr>
        <w:t>’</w:t>
      </w:r>
      <w:r w:rsidRPr="008D3D9D">
        <w:rPr>
          <w:rFonts w:asciiTheme="majorBidi" w:hAnsiTheme="majorBidi" w:cstheme="majorBidi"/>
        </w:rPr>
        <w:t>applique pas à la version française</w:t>
      </w:r>
    </w:p>
    <w:p w14:paraId="227FEBAF" w14:textId="77777777" w:rsidR="00975D4C" w:rsidRPr="008D3D9D" w:rsidRDefault="00975D4C" w:rsidP="00975D4C">
      <w:pPr>
        <w:pStyle w:val="SingleTxtG"/>
        <w:rPr>
          <w:rFonts w:asciiTheme="majorBidi" w:hAnsiTheme="majorBidi" w:cstheme="majorBidi"/>
        </w:rPr>
      </w:pPr>
      <w:r w:rsidRPr="00385B2E">
        <w:rPr>
          <w:i/>
          <w:iCs/>
        </w:rPr>
        <w:t>(</w:t>
      </w:r>
      <w:r>
        <w:rPr>
          <w:i/>
          <w:iCs/>
        </w:rPr>
        <w:t xml:space="preserve">Document de </w:t>
      </w:r>
      <w:proofErr w:type="gramStart"/>
      <w:r>
        <w:rPr>
          <w:i/>
          <w:iCs/>
        </w:rPr>
        <w:t>référence</w:t>
      </w:r>
      <w:r w:rsidRPr="00385B2E">
        <w:rPr>
          <w:i/>
          <w:iCs/>
        </w:rPr>
        <w:t>:</w:t>
      </w:r>
      <w:proofErr w:type="gramEnd"/>
      <w:r w:rsidRPr="00385B2E">
        <w:rPr>
          <w:i/>
          <w:iCs/>
        </w:rPr>
        <w:t xml:space="preserve"> ST/SG/AC.10/C.4/2019/</w:t>
      </w:r>
      <w:r>
        <w:rPr>
          <w:i/>
          <w:iCs/>
        </w:rPr>
        <w:t>15</w:t>
      </w:r>
      <w:r w:rsidRPr="00385B2E">
        <w:rPr>
          <w:i/>
          <w:iCs/>
        </w:rPr>
        <w:t>)</w:t>
      </w:r>
    </w:p>
    <w:p w14:paraId="20816321" w14:textId="77777777" w:rsidR="00975D4C" w:rsidRPr="00BA7D22" w:rsidRDefault="00975D4C" w:rsidP="00392CBF">
      <w:pPr>
        <w:pStyle w:val="H1G"/>
      </w:pPr>
      <w:r w:rsidRPr="001F2566">
        <w:tab/>
      </w:r>
      <w:r>
        <w:t>14</w:t>
      </w:r>
      <w:r w:rsidRPr="00BA7D22">
        <w:t>.</w:t>
      </w:r>
      <w:r w:rsidRPr="00BA7D22">
        <w:tab/>
        <w:t xml:space="preserve">Annexe 3, section 3, tableau des conseils de prudence pour </w:t>
      </w:r>
      <w:r>
        <w:t>les dangers pour le milieu aquatique (</w:t>
      </w:r>
      <w:r w:rsidRPr="00BA7D22">
        <w:t>danger</w:t>
      </w:r>
      <w:r>
        <w:t>s</w:t>
      </w:r>
      <w:r w:rsidRPr="00BA7D22">
        <w:t xml:space="preserve"> à long terme</w:t>
      </w:r>
      <w:r>
        <w:t>)</w:t>
      </w:r>
      <w:r w:rsidRPr="00BA7D22">
        <w:t xml:space="preserve">, </w:t>
      </w:r>
      <w:r>
        <w:t>c</w:t>
      </w:r>
      <w:r w:rsidRPr="00BA7D22">
        <w:t>atégories 1</w:t>
      </w:r>
      <w:r>
        <w:t>,</w:t>
      </w:r>
      <w:r w:rsidRPr="00BA7D22">
        <w:t xml:space="preserve"> 2</w:t>
      </w:r>
      <w:r>
        <w:t xml:space="preserve"> et 3 </w:t>
      </w:r>
      <w:r w:rsidRPr="00BA7D22">
        <w:t>mentions de danger H410</w:t>
      </w:r>
      <w:r>
        <w:t>,</w:t>
      </w:r>
      <w:r w:rsidRPr="00BA7D22">
        <w:t xml:space="preserve"> H411</w:t>
      </w:r>
      <w:r>
        <w:t xml:space="preserve"> et H412</w:t>
      </w:r>
    </w:p>
    <w:p w14:paraId="1EC4B891" w14:textId="77777777" w:rsidR="00975D4C" w:rsidRDefault="00975D4C" w:rsidP="00975D4C">
      <w:pPr>
        <w:pStyle w:val="SingleTxtG"/>
        <w:rPr>
          <w:lang w:val="fr-FR"/>
        </w:rPr>
      </w:pPr>
      <w:r w:rsidRPr="00E01520">
        <w:rPr>
          <w:i/>
          <w:lang w:val="fr-FR"/>
        </w:rPr>
        <w:t xml:space="preserve">Au lieu de </w:t>
      </w:r>
      <w:r w:rsidRPr="00E01520">
        <w:rPr>
          <w:lang w:val="fr-FR"/>
        </w:rPr>
        <w:t xml:space="preserve">effets néfastes à long terme </w:t>
      </w:r>
      <w:r w:rsidRPr="00E01520">
        <w:rPr>
          <w:i/>
          <w:lang w:val="fr-FR"/>
        </w:rPr>
        <w:t>lire</w:t>
      </w:r>
      <w:r w:rsidRPr="00E01520">
        <w:rPr>
          <w:lang w:val="fr-FR"/>
        </w:rPr>
        <w:t xml:space="preserve"> effets à long terme</w:t>
      </w:r>
    </w:p>
    <w:p w14:paraId="7BE94267" w14:textId="77777777" w:rsidR="00975D4C" w:rsidRPr="00E01520" w:rsidRDefault="00975D4C" w:rsidP="00975D4C">
      <w:pPr>
        <w:pStyle w:val="SingleTxtG"/>
        <w:rPr>
          <w:lang w:val="fr-FR"/>
        </w:rPr>
      </w:pPr>
      <w:bookmarkStart w:id="5" w:name="_Hlk27066786"/>
      <w:r w:rsidRPr="00385B2E">
        <w:rPr>
          <w:i/>
          <w:iCs/>
        </w:rPr>
        <w:t>(</w:t>
      </w:r>
      <w:r>
        <w:rPr>
          <w:i/>
          <w:iCs/>
        </w:rPr>
        <w:t>Document de référence</w:t>
      </w:r>
      <w:r w:rsidR="00392CBF">
        <w:rPr>
          <w:i/>
          <w:iCs/>
        </w:rPr>
        <w:t xml:space="preserve"> </w:t>
      </w:r>
      <w:r w:rsidRPr="00385B2E">
        <w:rPr>
          <w:i/>
          <w:iCs/>
        </w:rPr>
        <w:t>: ST/SG/AC.10/C.4/2019/</w:t>
      </w:r>
      <w:r>
        <w:rPr>
          <w:i/>
          <w:iCs/>
        </w:rPr>
        <w:t>8</w:t>
      </w:r>
      <w:r w:rsidRPr="00385B2E">
        <w:rPr>
          <w:i/>
          <w:iCs/>
        </w:rPr>
        <w:t>)</w:t>
      </w:r>
    </w:p>
    <w:bookmarkEnd w:id="5"/>
    <w:p w14:paraId="3EA55E4E" w14:textId="77777777" w:rsidR="00975D4C" w:rsidRPr="000C4044" w:rsidRDefault="00975D4C" w:rsidP="00392CBF">
      <w:pPr>
        <w:pStyle w:val="H1G"/>
      </w:pPr>
      <w:r w:rsidRPr="001F2566">
        <w:tab/>
      </w:r>
      <w:r>
        <w:t>15.</w:t>
      </w:r>
      <w:r>
        <w:tab/>
      </w:r>
      <w:r w:rsidRPr="00385B2E">
        <w:t>Annex</w:t>
      </w:r>
      <w:r>
        <w:t>e</w:t>
      </w:r>
      <w:r w:rsidRPr="00385B2E">
        <w:t xml:space="preserve"> 7, ex</w:t>
      </w:r>
      <w:r>
        <w:t>e</w:t>
      </w:r>
      <w:r w:rsidRPr="00385B2E">
        <w:t xml:space="preserve">mple 10, </w:t>
      </w:r>
      <w:r>
        <w:t>cas de figure</w:t>
      </w:r>
      <w:r w:rsidRPr="00385B2E">
        <w:t xml:space="preserve"> B</w:t>
      </w:r>
    </w:p>
    <w:p w14:paraId="691FBDF6" w14:textId="77777777" w:rsidR="00975D4C" w:rsidRPr="00914005" w:rsidRDefault="00975D4C" w:rsidP="00975D4C">
      <w:pPr>
        <w:pStyle w:val="SingleTxtG"/>
      </w:pPr>
      <w:r>
        <w:t>La correction ne s’applique pas à la version française</w:t>
      </w:r>
    </w:p>
    <w:p w14:paraId="01C7683A"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9</w:t>
      </w:r>
      <w:r w:rsidRPr="00385B2E">
        <w:rPr>
          <w:i/>
          <w:iCs/>
        </w:rPr>
        <w:t>)</w:t>
      </w:r>
    </w:p>
    <w:p w14:paraId="59F63516" w14:textId="77777777" w:rsidR="00975D4C" w:rsidRDefault="00975D4C" w:rsidP="00392CBF">
      <w:pPr>
        <w:pStyle w:val="H1G"/>
      </w:pPr>
      <w:r>
        <w:lastRenderedPageBreak/>
        <w:tab/>
        <w:t>16</w:t>
      </w:r>
      <w:r w:rsidRPr="008D3D9D">
        <w:t>.</w:t>
      </w:r>
      <w:r w:rsidRPr="008D3D9D">
        <w:tab/>
      </w:r>
      <w:r>
        <w:t xml:space="preserve">Annexe 9, paragraphe </w:t>
      </w:r>
      <w:r w:rsidRPr="008D3D9D">
        <w:t>A9.5.2.3.5</w:t>
      </w:r>
    </w:p>
    <w:p w14:paraId="555F79CA" w14:textId="77777777" w:rsidR="00975D4C" w:rsidRPr="00392CBF" w:rsidRDefault="00975D4C" w:rsidP="00392CBF">
      <w:pPr>
        <w:pStyle w:val="SingleTxtG"/>
      </w:pPr>
      <w:r w:rsidRPr="00392CBF">
        <w:rPr>
          <w:i/>
          <w:iCs/>
        </w:rPr>
        <w:t>Au lieu de</w:t>
      </w:r>
      <w:r w:rsidRPr="00392CBF">
        <w:t xml:space="preserve"> OCDE, 1996 </w:t>
      </w:r>
      <w:r w:rsidRPr="00392CBF">
        <w:rPr>
          <w:i/>
          <w:iCs/>
        </w:rPr>
        <w:t>lire</w:t>
      </w:r>
      <w:r w:rsidRPr="00392CBF">
        <w:t xml:space="preserve"> OCDE, 1992.</w:t>
      </w:r>
    </w:p>
    <w:p w14:paraId="4AD02155" w14:textId="77777777" w:rsidR="00975D4C" w:rsidRDefault="00975D4C" w:rsidP="00975D4C">
      <w:pPr>
        <w:pStyle w:val="SingleTxtG"/>
        <w:rPr>
          <w:i/>
          <w:iCs/>
        </w:rPr>
      </w:pPr>
      <w:r w:rsidRPr="00385B2E">
        <w:rPr>
          <w:i/>
          <w:iCs/>
        </w:rPr>
        <w:t>(</w:t>
      </w:r>
      <w:r>
        <w:rPr>
          <w:i/>
          <w:iCs/>
        </w:rPr>
        <w:t>Document de référence</w:t>
      </w:r>
      <w:r w:rsidR="00392CBF">
        <w:rPr>
          <w:i/>
          <w:iCs/>
        </w:rPr>
        <w:t xml:space="preserve"> </w:t>
      </w:r>
      <w:r w:rsidRPr="00385B2E">
        <w:rPr>
          <w:i/>
          <w:iCs/>
        </w:rPr>
        <w:t>: ST/SG/AC.10/C.4/2019/</w:t>
      </w:r>
      <w:r>
        <w:rPr>
          <w:i/>
          <w:iCs/>
        </w:rPr>
        <w:t>14</w:t>
      </w:r>
      <w:r w:rsidRPr="00385B2E">
        <w:rPr>
          <w:i/>
          <w:iCs/>
        </w:rPr>
        <w:t>)</w:t>
      </w:r>
    </w:p>
    <w:p w14:paraId="2D9BA9C0" w14:textId="77777777" w:rsidR="00975D4C" w:rsidRPr="00975D4C" w:rsidRDefault="00975D4C" w:rsidP="00975D4C">
      <w:pPr>
        <w:pStyle w:val="SingleTxtG"/>
        <w:spacing w:before="240" w:after="0"/>
        <w:jc w:val="center"/>
        <w:rPr>
          <w:u w:val="single"/>
        </w:rPr>
      </w:pPr>
      <w:r>
        <w:rPr>
          <w:u w:val="single"/>
        </w:rPr>
        <w:tab/>
      </w:r>
      <w:r>
        <w:rPr>
          <w:u w:val="single"/>
        </w:rPr>
        <w:tab/>
      </w:r>
      <w:r>
        <w:rPr>
          <w:u w:val="single"/>
        </w:rPr>
        <w:tab/>
      </w:r>
    </w:p>
    <w:sectPr w:rsidR="00975D4C" w:rsidRPr="00975D4C" w:rsidSect="0090786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B0C5" w14:textId="77777777" w:rsidR="00975D4C" w:rsidRDefault="00975D4C" w:rsidP="00F95C08">
      <w:pPr>
        <w:spacing w:line="240" w:lineRule="auto"/>
      </w:pPr>
    </w:p>
  </w:endnote>
  <w:endnote w:type="continuationSeparator" w:id="0">
    <w:p w14:paraId="795EBC43" w14:textId="77777777" w:rsidR="00975D4C" w:rsidRPr="00AC3823" w:rsidRDefault="00975D4C" w:rsidP="00AC3823">
      <w:pPr>
        <w:pStyle w:val="Footer"/>
      </w:pPr>
    </w:p>
  </w:endnote>
  <w:endnote w:type="continuationNotice" w:id="1">
    <w:p w14:paraId="5E5AC1F8" w14:textId="77777777" w:rsidR="00975D4C" w:rsidRDefault="00975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A780" w14:textId="77777777" w:rsidR="00975D4C" w:rsidRPr="00907863" w:rsidRDefault="00975D4C" w:rsidP="00907863">
    <w:pPr>
      <w:pStyle w:val="Footer"/>
      <w:tabs>
        <w:tab w:val="right" w:pos="9638"/>
      </w:tabs>
    </w:pPr>
    <w:r w:rsidRPr="00907863">
      <w:rPr>
        <w:b/>
        <w:sz w:val="18"/>
      </w:rPr>
      <w:fldChar w:fldCharType="begin"/>
    </w:r>
    <w:r w:rsidRPr="00907863">
      <w:rPr>
        <w:b/>
        <w:sz w:val="18"/>
      </w:rPr>
      <w:instrText xml:space="preserve"> PAGE  \* MERGEFORMAT </w:instrText>
    </w:r>
    <w:r w:rsidRPr="00907863">
      <w:rPr>
        <w:b/>
        <w:sz w:val="18"/>
      </w:rPr>
      <w:fldChar w:fldCharType="separate"/>
    </w:r>
    <w:r w:rsidRPr="00907863">
      <w:rPr>
        <w:b/>
        <w:noProof/>
        <w:sz w:val="18"/>
      </w:rPr>
      <w:t>2</w:t>
    </w:r>
    <w:r w:rsidRPr="00907863">
      <w:rPr>
        <w:b/>
        <w:sz w:val="18"/>
      </w:rPr>
      <w:fldChar w:fldCharType="end"/>
    </w:r>
    <w:r>
      <w:rPr>
        <w:b/>
        <w:sz w:val="18"/>
      </w:rPr>
      <w:tab/>
    </w:r>
    <w:r>
      <w:t>GE.20-00236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B2A2" w14:textId="77777777" w:rsidR="00975D4C" w:rsidRPr="00907863" w:rsidRDefault="00975D4C" w:rsidP="00907863">
    <w:pPr>
      <w:pStyle w:val="Footer"/>
      <w:tabs>
        <w:tab w:val="right" w:pos="9638"/>
      </w:tabs>
      <w:rPr>
        <w:b/>
        <w:sz w:val="18"/>
      </w:rPr>
    </w:pPr>
    <w:r>
      <w:t>GE.20-00236</w:t>
    </w:r>
    <w:r>
      <w:tab/>
    </w:r>
    <w:r w:rsidRPr="00907863">
      <w:rPr>
        <w:b/>
        <w:sz w:val="18"/>
      </w:rPr>
      <w:fldChar w:fldCharType="begin"/>
    </w:r>
    <w:r w:rsidRPr="00907863">
      <w:rPr>
        <w:b/>
        <w:sz w:val="18"/>
      </w:rPr>
      <w:instrText xml:space="preserve"> PAGE  \* MERGEFORMAT </w:instrText>
    </w:r>
    <w:r w:rsidRPr="00907863">
      <w:rPr>
        <w:b/>
        <w:sz w:val="18"/>
      </w:rPr>
      <w:fldChar w:fldCharType="separate"/>
    </w:r>
    <w:r w:rsidRPr="00907863">
      <w:rPr>
        <w:b/>
        <w:noProof/>
        <w:sz w:val="18"/>
      </w:rPr>
      <w:t>3</w:t>
    </w:r>
    <w:r w:rsidRPr="009078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9CD6" w14:textId="77777777" w:rsidR="00975D4C" w:rsidRPr="00907863" w:rsidRDefault="00975D4C" w:rsidP="0090786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75A65395" wp14:editId="08E182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00236  (</w:t>
    </w:r>
    <w:proofErr w:type="gramEnd"/>
    <w:r>
      <w:rPr>
        <w:sz w:val="20"/>
      </w:rPr>
      <w:t xml:space="preserve">F)    040620    </w:t>
    </w:r>
    <w:r w:rsidR="00123047">
      <w:rPr>
        <w:sz w:val="20"/>
      </w:rPr>
      <w:t>040620</w:t>
    </w:r>
    <w:r>
      <w:rPr>
        <w:sz w:val="20"/>
      </w:rPr>
      <w:br/>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sidRPr="00907863">
      <w:rPr>
        <w:rFonts w:ascii="C39T30Lfz" w:hAnsi="C39T30Lfz"/>
        <w:sz w:val="56"/>
      </w:rPr>
      <w:t></w:t>
    </w:r>
    <w:r>
      <w:rPr>
        <w:noProof/>
        <w:sz w:val="20"/>
      </w:rPr>
      <w:drawing>
        <wp:anchor distT="0" distB="0" distL="114300" distR="114300" simplePos="0" relativeHeight="251658240" behindDoc="0" locked="0" layoutInCell="1" allowOverlap="1" wp14:anchorId="07826B0D" wp14:editId="3151769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F8AE" w14:textId="77777777" w:rsidR="00975D4C" w:rsidRPr="00AC3823" w:rsidRDefault="00975D4C" w:rsidP="00AC3823">
      <w:pPr>
        <w:pStyle w:val="Footer"/>
        <w:tabs>
          <w:tab w:val="right" w:pos="2155"/>
        </w:tabs>
        <w:spacing w:after="80" w:line="240" w:lineRule="atLeast"/>
        <w:ind w:left="680"/>
        <w:rPr>
          <w:u w:val="single"/>
        </w:rPr>
      </w:pPr>
      <w:r>
        <w:rPr>
          <w:u w:val="single"/>
        </w:rPr>
        <w:tab/>
      </w:r>
    </w:p>
  </w:footnote>
  <w:footnote w:type="continuationSeparator" w:id="0">
    <w:p w14:paraId="24212CBB" w14:textId="77777777" w:rsidR="00975D4C" w:rsidRPr="00AC3823" w:rsidRDefault="00975D4C" w:rsidP="00AC3823">
      <w:pPr>
        <w:pStyle w:val="Footer"/>
        <w:tabs>
          <w:tab w:val="right" w:pos="2155"/>
        </w:tabs>
        <w:spacing w:after="80" w:line="240" w:lineRule="atLeast"/>
        <w:ind w:left="680"/>
        <w:rPr>
          <w:u w:val="single"/>
        </w:rPr>
      </w:pPr>
      <w:r>
        <w:rPr>
          <w:u w:val="single"/>
        </w:rPr>
        <w:tab/>
      </w:r>
    </w:p>
  </w:footnote>
  <w:footnote w:type="continuationNotice" w:id="1">
    <w:p w14:paraId="38717A71" w14:textId="77777777" w:rsidR="00975D4C" w:rsidRPr="00AC3823" w:rsidRDefault="00975D4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D7C2" w14:textId="2DC9A3A7" w:rsidR="00975D4C" w:rsidRPr="00907863" w:rsidRDefault="0009431A">
    <w:pPr>
      <w:pStyle w:val="Header"/>
    </w:pPr>
    <w:r>
      <w:fldChar w:fldCharType="begin"/>
    </w:r>
    <w:r>
      <w:instrText xml:space="preserve"> TITLE  \* MERGEFORMAT </w:instrText>
    </w:r>
    <w:r>
      <w:fldChar w:fldCharType="separate"/>
    </w:r>
    <w:r>
      <w:t>ST/SG/AC.10/C.4/76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991A" w14:textId="049CA9F9" w:rsidR="00975D4C" w:rsidRPr="00907863" w:rsidRDefault="0009431A" w:rsidP="00907863">
    <w:pPr>
      <w:pStyle w:val="Header"/>
      <w:jc w:val="right"/>
    </w:pPr>
    <w:r>
      <w:fldChar w:fldCharType="begin"/>
    </w:r>
    <w:r>
      <w:instrText xml:space="preserve"> TITLE  \* MERGEFORMAT </w:instrText>
    </w:r>
    <w:r>
      <w:fldChar w:fldCharType="separate"/>
    </w:r>
    <w:r>
      <w:t>ST/SG/AC.10/C.4/76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D5"/>
    <w:rsid w:val="00006F01"/>
    <w:rsid w:val="00017F94"/>
    <w:rsid w:val="00023842"/>
    <w:rsid w:val="000305D3"/>
    <w:rsid w:val="000334F9"/>
    <w:rsid w:val="00066B2D"/>
    <w:rsid w:val="0007796D"/>
    <w:rsid w:val="0009431A"/>
    <w:rsid w:val="000B7790"/>
    <w:rsid w:val="00111F2F"/>
    <w:rsid w:val="001153D1"/>
    <w:rsid w:val="00123047"/>
    <w:rsid w:val="00132EA9"/>
    <w:rsid w:val="0014365E"/>
    <w:rsid w:val="00176178"/>
    <w:rsid w:val="00177998"/>
    <w:rsid w:val="001F525A"/>
    <w:rsid w:val="00223272"/>
    <w:rsid w:val="0024779E"/>
    <w:rsid w:val="00283190"/>
    <w:rsid w:val="002832AC"/>
    <w:rsid w:val="002A10D5"/>
    <w:rsid w:val="002D7C93"/>
    <w:rsid w:val="00392CBF"/>
    <w:rsid w:val="003F3917"/>
    <w:rsid w:val="00441C3B"/>
    <w:rsid w:val="00446FE5"/>
    <w:rsid w:val="00452396"/>
    <w:rsid w:val="004E468C"/>
    <w:rsid w:val="004E7F7A"/>
    <w:rsid w:val="005505B7"/>
    <w:rsid w:val="00573BE5"/>
    <w:rsid w:val="0058120C"/>
    <w:rsid w:val="00583607"/>
    <w:rsid w:val="00584DC4"/>
    <w:rsid w:val="00586ED3"/>
    <w:rsid w:val="00596AA9"/>
    <w:rsid w:val="005F699D"/>
    <w:rsid w:val="00647971"/>
    <w:rsid w:val="00667934"/>
    <w:rsid w:val="0068456F"/>
    <w:rsid w:val="0071601D"/>
    <w:rsid w:val="007A62E6"/>
    <w:rsid w:val="007C467D"/>
    <w:rsid w:val="0080684C"/>
    <w:rsid w:val="0081101F"/>
    <w:rsid w:val="00831A38"/>
    <w:rsid w:val="008536E1"/>
    <w:rsid w:val="00871C75"/>
    <w:rsid w:val="008776DC"/>
    <w:rsid w:val="008B40CD"/>
    <w:rsid w:val="009032FC"/>
    <w:rsid w:val="00906B85"/>
    <w:rsid w:val="00907863"/>
    <w:rsid w:val="00916057"/>
    <w:rsid w:val="009705C8"/>
    <w:rsid w:val="00975D4C"/>
    <w:rsid w:val="00995494"/>
    <w:rsid w:val="009C1CF4"/>
    <w:rsid w:val="00A16EBB"/>
    <w:rsid w:val="00A30353"/>
    <w:rsid w:val="00AB5CB4"/>
    <w:rsid w:val="00AC3823"/>
    <w:rsid w:val="00AE323C"/>
    <w:rsid w:val="00B00181"/>
    <w:rsid w:val="00B00B0D"/>
    <w:rsid w:val="00B765F7"/>
    <w:rsid w:val="00BA0CA9"/>
    <w:rsid w:val="00C02897"/>
    <w:rsid w:val="00C426C0"/>
    <w:rsid w:val="00C972B9"/>
    <w:rsid w:val="00CE7582"/>
    <w:rsid w:val="00D3439C"/>
    <w:rsid w:val="00D75050"/>
    <w:rsid w:val="00DB1831"/>
    <w:rsid w:val="00DD3BFD"/>
    <w:rsid w:val="00DF6678"/>
    <w:rsid w:val="00EF2E22"/>
    <w:rsid w:val="00F01738"/>
    <w:rsid w:val="00F05495"/>
    <w:rsid w:val="00F660DF"/>
    <w:rsid w:val="00F730C8"/>
    <w:rsid w:val="00F95C08"/>
    <w:rsid w:val="00FD77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EF0F4"/>
  <w15:docId w15:val="{AB062C75-A518-4A16-A775-68D61B19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06F01"/>
    <w:rPr>
      <w:rFonts w:ascii="Times New Roman" w:eastAsiaTheme="minorHAnsi" w:hAnsi="Times New Roman" w:cs="Times New Roman"/>
      <w:b/>
      <w:sz w:val="28"/>
      <w:szCs w:val="20"/>
      <w:lang w:eastAsia="en-US"/>
    </w:rPr>
  </w:style>
  <w:style w:type="character" w:customStyle="1" w:styleId="H23GChar">
    <w:name w:val="_ H_2/3_G Char"/>
    <w:link w:val="H23G"/>
    <w:locked/>
    <w:rsid w:val="00006F01"/>
    <w:rPr>
      <w:rFonts w:ascii="Times New Roman" w:eastAsiaTheme="minorHAnsi" w:hAnsi="Times New Roman" w:cs="Times New Roman"/>
      <w:b/>
      <w:sz w:val="20"/>
      <w:szCs w:val="20"/>
      <w:lang w:eastAsia="en-US"/>
    </w:rPr>
  </w:style>
  <w:style w:type="character" w:customStyle="1" w:styleId="H1GCar">
    <w:name w:val="_ H_1_G Car"/>
    <w:link w:val="H1G"/>
    <w:locked/>
    <w:rsid w:val="00975D4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975D4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6131</Words>
  <Characters>34951</Characters>
  <Application>Microsoft Office Word</Application>
  <DocSecurity>0</DocSecurity>
  <Lines>291</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ST/SG/AC.10/C.4/76</vt:lpstr>
      <vt:lpstr>ST/SG/AC.10/C.4/76</vt:lpstr>
    </vt:vector>
  </TitlesOfParts>
  <Company>DCM</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ST/SG/AC.10/C.4/76</dc:title>
  <dc:subject/>
  <dc:creator>Corinne ROBERT</dc:creator>
  <cp:keywords/>
  <cp:lastModifiedBy>Laurence Berthet</cp:lastModifiedBy>
  <cp:revision>3</cp:revision>
  <cp:lastPrinted>2020-07-15T13:19:00Z</cp:lastPrinted>
  <dcterms:created xsi:type="dcterms:W3CDTF">2020-07-15T13:19:00Z</dcterms:created>
  <dcterms:modified xsi:type="dcterms:W3CDTF">2020-07-15T13:20:00Z</dcterms:modified>
</cp:coreProperties>
</file>