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0D5CA4F" w14:textId="77777777" w:rsidTr="006476E1">
        <w:trPr>
          <w:trHeight w:val="851"/>
        </w:trPr>
        <w:tc>
          <w:tcPr>
            <w:tcW w:w="1259" w:type="dxa"/>
            <w:tcBorders>
              <w:top w:val="nil"/>
              <w:left w:val="nil"/>
              <w:bottom w:val="single" w:sz="4" w:space="0" w:color="auto"/>
              <w:right w:val="nil"/>
            </w:tcBorders>
          </w:tcPr>
          <w:p w14:paraId="13D05120" w14:textId="77777777" w:rsidR="00E52109" w:rsidRPr="002A32CB" w:rsidRDefault="00E52109" w:rsidP="004858F5"/>
        </w:tc>
        <w:tc>
          <w:tcPr>
            <w:tcW w:w="2236" w:type="dxa"/>
            <w:tcBorders>
              <w:top w:val="nil"/>
              <w:left w:val="nil"/>
              <w:bottom w:val="single" w:sz="4" w:space="0" w:color="auto"/>
              <w:right w:val="nil"/>
            </w:tcBorders>
            <w:vAlign w:val="bottom"/>
          </w:tcPr>
          <w:p w14:paraId="39C4F65E"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42C4166" w14:textId="05F5E499" w:rsidR="00E52109" w:rsidRDefault="00B2499F" w:rsidP="00B2499F">
            <w:pPr>
              <w:suppressAutoHyphens w:val="0"/>
              <w:jc w:val="right"/>
            </w:pPr>
            <w:r w:rsidRPr="00B2499F">
              <w:rPr>
                <w:sz w:val="40"/>
              </w:rPr>
              <w:t>ST</w:t>
            </w:r>
            <w:r>
              <w:t>/SG/AC.10/C.4/2020/18</w:t>
            </w:r>
          </w:p>
        </w:tc>
      </w:tr>
      <w:tr w:rsidR="00E52109" w14:paraId="0F800BF3" w14:textId="77777777" w:rsidTr="006476E1">
        <w:trPr>
          <w:trHeight w:val="2835"/>
        </w:trPr>
        <w:tc>
          <w:tcPr>
            <w:tcW w:w="1259" w:type="dxa"/>
            <w:tcBorders>
              <w:top w:val="single" w:sz="4" w:space="0" w:color="auto"/>
              <w:left w:val="nil"/>
              <w:bottom w:val="single" w:sz="12" w:space="0" w:color="auto"/>
              <w:right w:val="nil"/>
            </w:tcBorders>
          </w:tcPr>
          <w:p w14:paraId="64BF13E3" w14:textId="77777777" w:rsidR="00E52109" w:rsidRDefault="00E52109" w:rsidP="006476E1">
            <w:pPr>
              <w:spacing w:before="120"/>
              <w:jc w:val="center"/>
            </w:pPr>
            <w:r>
              <w:rPr>
                <w:noProof/>
                <w:lang w:val="fr-CH" w:eastAsia="fr-CH"/>
              </w:rPr>
              <w:drawing>
                <wp:inline distT="0" distB="0" distL="0" distR="0" wp14:anchorId="2EDA2B14" wp14:editId="02B37A8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16AC77B"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4D43E7B" w14:textId="77777777" w:rsidR="00D94B05" w:rsidRDefault="00B2499F" w:rsidP="00B2499F">
            <w:pPr>
              <w:suppressAutoHyphens w:val="0"/>
              <w:spacing w:before="240" w:line="240" w:lineRule="exact"/>
            </w:pPr>
            <w:r>
              <w:t>Distr.: General</w:t>
            </w:r>
          </w:p>
          <w:p w14:paraId="02E0E354" w14:textId="64B47455" w:rsidR="00B2499F" w:rsidRDefault="00B2499F" w:rsidP="00B2499F">
            <w:pPr>
              <w:suppressAutoHyphens w:val="0"/>
              <w:spacing w:line="240" w:lineRule="exact"/>
            </w:pPr>
            <w:r>
              <w:t>1</w:t>
            </w:r>
            <w:r w:rsidR="00707850">
              <w:t>6</w:t>
            </w:r>
            <w:r>
              <w:t xml:space="preserve"> September 2020</w:t>
            </w:r>
          </w:p>
          <w:p w14:paraId="59D213EC" w14:textId="77777777" w:rsidR="00B2499F" w:rsidRDefault="00B2499F" w:rsidP="00B2499F">
            <w:pPr>
              <w:suppressAutoHyphens w:val="0"/>
              <w:spacing w:line="240" w:lineRule="exact"/>
            </w:pPr>
          </w:p>
          <w:p w14:paraId="48736F42" w14:textId="6B53327E" w:rsidR="00B2499F" w:rsidRDefault="00B2499F" w:rsidP="00B2499F">
            <w:pPr>
              <w:suppressAutoHyphens w:val="0"/>
              <w:spacing w:line="240" w:lineRule="exact"/>
            </w:pPr>
            <w:r>
              <w:t>Original: English</w:t>
            </w:r>
          </w:p>
        </w:tc>
      </w:tr>
    </w:tbl>
    <w:p w14:paraId="5F554CA7" w14:textId="77777777" w:rsidR="00B2499F" w:rsidRPr="009F0F06" w:rsidRDefault="00B2499F"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666A7E14" w14:textId="77777777" w:rsidR="00B2499F" w:rsidRPr="009F0F06" w:rsidRDefault="00B2499F"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1E73B62F" w14:textId="673898B5" w:rsidR="00B2499F" w:rsidRDefault="00C95C22" w:rsidP="004858F5">
      <w:pPr>
        <w:spacing w:before="120"/>
        <w:rPr>
          <w:b/>
        </w:rPr>
      </w:pPr>
      <w:r>
        <w:rPr>
          <w:b/>
        </w:rPr>
        <w:t>Thirty-ninth</w:t>
      </w:r>
      <w:r w:rsidR="00B2499F">
        <w:rPr>
          <w:b/>
        </w:rPr>
        <w:t xml:space="preserve"> session</w:t>
      </w:r>
    </w:p>
    <w:p w14:paraId="5820F8A6" w14:textId="119839D2" w:rsidR="00B2499F" w:rsidRDefault="00B2499F" w:rsidP="004858F5">
      <w:r>
        <w:t xml:space="preserve">Geneva, </w:t>
      </w:r>
      <w:r w:rsidR="00C95C22">
        <w:t>9-11 December 2020</w:t>
      </w:r>
    </w:p>
    <w:p w14:paraId="03EFCE67" w14:textId="6FD06DF1" w:rsidR="00B2499F" w:rsidRDefault="00B2499F" w:rsidP="004858F5">
      <w:r>
        <w:t xml:space="preserve">Item </w:t>
      </w:r>
      <w:r w:rsidR="00C95C22">
        <w:t xml:space="preserve">3 (b) </w:t>
      </w:r>
      <w:r>
        <w:t>of the provisional agenda</w:t>
      </w:r>
    </w:p>
    <w:p w14:paraId="2A16AE96" w14:textId="55C63815" w:rsidR="00C95C22" w:rsidRPr="00C95C22" w:rsidRDefault="00C95C22" w:rsidP="004858F5">
      <w:pPr>
        <w:rPr>
          <w:b/>
          <w:bCs/>
        </w:rPr>
      </w:pPr>
      <w:r w:rsidRPr="00C95C22">
        <w:rPr>
          <w:b/>
          <w:bCs/>
        </w:rPr>
        <w:t>Classification criteria and related hazard communication:</w:t>
      </w:r>
    </w:p>
    <w:p w14:paraId="30626CAD" w14:textId="290D52F7" w:rsidR="00C95C22" w:rsidRPr="00C95C22" w:rsidRDefault="00C95C22" w:rsidP="004858F5">
      <w:pPr>
        <w:rPr>
          <w:b/>
          <w:bCs/>
        </w:rPr>
      </w:pPr>
      <w:r w:rsidRPr="00C95C22">
        <w:rPr>
          <w:b/>
          <w:bCs/>
        </w:rPr>
        <w:t>Review of Chapter 2.1</w:t>
      </w:r>
    </w:p>
    <w:p w14:paraId="0F94EB31" w14:textId="5FA70A8B" w:rsidR="00C95C22" w:rsidRDefault="00C95C22" w:rsidP="00C95C22">
      <w:pPr>
        <w:pStyle w:val="HChG"/>
      </w:pPr>
      <w:r>
        <w:tab/>
      </w:r>
      <w:r>
        <w:tab/>
      </w:r>
      <w:bookmarkStart w:id="0" w:name="_GoBack"/>
      <w:r>
        <w:t>Decision logics for the new GHS Chapter 2.1</w:t>
      </w:r>
      <w:bookmarkEnd w:id="0"/>
    </w:p>
    <w:p w14:paraId="5F0F7B35" w14:textId="77777777" w:rsidR="00C95C22" w:rsidRDefault="00C95C22" w:rsidP="00C95C22">
      <w:pPr>
        <w:pStyle w:val="H1G"/>
      </w:pPr>
      <w:r>
        <w:tab/>
      </w:r>
      <w:r>
        <w:tab/>
      </w:r>
      <w:r>
        <w:tab/>
        <w:t>Transmitted by the expert from Sweden</w:t>
      </w:r>
      <w:r w:rsidRPr="00CF30F1">
        <w:rPr>
          <w:rStyle w:val="FootnoteReference"/>
          <w:sz w:val="20"/>
          <w:vertAlign w:val="baseline"/>
        </w:rPr>
        <w:footnoteReference w:customMarkFollows="1" w:id="2"/>
        <w:t>*</w:t>
      </w:r>
    </w:p>
    <w:p w14:paraId="6FF69A3C" w14:textId="77777777" w:rsidR="00C95C22" w:rsidRPr="00C95C22" w:rsidRDefault="00C95C22" w:rsidP="00C95C22">
      <w:pPr>
        <w:pStyle w:val="HChG"/>
      </w:pPr>
      <w:r w:rsidRPr="00C95C22">
        <w:tab/>
      </w:r>
      <w:r w:rsidRPr="00C95C22">
        <w:tab/>
        <w:t>Introduction</w:t>
      </w:r>
    </w:p>
    <w:p w14:paraId="6287E4E8" w14:textId="1331EAF4" w:rsidR="00C95C22" w:rsidRPr="00F5208F" w:rsidRDefault="00C95C22" w:rsidP="00C95C22">
      <w:pPr>
        <w:pStyle w:val="SingleTxtG"/>
      </w:pPr>
      <w:r>
        <w:t>1.</w:t>
      </w:r>
      <w:r>
        <w:tab/>
        <w:t xml:space="preserve">As announced in paragraph 9 in document </w:t>
      </w:r>
      <w:r w:rsidRPr="00AC0610">
        <w:t>ST/SG/AC.10/C.3/2020/20/Add.1−</w:t>
      </w:r>
      <w:r>
        <w:t xml:space="preserve"> </w:t>
      </w:r>
      <w:r w:rsidRPr="00AC0610">
        <w:t>ST/SG/AC.10/C.4/2020/5/Add.1</w:t>
      </w:r>
      <w:r>
        <w:t>, decision logics are needed to complete the new GHS Chapter 2.1. The annex to this document contains these proposed decision logics, which are derived from the definitions, scope and criteria of the proposed new Chapter 2.1 presented in the annex to document ST/SG/AC.10/C.3/2020/20</w:t>
      </w:r>
      <w:r w:rsidRPr="00AC0610">
        <w:t>−</w:t>
      </w:r>
      <w:r>
        <w:t xml:space="preserve">ST/SG/AC.10/C.4/2020/5, as amended by document </w:t>
      </w:r>
      <w:r w:rsidRPr="00AC0610">
        <w:t>ST/SG/AC.10/C.3/2020/20/Add.1−ST/SG/AC.10/C.4/2020/5/Add.</w:t>
      </w:r>
      <w:r w:rsidR="00F65B3D">
        <w:t>1</w:t>
      </w:r>
      <w:r>
        <w:rPr>
          <w:rStyle w:val="FootnoteReference"/>
        </w:rPr>
        <w:footnoteReference w:id="3"/>
      </w:r>
      <w:r w:rsidR="00A03BC6">
        <w:t>.</w:t>
      </w:r>
      <w:r>
        <w:t xml:space="preserve"> The</w:t>
      </w:r>
      <w:r w:rsidR="00F65B3D">
        <w:t xml:space="preserve"> </w:t>
      </w:r>
      <w:r>
        <w:t>decision logics are to be inserted in section 2.1.4.1 of the chapter.</w:t>
      </w:r>
    </w:p>
    <w:p w14:paraId="126594E4" w14:textId="77777777" w:rsidR="00C95C22" w:rsidRDefault="00C95C22" w:rsidP="00C95C22">
      <w:pPr>
        <w:pStyle w:val="SingleTxtG"/>
      </w:pPr>
      <w:r>
        <w:t>2.</w:t>
      </w:r>
      <w:r>
        <w:tab/>
        <w:t>Under the leadership of the expert from Sweden, a small group of engaged experts took it upon themselves to develop the decision logics under quite some time pressure. There were somewhat different ideas on how to best squeeze the complex criteria for explosives into comprehensible flowcharts, and a multitude of options were tried. The outcome presented in the annex to this document represents the version of decision logics preferred by the expert from Sweden and has been checked for correctness by these other experts who may, or may not, in every detail agree with this version being optimal. A few additional experts of the I</w:t>
      </w:r>
      <w:r w:rsidRPr="00CB153F">
        <w:t xml:space="preserve">nformal </w:t>
      </w:r>
      <w:r>
        <w:t>Correspondence G</w:t>
      </w:r>
      <w:r w:rsidRPr="00CB153F">
        <w:t xml:space="preserve">roup for the </w:t>
      </w:r>
      <w:r>
        <w:t>R</w:t>
      </w:r>
      <w:r w:rsidRPr="00CB153F">
        <w:t>eview of Chapter 2.1</w:t>
      </w:r>
      <w:r>
        <w:t xml:space="preserve"> (ICG) independently confirmed the correctness of these flowcharts when they were very swiftly circulated within that group for information only (due to time constraints).</w:t>
      </w:r>
    </w:p>
    <w:p w14:paraId="5E0DA4ED" w14:textId="5DD1343F" w:rsidR="00C95C22" w:rsidRPr="00CB153F" w:rsidRDefault="00C95C22" w:rsidP="00C95C22">
      <w:pPr>
        <w:pStyle w:val="SingleTxtG"/>
      </w:pPr>
      <w:r w:rsidRPr="00CB153F">
        <w:t>3.</w:t>
      </w:r>
      <w:r w:rsidRPr="00CB153F">
        <w:tab/>
        <w:t xml:space="preserve">In particular, there was a discussion in the </w:t>
      </w:r>
      <w:r>
        <w:t xml:space="preserve">drafting </w:t>
      </w:r>
      <w:r w:rsidRPr="00CB153F">
        <w:t>group around the order of the boxes regarding evaluation of whether there is a “high hazard effect” in the middle of the decision logic for the sub-categories (</w:t>
      </w:r>
      <w:r>
        <w:t xml:space="preserve">decision logic 2 (b), i.e. </w:t>
      </w:r>
      <w:r w:rsidRPr="00CB153F">
        <w:t>the second flowchart in the annex to this document). The order presented in the flowchart reflects that of the corresponding criteria in points (a) and (b) for sub-categories 2B and 2C (see the c</w:t>
      </w:r>
      <w:r>
        <w:t>riteria table in section 2.1.2</w:t>
      </w:r>
      <w:r w:rsidRPr="00CB153F">
        <w:t xml:space="preserve"> of the </w:t>
      </w:r>
      <w:r w:rsidRPr="00CB153F">
        <w:lastRenderedPageBreak/>
        <w:t xml:space="preserve">chapter). However, </w:t>
      </w:r>
      <w:r>
        <w:t xml:space="preserve">it was put forward that </w:t>
      </w:r>
      <w:r w:rsidRPr="00CB153F">
        <w:t xml:space="preserve">the reverse order of these boxes may be more helpful to a classifier to avoid the apparent need to look for test results. It was also considered whether some additional text and/or a footnote could be added instead to help the classifier in this respect, as in most cases test results will </w:t>
      </w:r>
      <w:r>
        <w:t xml:space="preserve">likely </w:t>
      </w:r>
      <w:r w:rsidRPr="00CB153F">
        <w:t>not be needed. No conclusion on this issue was</w:t>
      </w:r>
      <w:r>
        <w:t xml:space="preserve"> </w:t>
      </w:r>
      <w:r w:rsidRPr="00CB153F">
        <w:t xml:space="preserve">reached </w:t>
      </w:r>
      <w:r>
        <w:t xml:space="preserve">amongst these experts </w:t>
      </w:r>
      <w:r w:rsidRPr="00CB153F">
        <w:t>before the deadline for this document, and it needs to be dis</w:t>
      </w:r>
      <w:r>
        <w:t>cussed more broadly within the ICG</w:t>
      </w:r>
      <w:r w:rsidRPr="00CB153F">
        <w:t>. An informal document may ap</w:t>
      </w:r>
      <w:r>
        <w:t>pear later to address this</w:t>
      </w:r>
      <w:r w:rsidRPr="00CB153F">
        <w:t>.</w:t>
      </w:r>
    </w:p>
    <w:p w14:paraId="4C7CF77B" w14:textId="77777777" w:rsidR="00C95C22" w:rsidRPr="00CB153F" w:rsidRDefault="00C95C22" w:rsidP="00C95C22">
      <w:pPr>
        <w:pStyle w:val="HChG"/>
      </w:pPr>
      <w:r>
        <w:tab/>
      </w:r>
      <w:r>
        <w:tab/>
      </w:r>
      <w:r w:rsidRPr="00CB153F">
        <w:t>Proposal</w:t>
      </w:r>
    </w:p>
    <w:p w14:paraId="712F0C49" w14:textId="6B36E713" w:rsidR="00C95C22" w:rsidRDefault="00C95C22" w:rsidP="00C95C22">
      <w:pPr>
        <w:pStyle w:val="SingleTxtG"/>
      </w:pPr>
      <w:r>
        <w:t>4</w:t>
      </w:r>
      <w:r w:rsidRPr="00AA55A0">
        <w:t>.</w:t>
      </w:r>
      <w:r w:rsidRPr="00AA55A0">
        <w:tab/>
      </w:r>
      <w:r>
        <w:t>The Sub-Committee is asked to consider insertion of the decision logics as presented in the annex to this document into section 2.1.4.1 of the new Chapter 2.1, to complete the chapter. The numbering of the boxes is to aid discussions only and is not intended to remain in the final decision logics included in the GHS.</w:t>
      </w:r>
    </w:p>
    <w:p w14:paraId="34F74E39" w14:textId="77777777" w:rsidR="00C95C22" w:rsidRDefault="00C95C22" w:rsidP="00C95C22">
      <w:pPr>
        <w:pStyle w:val="SingleTxtG"/>
      </w:pPr>
      <w:r>
        <w:t>5.</w:t>
      </w:r>
      <w:r>
        <w:tab/>
        <w:t>The expert from Sweden wishes to express his appreciation to the experts of the small drafting group that worked very intensely on this matter, as well as to the other experts of the ICG that independently confirmed the correctness of the flowcharts despite being given very little time.</w:t>
      </w:r>
    </w:p>
    <w:p w14:paraId="334EFA43" w14:textId="617BF012" w:rsidR="00943B29" w:rsidRDefault="00943B29">
      <w:pPr>
        <w:suppressAutoHyphens w:val="0"/>
        <w:kinsoku/>
        <w:overflowPunct/>
        <w:autoSpaceDE/>
        <w:autoSpaceDN/>
        <w:adjustRightInd/>
        <w:snapToGrid/>
        <w:spacing w:after="200" w:line="276" w:lineRule="auto"/>
      </w:pPr>
      <w:r>
        <w:br w:type="page"/>
      </w:r>
    </w:p>
    <w:p w14:paraId="6AB5CAFD" w14:textId="79DFCCD9" w:rsidR="00AF5DE1" w:rsidRDefault="00D27C1C" w:rsidP="00F93EA1">
      <w:pPr>
        <w:pStyle w:val="HChG"/>
      </w:pPr>
      <w:r>
        <w:lastRenderedPageBreak/>
        <w:tab/>
      </w:r>
      <w:r w:rsidR="00F93EA1">
        <w:t>Annex</w:t>
      </w:r>
    </w:p>
    <w:p w14:paraId="68A603E6" w14:textId="0AFD841B" w:rsidR="00F93EA1" w:rsidRPr="0063155B" w:rsidRDefault="00D27C1C" w:rsidP="00F93EA1">
      <w:pPr>
        <w:pStyle w:val="HChG"/>
        <w:spacing w:before="240" w:after="120"/>
      </w:pPr>
      <w:r>
        <w:tab/>
      </w:r>
      <w:r>
        <w:tab/>
      </w:r>
      <w:r w:rsidR="00F93EA1">
        <w:t>Proposed d</w:t>
      </w:r>
      <w:r w:rsidR="00F93EA1" w:rsidRPr="00880961">
        <w:t>ecision logics for section 2.1.4.1 of the new GHS Chapter 2.1</w:t>
      </w:r>
    </w:p>
    <w:p w14:paraId="314BB716" w14:textId="329510DF" w:rsidR="00D27C1C" w:rsidRDefault="00D27C1C" w:rsidP="00F93EA1">
      <w:pPr>
        <w:pStyle w:val="H1G"/>
        <w:rPr>
          <w:lang w:val="en-US"/>
        </w:rPr>
      </w:pPr>
      <w:r>
        <w:tab/>
      </w:r>
      <w:r>
        <w:tab/>
      </w:r>
      <w:r w:rsidR="00F93EA1" w:rsidRPr="00D601A3">
        <w:t>Decision logic 2.1 (a)</w:t>
      </w:r>
      <w:r w:rsidR="00F93EA1" w:rsidRPr="00D601A3">
        <w:rPr>
          <w:lang w:val="en-US"/>
        </w:rPr>
        <w:t xml:space="preserve"> for categories of explosives</w:t>
      </w:r>
    </w:p>
    <w:p w14:paraId="0825D089" w14:textId="0304DFE6" w:rsidR="00D27C1C" w:rsidRDefault="001D7EA0" w:rsidP="001D7EA0">
      <w:pPr>
        <w:ind w:left="993"/>
        <w:rPr>
          <w:lang w:val="en-US"/>
        </w:rPr>
      </w:pPr>
      <w:r>
        <w:object w:dxaOrig="8041" w:dyaOrig="6855" w14:anchorId="6B970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35pt;height:5in" o:ole="">
            <v:imagedata r:id="rId9" o:title=""/>
          </v:shape>
          <o:OLEObject Type="Embed" ProgID="Visio.Drawing.15" ShapeID="_x0000_i1025" DrawAspect="Content" ObjectID="_1661699272" r:id="rId10"/>
        </w:object>
      </w:r>
    </w:p>
    <w:p w14:paraId="74F83918" w14:textId="77777777" w:rsidR="00F65B3D" w:rsidRDefault="00F65B3D">
      <w:pPr>
        <w:suppressAutoHyphens w:val="0"/>
        <w:kinsoku/>
        <w:overflowPunct/>
        <w:autoSpaceDE/>
        <w:autoSpaceDN/>
        <w:adjustRightInd/>
        <w:snapToGrid/>
        <w:spacing w:after="200" w:line="276" w:lineRule="auto"/>
        <w:rPr>
          <w:lang w:val="en-US"/>
        </w:rPr>
      </w:pPr>
    </w:p>
    <w:p w14:paraId="03F29734" w14:textId="13962623" w:rsidR="00F65B3D" w:rsidRDefault="00F65B3D" w:rsidP="00F65B3D">
      <w:pPr>
        <w:pStyle w:val="SingleTxtG"/>
        <w:rPr>
          <w:lang w:val="en-US"/>
        </w:rPr>
      </w:pPr>
    </w:p>
    <w:p w14:paraId="0241D8C5" w14:textId="3325BF0E" w:rsidR="00F65B3D" w:rsidRDefault="00F65B3D" w:rsidP="00F65B3D">
      <w:pPr>
        <w:pStyle w:val="SingleTxtG"/>
        <w:rPr>
          <w:lang w:val="en-US"/>
        </w:rPr>
      </w:pPr>
    </w:p>
    <w:p w14:paraId="247C5708" w14:textId="77777777" w:rsidR="00F65B3D" w:rsidRDefault="00F65B3D" w:rsidP="00F65B3D">
      <w:pPr>
        <w:pStyle w:val="SingleTxtG"/>
        <w:rPr>
          <w:lang w:val="en-US"/>
        </w:rPr>
      </w:pPr>
    </w:p>
    <w:p w14:paraId="1EB9DD26" w14:textId="2514FA80" w:rsidR="00F65B3D" w:rsidRPr="000E6E09" w:rsidRDefault="00F65B3D" w:rsidP="000E6E09">
      <w:pPr>
        <w:pStyle w:val="FootnoteText"/>
        <w:tabs>
          <w:tab w:val="left" w:pos="1418"/>
        </w:tabs>
        <w:jc w:val="both"/>
        <w:rPr>
          <w:sz w:val="20"/>
          <w:szCs w:val="22"/>
          <w:lang w:val="fr-CH"/>
        </w:rPr>
      </w:pPr>
      <w:r>
        <w:tab/>
      </w:r>
      <w:proofErr w:type="gramStart"/>
      <w:r w:rsidRPr="000E6E09">
        <w:rPr>
          <w:sz w:val="20"/>
          <w:szCs w:val="22"/>
          <w:vertAlign w:val="superscript"/>
        </w:rPr>
        <w:t>a</w:t>
      </w:r>
      <w:proofErr w:type="gramEnd"/>
      <w:r w:rsidRPr="000E6E09">
        <w:rPr>
          <w:sz w:val="20"/>
          <w:szCs w:val="22"/>
          <w:vertAlign w:val="superscript"/>
        </w:rPr>
        <w:tab/>
      </w:r>
      <w:r w:rsidRPr="000E6E09">
        <w:rPr>
          <w:sz w:val="20"/>
          <w:szCs w:val="22"/>
          <w:lang w:val="en-US"/>
        </w:rPr>
        <w:t>ANEs, desensitized explosives, organic peroxides and self-reactive substances and mixtures are classified in other hazard classes, see 2.1.1.2.2.</w:t>
      </w:r>
    </w:p>
    <w:p w14:paraId="5B65C1AF" w14:textId="4116373E" w:rsidR="00F65B3D" w:rsidRPr="000E6E09" w:rsidRDefault="00F65B3D" w:rsidP="000E6E09">
      <w:pPr>
        <w:pStyle w:val="FootnoteText"/>
        <w:jc w:val="both"/>
        <w:rPr>
          <w:sz w:val="20"/>
          <w:szCs w:val="22"/>
          <w:lang w:val="fr-CH"/>
        </w:rPr>
      </w:pPr>
      <w:r w:rsidRPr="000E6E09">
        <w:rPr>
          <w:sz w:val="20"/>
          <w:szCs w:val="22"/>
        </w:rPr>
        <w:tab/>
      </w:r>
      <w:r w:rsidRPr="000E6E09">
        <w:rPr>
          <w:sz w:val="20"/>
          <w:szCs w:val="22"/>
          <w:vertAlign w:val="superscript"/>
          <w:lang w:val="en-US"/>
        </w:rPr>
        <w:t>b</w:t>
      </w:r>
      <w:r w:rsidRPr="000E6E09">
        <w:rPr>
          <w:b/>
          <w:bCs/>
          <w:sz w:val="20"/>
          <w:szCs w:val="22"/>
          <w:lang w:val="en-US"/>
        </w:rPr>
        <w:tab/>
      </w:r>
      <w:r w:rsidRPr="000E6E09">
        <w:rPr>
          <w:sz w:val="20"/>
          <w:szCs w:val="22"/>
          <w:lang w:val="en-US"/>
        </w:rPr>
        <w:t>Unless it is for use, see 2.1.1.3.4.</w:t>
      </w:r>
    </w:p>
    <w:p w14:paraId="69C45055" w14:textId="47C60AB9" w:rsidR="00F65B3D" w:rsidRPr="000E6E09" w:rsidRDefault="00F65B3D" w:rsidP="000E6E09">
      <w:pPr>
        <w:pStyle w:val="FootnoteText"/>
        <w:jc w:val="both"/>
        <w:rPr>
          <w:sz w:val="20"/>
          <w:szCs w:val="22"/>
          <w:lang w:val="fr-CH"/>
        </w:rPr>
      </w:pPr>
      <w:r w:rsidRPr="000E6E09">
        <w:rPr>
          <w:sz w:val="20"/>
          <w:szCs w:val="22"/>
        </w:rPr>
        <w:tab/>
      </w:r>
      <w:r w:rsidRPr="000E6E09">
        <w:rPr>
          <w:sz w:val="20"/>
          <w:szCs w:val="22"/>
          <w:vertAlign w:val="superscript"/>
        </w:rPr>
        <w:t>c</w:t>
      </w:r>
      <w:r w:rsidRPr="000E6E09">
        <w:rPr>
          <w:sz w:val="20"/>
          <w:szCs w:val="22"/>
        </w:rPr>
        <w:tab/>
      </w:r>
      <w:r w:rsidRPr="000E6E09">
        <w:rPr>
          <w:sz w:val="20"/>
          <w:szCs w:val="22"/>
          <w:lang w:val="en-US"/>
        </w:rPr>
        <w:t>Screening procedures may be used to avoid testing, see 2.1.1.2.2.</w:t>
      </w:r>
    </w:p>
    <w:p w14:paraId="633CAECB" w14:textId="6AB705FD" w:rsidR="00D27C1C" w:rsidRDefault="00D27C1C">
      <w:pPr>
        <w:suppressAutoHyphens w:val="0"/>
        <w:kinsoku/>
        <w:overflowPunct/>
        <w:autoSpaceDE/>
        <w:autoSpaceDN/>
        <w:adjustRightInd/>
        <w:snapToGrid/>
        <w:spacing w:after="200" w:line="276" w:lineRule="auto"/>
        <w:rPr>
          <w:lang w:val="en-US"/>
        </w:rPr>
      </w:pPr>
      <w:r>
        <w:rPr>
          <w:lang w:val="en-US"/>
        </w:rPr>
        <w:br w:type="page"/>
      </w:r>
    </w:p>
    <w:p w14:paraId="2889928B" w14:textId="0864751E" w:rsidR="00D27C1C" w:rsidRPr="00D27C1C" w:rsidRDefault="00D27C1C" w:rsidP="00D27C1C">
      <w:pPr>
        <w:pStyle w:val="H1G"/>
      </w:pPr>
      <w:r>
        <w:lastRenderedPageBreak/>
        <w:tab/>
      </w:r>
      <w:r>
        <w:tab/>
      </w:r>
      <w:r w:rsidRPr="00D27C1C">
        <w:t>Decision logic 2.1 (b) for sub-categories of explosives</w:t>
      </w:r>
    </w:p>
    <w:p w14:paraId="7B6E73CE" w14:textId="1169CF4C" w:rsidR="007210FC" w:rsidRDefault="00D27C1C" w:rsidP="000E6E09">
      <w:pPr>
        <w:rPr>
          <w:color w:val="FFFFFF" w:themeColor="background1"/>
          <w:lang w:val="en-US"/>
        </w:rPr>
      </w:pPr>
      <w:r w:rsidRPr="00D27C1C">
        <w:rPr>
          <w:color w:val="FFFFFF" w:themeColor="background1"/>
          <w:lang w:val="en-US"/>
        </w:rPr>
        <w:tab/>
      </w:r>
      <w:r w:rsidRPr="00D27C1C">
        <w:rPr>
          <w:color w:val="FFFFFF" w:themeColor="background1"/>
          <w:lang w:val="en-US"/>
        </w:rPr>
        <w:tab/>
      </w:r>
    </w:p>
    <w:p w14:paraId="3F053BF7" w14:textId="1884FA2A" w:rsidR="007210FC" w:rsidRDefault="001D7EA0" w:rsidP="001D7EA0">
      <w:pPr>
        <w:ind w:left="993"/>
        <w:jc w:val="center"/>
      </w:pPr>
      <w:r>
        <w:object w:dxaOrig="5656" w:dyaOrig="8745" w14:anchorId="49A34B1A">
          <v:shape id="_x0000_i1026" type="#_x0000_t75" style="width:282.65pt;height:437.35pt" o:ole="">
            <v:imagedata r:id="rId11" o:title=""/>
          </v:shape>
          <o:OLEObject Type="Embed" ProgID="Visio.Drawing.15" ShapeID="_x0000_i1026" DrawAspect="Content" ObjectID="_1661699273" r:id="rId12"/>
        </w:object>
      </w:r>
    </w:p>
    <w:p w14:paraId="0A2840D4" w14:textId="1D3FA535" w:rsidR="008E2092" w:rsidRDefault="008E2092" w:rsidP="00B152BA">
      <w:pPr>
        <w:ind w:left="993"/>
        <w:jc w:val="center"/>
      </w:pPr>
    </w:p>
    <w:p w14:paraId="2DB1AFF5" w14:textId="14B80B58" w:rsidR="00F65B3D" w:rsidRDefault="00F65B3D" w:rsidP="00B152BA">
      <w:pPr>
        <w:ind w:left="993"/>
        <w:jc w:val="center"/>
      </w:pPr>
    </w:p>
    <w:p w14:paraId="7397F16D" w14:textId="2715E739" w:rsidR="00F65B3D" w:rsidRDefault="00F65B3D" w:rsidP="00B152BA">
      <w:pPr>
        <w:ind w:left="993"/>
        <w:jc w:val="center"/>
      </w:pPr>
    </w:p>
    <w:p w14:paraId="0E543CAB" w14:textId="50A8201F" w:rsidR="00F65B3D" w:rsidRDefault="00F65B3D" w:rsidP="00B152BA">
      <w:pPr>
        <w:ind w:left="993"/>
        <w:jc w:val="center"/>
      </w:pPr>
    </w:p>
    <w:p w14:paraId="5CE52159" w14:textId="5D3D363C" w:rsidR="00F65B3D" w:rsidRDefault="00F65B3D" w:rsidP="00B152BA">
      <w:pPr>
        <w:ind w:left="993"/>
        <w:jc w:val="center"/>
      </w:pPr>
    </w:p>
    <w:p w14:paraId="10569303" w14:textId="19EAC67E" w:rsidR="00F65B3D" w:rsidRDefault="00F65B3D" w:rsidP="000E6E09">
      <w:pPr>
        <w:pStyle w:val="SingleTxtG"/>
        <w:tabs>
          <w:tab w:val="left" w:pos="1418"/>
        </w:tabs>
        <w:ind w:left="1418" w:hanging="284"/>
      </w:pPr>
      <w:r w:rsidRPr="00F65B3D">
        <w:rPr>
          <w:vertAlign w:val="superscript"/>
          <w:lang w:val="sv-SE"/>
        </w:rPr>
        <w:t>a</w:t>
      </w:r>
      <w:r>
        <w:rPr>
          <w:lang w:val="sv-SE"/>
        </w:rPr>
        <w:tab/>
      </w:r>
      <w:r w:rsidRPr="00D27C1C">
        <w:rPr>
          <w:lang w:val="sv-SE"/>
        </w:rPr>
        <w:t>I</w:t>
      </w:r>
      <w:proofErr w:type="spellStart"/>
      <w:r w:rsidRPr="00D27C1C">
        <w:rPr>
          <w:lang w:val="en-US"/>
        </w:rPr>
        <w:t>n</w:t>
      </w:r>
      <w:proofErr w:type="spellEnd"/>
      <w:r w:rsidRPr="00D27C1C">
        <w:rPr>
          <w:lang w:val="en-US"/>
        </w:rPr>
        <w:t xml:space="preserve"> the absence of results from test 6</w:t>
      </w:r>
      <w:r>
        <w:rPr>
          <w:lang w:val="en-US"/>
        </w:rPr>
        <w:t> </w:t>
      </w:r>
      <w:r w:rsidRPr="00D27C1C">
        <w:rPr>
          <w:lang w:val="en-US"/>
        </w:rPr>
        <w:t>(a) or 6</w:t>
      </w:r>
      <w:r>
        <w:rPr>
          <w:lang w:val="en-US"/>
        </w:rPr>
        <w:t> </w:t>
      </w:r>
      <w:r w:rsidRPr="00D27C1C">
        <w:rPr>
          <w:lang w:val="en-US"/>
        </w:rPr>
        <w:t>(b), results from test 6</w:t>
      </w:r>
      <w:r>
        <w:rPr>
          <w:lang w:val="en-US"/>
        </w:rPr>
        <w:t> </w:t>
      </w:r>
      <w:r w:rsidRPr="00D27C1C">
        <w:rPr>
          <w:lang w:val="en-US"/>
        </w:rPr>
        <w:t>(d) may be used to assess whether there was a high hazard event, see 2.1.2.1.</w:t>
      </w:r>
    </w:p>
    <w:p w14:paraId="07CE8A79" w14:textId="19A2E7ED" w:rsidR="008E2092" w:rsidRPr="008E2092" w:rsidRDefault="008E2092" w:rsidP="008E2092">
      <w:pPr>
        <w:spacing w:before="240"/>
        <w:jc w:val="center"/>
        <w:rPr>
          <w:u w:val="single"/>
          <w:lang w:val="en-US"/>
        </w:rPr>
      </w:pPr>
      <w:r>
        <w:rPr>
          <w:u w:val="single"/>
          <w:lang w:val="en-US"/>
        </w:rPr>
        <w:tab/>
      </w:r>
      <w:r>
        <w:rPr>
          <w:u w:val="single"/>
          <w:lang w:val="en-US"/>
        </w:rPr>
        <w:tab/>
      </w:r>
      <w:r>
        <w:rPr>
          <w:u w:val="single"/>
          <w:lang w:val="en-US"/>
        </w:rPr>
        <w:tab/>
      </w:r>
    </w:p>
    <w:sectPr w:rsidR="008E2092" w:rsidRPr="008E2092" w:rsidSect="00F65B3D">
      <w:headerReference w:type="even" r:id="rId13"/>
      <w:headerReference w:type="default" r:id="rId14"/>
      <w:footerReference w:type="even" r:id="rId15"/>
      <w:footerReference w:type="default" r:id="rId16"/>
      <w:headerReference w:type="first" r:id="rId17"/>
      <w:footerReference w:type="first" r:id="rId18"/>
      <w:footnotePr>
        <w:numRestart w:val="eachPage"/>
      </w:footnotePr>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42064" w14:textId="77777777" w:rsidR="00B2499F" w:rsidRPr="00C47B2E" w:rsidRDefault="00B2499F" w:rsidP="00C47B2E">
      <w:pPr>
        <w:pStyle w:val="Footer"/>
      </w:pPr>
    </w:p>
  </w:endnote>
  <w:endnote w:type="continuationSeparator" w:id="0">
    <w:p w14:paraId="5667D196" w14:textId="77777777" w:rsidR="00B2499F" w:rsidRPr="00C47B2E" w:rsidRDefault="00B2499F" w:rsidP="00C47B2E">
      <w:pPr>
        <w:pStyle w:val="Footer"/>
      </w:pPr>
    </w:p>
  </w:endnote>
  <w:endnote w:type="continuationNotice" w:id="1">
    <w:p w14:paraId="232B550D" w14:textId="77777777" w:rsidR="00B2499F" w:rsidRPr="00C47B2E" w:rsidRDefault="00B2499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566A" w14:textId="6F7BCDDD" w:rsidR="00D94B05" w:rsidRPr="00B2499F" w:rsidRDefault="00B2499F" w:rsidP="00B2499F">
    <w:pPr>
      <w:pStyle w:val="Footer"/>
      <w:tabs>
        <w:tab w:val="right" w:pos="9598"/>
        <w:tab w:val="right" w:pos="9638"/>
      </w:tabs>
      <w:rPr>
        <w:sz w:val="18"/>
      </w:rPr>
    </w:pPr>
    <w:r w:rsidRPr="00B2499F">
      <w:rPr>
        <w:b/>
        <w:sz w:val="18"/>
      </w:rPr>
      <w:fldChar w:fldCharType="begin"/>
    </w:r>
    <w:r w:rsidRPr="00B2499F">
      <w:rPr>
        <w:b/>
        <w:sz w:val="18"/>
      </w:rPr>
      <w:instrText xml:space="preserve"> PAGE  \* MERGEFORMAT </w:instrText>
    </w:r>
    <w:r w:rsidRPr="00B2499F">
      <w:rPr>
        <w:b/>
        <w:sz w:val="18"/>
      </w:rPr>
      <w:fldChar w:fldCharType="separate"/>
    </w:r>
    <w:r w:rsidRPr="00B2499F">
      <w:rPr>
        <w:b/>
        <w:noProof/>
        <w:sz w:val="18"/>
      </w:rPr>
      <w:t>2</w:t>
    </w:r>
    <w:r w:rsidRPr="00B2499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4CFF" w14:textId="2396395B" w:rsidR="00D94B05" w:rsidRPr="00B2499F" w:rsidRDefault="00B2499F" w:rsidP="00D27C1C">
    <w:pPr>
      <w:pStyle w:val="Footer"/>
      <w:tabs>
        <w:tab w:val="left" w:pos="5775"/>
        <w:tab w:val="right" w:pos="9598"/>
        <w:tab w:val="right" w:pos="9638"/>
      </w:tabs>
      <w:jc w:val="right"/>
      <w:rPr>
        <w:sz w:val="18"/>
      </w:rPr>
    </w:pPr>
    <w:r>
      <w:rPr>
        <w:b/>
        <w:sz w:val="18"/>
      </w:rPr>
      <w:tab/>
    </w:r>
    <w:r w:rsidRPr="00B2499F">
      <w:rPr>
        <w:sz w:val="18"/>
      </w:rPr>
      <w:fldChar w:fldCharType="begin"/>
    </w:r>
    <w:r w:rsidRPr="00B2499F">
      <w:rPr>
        <w:sz w:val="18"/>
      </w:rPr>
      <w:instrText xml:space="preserve"> PAGE  \* MERGEFORMAT </w:instrText>
    </w:r>
    <w:r w:rsidRPr="00B2499F">
      <w:rPr>
        <w:sz w:val="18"/>
      </w:rPr>
      <w:fldChar w:fldCharType="separate"/>
    </w:r>
    <w:r w:rsidRPr="00B2499F">
      <w:rPr>
        <w:noProof/>
        <w:sz w:val="18"/>
      </w:rPr>
      <w:t>3</w:t>
    </w:r>
    <w:r w:rsidRPr="00B2499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ADE7" w14:textId="77777777" w:rsidR="00D94B05" w:rsidRPr="00B2499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86F00AF" wp14:editId="557A3EF2">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F7158" w14:textId="77777777" w:rsidR="00B2499F" w:rsidRPr="00C47B2E" w:rsidRDefault="00B2499F" w:rsidP="00C47B2E">
      <w:pPr>
        <w:tabs>
          <w:tab w:val="right" w:pos="2155"/>
        </w:tabs>
        <w:spacing w:after="80" w:line="240" w:lineRule="auto"/>
        <w:ind w:left="680"/>
      </w:pPr>
      <w:r>
        <w:rPr>
          <w:u w:val="single"/>
        </w:rPr>
        <w:tab/>
      </w:r>
    </w:p>
  </w:footnote>
  <w:footnote w:type="continuationSeparator" w:id="0">
    <w:p w14:paraId="454EC99E" w14:textId="77777777" w:rsidR="00B2499F" w:rsidRPr="00C47B2E" w:rsidRDefault="00B2499F" w:rsidP="005E716E">
      <w:pPr>
        <w:tabs>
          <w:tab w:val="right" w:pos="2155"/>
        </w:tabs>
        <w:spacing w:after="80" w:line="240" w:lineRule="auto"/>
        <w:ind w:left="680"/>
      </w:pPr>
      <w:r>
        <w:rPr>
          <w:u w:val="single"/>
        </w:rPr>
        <w:tab/>
      </w:r>
    </w:p>
  </w:footnote>
  <w:footnote w:type="continuationNotice" w:id="1">
    <w:p w14:paraId="72495370" w14:textId="77777777" w:rsidR="00B2499F" w:rsidRPr="00C47B2E" w:rsidRDefault="00B2499F" w:rsidP="00C47B2E">
      <w:pPr>
        <w:pStyle w:val="Footer"/>
      </w:pPr>
    </w:p>
  </w:footnote>
  <w:footnote w:id="2">
    <w:p w14:paraId="0E80A45F" w14:textId="77777777" w:rsidR="00C95C22" w:rsidRPr="001803B7" w:rsidRDefault="00C95C22" w:rsidP="00C95C22">
      <w:pPr>
        <w:pStyle w:val="FootnoteText"/>
        <w:tabs>
          <w:tab w:val="left" w:pos="1418"/>
        </w:tabs>
        <w:ind w:firstLine="0"/>
        <w:rPr>
          <w:szCs w:val="18"/>
          <w:lang w:val="fr-CH"/>
        </w:rPr>
      </w:pPr>
      <w:r w:rsidRPr="001803B7">
        <w:rPr>
          <w:rStyle w:val="FootnoteReference"/>
          <w:szCs w:val="18"/>
          <w:vertAlign w:val="baseline"/>
        </w:rPr>
        <w:t>*</w:t>
      </w:r>
      <w:r w:rsidRPr="001803B7">
        <w:rPr>
          <w:rStyle w:val="FootnoteReference"/>
          <w:szCs w:val="18"/>
          <w:vertAlign w:val="baseline"/>
        </w:rPr>
        <w:tab/>
        <w:t>2020 (A/74/6 (Sect.20)) and Supplementary, Subprogramme 2</w:t>
      </w:r>
      <w:r w:rsidRPr="001803B7">
        <w:rPr>
          <w:szCs w:val="18"/>
        </w:rPr>
        <w:t>.</w:t>
      </w:r>
    </w:p>
  </w:footnote>
  <w:footnote w:id="3">
    <w:p w14:paraId="782E84CF" w14:textId="5A797410" w:rsidR="00C95C22" w:rsidRPr="00CB153F" w:rsidRDefault="00F65B3D" w:rsidP="00F65B3D">
      <w:pPr>
        <w:pStyle w:val="FootnoteText"/>
        <w:widowControl w:val="0"/>
        <w:tabs>
          <w:tab w:val="clear" w:pos="1021"/>
          <w:tab w:val="right" w:pos="1276"/>
          <w:tab w:val="left" w:pos="1418"/>
        </w:tabs>
      </w:pPr>
      <w:r>
        <w:tab/>
      </w:r>
      <w:r w:rsidR="00C95C22">
        <w:rPr>
          <w:rStyle w:val="FootnoteReference"/>
        </w:rPr>
        <w:footnoteRef/>
      </w:r>
      <w:r w:rsidR="00C95C22">
        <w:t xml:space="preserve"> </w:t>
      </w:r>
      <w:r>
        <w:tab/>
      </w:r>
      <w:r>
        <w:tab/>
      </w:r>
      <w:r w:rsidR="00C95C22" w:rsidRPr="00CB153F">
        <w:t xml:space="preserve">The full chapter, as amended, is presented in </w:t>
      </w:r>
      <w:r w:rsidR="00C95C22">
        <w:t xml:space="preserve">informal </w:t>
      </w:r>
      <w:r w:rsidR="00C95C22" w:rsidRPr="00CB153F">
        <w:t xml:space="preserve">document </w:t>
      </w:r>
      <w:r w:rsidR="00C95C22">
        <w:t>INF.17 (fifty-seventh session) and informal document INF.14 (thirty-ninth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59E5" w14:textId="54A72487" w:rsidR="00B2499F" w:rsidRPr="00707850" w:rsidRDefault="00707850">
    <w:pPr>
      <w:pStyle w:val="Header"/>
      <w:rPr>
        <w:lang w:val="fr-CH"/>
      </w:rPr>
    </w:pPr>
    <w:r>
      <w:rPr>
        <w:lang w:val="fr-CH"/>
      </w:rPr>
      <w:t>ST/SG/AC.10/C.4/2020/18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6D8B" w14:textId="4486449E" w:rsidR="00D94B05" w:rsidRPr="00707850" w:rsidRDefault="00707850" w:rsidP="00B2499F">
    <w:pPr>
      <w:pStyle w:val="Header"/>
      <w:jc w:val="right"/>
      <w:rPr>
        <w:lang w:val="fr-CH"/>
      </w:rPr>
    </w:pPr>
    <w:r>
      <w:rPr>
        <w:lang w:val="fr-CH"/>
      </w:rPr>
      <w:t>ST/SG/AC.10/C.4/2020/18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18E2" w14:textId="77777777" w:rsidR="00707850" w:rsidRDefault="00707850" w:rsidP="0070785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14337"/>
  </w:hdrShapeDefaults>
  <w:footnotePr>
    <w:numRestart w:val="eachPage"/>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9F"/>
    <w:rsid w:val="00046E92"/>
    <w:rsid w:val="00063C90"/>
    <w:rsid w:val="000E6E09"/>
    <w:rsid w:val="00101B98"/>
    <w:rsid w:val="001514D1"/>
    <w:rsid w:val="001D7EA0"/>
    <w:rsid w:val="00247E2C"/>
    <w:rsid w:val="002A32CB"/>
    <w:rsid w:val="002D5B2C"/>
    <w:rsid w:val="002D6C53"/>
    <w:rsid w:val="002F5595"/>
    <w:rsid w:val="00334F6A"/>
    <w:rsid w:val="00342AC8"/>
    <w:rsid w:val="00343302"/>
    <w:rsid w:val="003979DE"/>
    <w:rsid w:val="003B4550"/>
    <w:rsid w:val="003D2A18"/>
    <w:rsid w:val="00413386"/>
    <w:rsid w:val="00461253"/>
    <w:rsid w:val="0046528F"/>
    <w:rsid w:val="004858F5"/>
    <w:rsid w:val="004A2814"/>
    <w:rsid w:val="004C0622"/>
    <w:rsid w:val="005042C2"/>
    <w:rsid w:val="005E716E"/>
    <w:rsid w:val="006476E1"/>
    <w:rsid w:val="006604DF"/>
    <w:rsid w:val="00671529"/>
    <w:rsid w:val="007021F4"/>
    <w:rsid w:val="0070489D"/>
    <w:rsid w:val="00707850"/>
    <w:rsid w:val="007210FC"/>
    <w:rsid w:val="007268F9"/>
    <w:rsid w:val="00750282"/>
    <w:rsid w:val="00764440"/>
    <w:rsid w:val="0077101B"/>
    <w:rsid w:val="007C52B0"/>
    <w:rsid w:val="007C6033"/>
    <w:rsid w:val="008147C8"/>
    <w:rsid w:val="0081753A"/>
    <w:rsid w:val="00857D23"/>
    <w:rsid w:val="008C606F"/>
    <w:rsid w:val="008E2092"/>
    <w:rsid w:val="009411B4"/>
    <w:rsid w:val="00943B29"/>
    <w:rsid w:val="00946F1D"/>
    <w:rsid w:val="009D0139"/>
    <w:rsid w:val="009D717D"/>
    <w:rsid w:val="009F5CDC"/>
    <w:rsid w:val="00A03BC6"/>
    <w:rsid w:val="00A072D7"/>
    <w:rsid w:val="00A775CF"/>
    <w:rsid w:val="00AD1A9C"/>
    <w:rsid w:val="00AF5DE1"/>
    <w:rsid w:val="00B06045"/>
    <w:rsid w:val="00B152BA"/>
    <w:rsid w:val="00B206DD"/>
    <w:rsid w:val="00B2499F"/>
    <w:rsid w:val="00B52EF4"/>
    <w:rsid w:val="00B777AD"/>
    <w:rsid w:val="00C03015"/>
    <w:rsid w:val="00C0358D"/>
    <w:rsid w:val="00C35A27"/>
    <w:rsid w:val="00C47B2E"/>
    <w:rsid w:val="00C95C22"/>
    <w:rsid w:val="00D27C1C"/>
    <w:rsid w:val="00D63CD2"/>
    <w:rsid w:val="00D87DC2"/>
    <w:rsid w:val="00D94B05"/>
    <w:rsid w:val="00E02C2B"/>
    <w:rsid w:val="00E21C27"/>
    <w:rsid w:val="00E26BCF"/>
    <w:rsid w:val="00E52109"/>
    <w:rsid w:val="00E75317"/>
    <w:rsid w:val="00EC0CE6"/>
    <w:rsid w:val="00EC7C1D"/>
    <w:rsid w:val="00ED6C48"/>
    <w:rsid w:val="00EE3045"/>
    <w:rsid w:val="00F2239E"/>
    <w:rsid w:val="00F65B3D"/>
    <w:rsid w:val="00F65F5D"/>
    <w:rsid w:val="00F86A3A"/>
    <w:rsid w:val="00F93EA1"/>
    <w:rsid w:val="00FE757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E75F93"/>
  <w15:docId w15:val="{572DFCCB-3DFB-4AA6-9A16-D8D6D4CA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C95C22"/>
    <w:rPr>
      <w:b/>
      <w:sz w:val="28"/>
    </w:rPr>
  </w:style>
  <w:style w:type="character" w:customStyle="1" w:styleId="H1GChar">
    <w:name w:val="_ H_1_G Char"/>
    <w:link w:val="H1G"/>
    <w:locked/>
    <w:rsid w:val="00C95C2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176461081">
      <w:bodyDiv w:val="1"/>
      <w:marLeft w:val="0"/>
      <w:marRight w:val="0"/>
      <w:marTop w:val="0"/>
      <w:marBottom w:val="0"/>
      <w:divBdr>
        <w:top w:val="none" w:sz="0" w:space="0" w:color="auto"/>
        <w:left w:val="none" w:sz="0" w:space="0" w:color="auto"/>
        <w:bottom w:val="none" w:sz="0" w:space="0" w:color="auto"/>
        <w:right w:val="none" w:sz="0" w:space="0" w:color="auto"/>
      </w:divBdr>
    </w:div>
    <w:div w:id="20183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E4D87-FE87-40DF-9ABA-BC76DECB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201</TotalTime>
  <Pages>4</Pages>
  <Words>681</Words>
  <Characters>3623</Characters>
  <Application>Microsoft Office Word</Application>
  <DocSecurity>0</DocSecurity>
  <Lines>86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ST/SG/AC.10/C.4/2020/18</vt: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ST/SG/AC.10/C.4/2020/18</dc:title>
  <dc:subject/>
  <dc:creator>Rosa</dc:creator>
  <cp:lastModifiedBy>Laurence Berthet</cp:lastModifiedBy>
  <cp:revision>14</cp:revision>
  <cp:lastPrinted>2020-09-15T15:50:00Z</cp:lastPrinted>
  <dcterms:created xsi:type="dcterms:W3CDTF">2020-09-14T09:20:00Z</dcterms:created>
  <dcterms:modified xsi:type="dcterms:W3CDTF">2020-09-15T16:21:00Z</dcterms:modified>
</cp:coreProperties>
</file>