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52555E3" w14:textId="77777777" w:rsidTr="006476E1">
        <w:trPr>
          <w:trHeight w:val="851"/>
        </w:trPr>
        <w:tc>
          <w:tcPr>
            <w:tcW w:w="1259" w:type="dxa"/>
            <w:tcBorders>
              <w:top w:val="nil"/>
              <w:left w:val="nil"/>
              <w:bottom w:val="single" w:sz="4" w:space="0" w:color="auto"/>
              <w:right w:val="nil"/>
            </w:tcBorders>
          </w:tcPr>
          <w:p w14:paraId="50897D8A" w14:textId="77777777" w:rsidR="00E52109" w:rsidRPr="002A32CB" w:rsidRDefault="00E52109" w:rsidP="004858F5"/>
        </w:tc>
        <w:tc>
          <w:tcPr>
            <w:tcW w:w="2236" w:type="dxa"/>
            <w:tcBorders>
              <w:top w:val="nil"/>
              <w:left w:val="nil"/>
              <w:bottom w:val="single" w:sz="4" w:space="0" w:color="auto"/>
              <w:right w:val="nil"/>
            </w:tcBorders>
            <w:vAlign w:val="bottom"/>
          </w:tcPr>
          <w:p w14:paraId="45A206B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3E7F816" w14:textId="77777777" w:rsidR="00E52109" w:rsidRDefault="00043A28" w:rsidP="00043A28">
            <w:pPr>
              <w:suppressAutoHyphens w:val="0"/>
              <w:jc w:val="right"/>
            </w:pPr>
            <w:r w:rsidRPr="00043A28">
              <w:rPr>
                <w:sz w:val="40"/>
              </w:rPr>
              <w:t>ST</w:t>
            </w:r>
            <w:r>
              <w:t>/SG/AC.10/C.4/2020/14</w:t>
            </w:r>
          </w:p>
        </w:tc>
      </w:tr>
      <w:tr w:rsidR="00E52109" w14:paraId="0A3ACF59" w14:textId="77777777" w:rsidTr="006476E1">
        <w:trPr>
          <w:trHeight w:val="2835"/>
        </w:trPr>
        <w:tc>
          <w:tcPr>
            <w:tcW w:w="1259" w:type="dxa"/>
            <w:tcBorders>
              <w:top w:val="single" w:sz="4" w:space="0" w:color="auto"/>
              <w:left w:val="nil"/>
              <w:bottom w:val="single" w:sz="12" w:space="0" w:color="auto"/>
              <w:right w:val="nil"/>
            </w:tcBorders>
          </w:tcPr>
          <w:p w14:paraId="245C9C8A" w14:textId="77777777" w:rsidR="00E52109" w:rsidRDefault="00E52109" w:rsidP="006476E1">
            <w:pPr>
              <w:spacing w:before="120"/>
              <w:jc w:val="center"/>
            </w:pPr>
            <w:r>
              <w:rPr>
                <w:noProof/>
                <w:lang w:val="fr-CH" w:eastAsia="fr-CH"/>
              </w:rPr>
              <w:drawing>
                <wp:inline distT="0" distB="0" distL="0" distR="0" wp14:anchorId="4EB8F31B" wp14:editId="2853218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FEE210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D7569D9" w14:textId="77777777" w:rsidR="00D94B05" w:rsidRDefault="00043A28" w:rsidP="00043A28">
            <w:pPr>
              <w:suppressAutoHyphens w:val="0"/>
              <w:spacing w:before="240" w:line="240" w:lineRule="exact"/>
            </w:pPr>
            <w:r>
              <w:t>Distr.: General</w:t>
            </w:r>
          </w:p>
          <w:p w14:paraId="5C6A8A0A" w14:textId="3CBF5026" w:rsidR="00043A28" w:rsidRDefault="00A55858" w:rsidP="00043A28">
            <w:pPr>
              <w:suppressAutoHyphens w:val="0"/>
              <w:spacing w:line="240" w:lineRule="exact"/>
            </w:pPr>
            <w:r>
              <w:t>20</w:t>
            </w:r>
            <w:r w:rsidR="00043A28">
              <w:t xml:space="preserve"> April 2020</w:t>
            </w:r>
          </w:p>
          <w:p w14:paraId="7E3E8429" w14:textId="77777777" w:rsidR="00043A28" w:rsidRDefault="00043A28" w:rsidP="00043A28">
            <w:pPr>
              <w:suppressAutoHyphens w:val="0"/>
              <w:spacing w:line="240" w:lineRule="exact"/>
            </w:pPr>
          </w:p>
          <w:p w14:paraId="3F6113A1" w14:textId="77777777" w:rsidR="00043A28" w:rsidRDefault="00043A28" w:rsidP="00043A28">
            <w:pPr>
              <w:suppressAutoHyphens w:val="0"/>
              <w:spacing w:line="240" w:lineRule="exact"/>
            </w:pPr>
            <w:r>
              <w:t>Original: English</w:t>
            </w:r>
          </w:p>
        </w:tc>
      </w:tr>
    </w:tbl>
    <w:p w14:paraId="0D31443B" w14:textId="77777777" w:rsidR="009720AC" w:rsidRPr="009F0F06" w:rsidRDefault="009720AC"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6133612" w14:textId="77777777" w:rsidR="009720AC" w:rsidRPr="009F0F06" w:rsidRDefault="009720AC"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1A0E1194" w14:textId="77777777" w:rsidR="009720AC" w:rsidRDefault="009720AC" w:rsidP="009720AC">
      <w:pPr>
        <w:spacing w:before="120"/>
        <w:rPr>
          <w:b/>
        </w:rPr>
      </w:pPr>
      <w:bookmarkStart w:id="0" w:name="_Hlk35441056"/>
      <w:r>
        <w:rPr>
          <w:b/>
        </w:rPr>
        <w:t>Thirty-ninth session</w:t>
      </w:r>
    </w:p>
    <w:bookmarkEnd w:id="0"/>
    <w:p w14:paraId="28C527B8" w14:textId="77777777" w:rsidR="009720AC" w:rsidRPr="00FC47E9" w:rsidRDefault="009720AC" w:rsidP="009720AC">
      <w:r w:rsidRPr="00FC47E9">
        <w:t xml:space="preserve">Geneva, 8-10 July 2020 </w:t>
      </w:r>
    </w:p>
    <w:p w14:paraId="2E91863A" w14:textId="77777777" w:rsidR="009720AC" w:rsidRPr="00FC47E9" w:rsidRDefault="009720AC" w:rsidP="009720AC">
      <w:r w:rsidRPr="00FC47E9">
        <w:t xml:space="preserve">Item </w:t>
      </w:r>
      <w:r w:rsidR="00EE1504" w:rsidRPr="00FC47E9">
        <w:t>2 (f)</w:t>
      </w:r>
      <w:r w:rsidRPr="00FC47E9">
        <w:t xml:space="preserve"> of the provisional agenda</w:t>
      </w:r>
    </w:p>
    <w:p w14:paraId="1FD72462" w14:textId="77777777" w:rsidR="00AF5DE1" w:rsidRDefault="00EE1504" w:rsidP="009720AC">
      <w:r w:rsidRPr="00FC47E9">
        <w:rPr>
          <w:b/>
          <w:bCs/>
        </w:rPr>
        <w:t xml:space="preserve">Classification criteria and related hazard communication: </w:t>
      </w:r>
      <w:r w:rsidRPr="00FC47E9">
        <w:rPr>
          <w:b/>
          <w:bCs/>
        </w:rPr>
        <w:br/>
        <w:t>Practical classification issues</w:t>
      </w:r>
    </w:p>
    <w:p w14:paraId="1B9B77C1" w14:textId="77777777" w:rsidR="009720AC" w:rsidRPr="00B11A28" w:rsidRDefault="009720AC" w:rsidP="009D7FBF">
      <w:pPr>
        <w:pStyle w:val="HChG"/>
        <w:spacing w:before="240" w:after="120"/>
      </w:pPr>
      <w:r>
        <w:tab/>
      </w:r>
      <w:r>
        <w:tab/>
        <w:t xml:space="preserve">Proposal to address issues from the programme of work for the </w:t>
      </w:r>
      <w:r w:rsidRPr="009720AC">
        <w:t>practical</w:t>
      </w:r>
      <w:r>
        <w:t xml:space="preserve"> classification issues</w:t>
      </w:r>
      <w:bookmarkStart w:id="1" w:name="_GoBack"/>
      <w:bookmarkEnd w:id="1"/>
      <w:r>
        <w:t xml:space="preserve"> correspondence group</w:t>
      </w:r>
    </w:p>
    <w:p w14:paraId="364DEAC6" w14:textId="77777777" w:rsidR="009720AC" w:rsidRDefault="009720AC" w:rsidP="009D7FBF">
      <w:pPr>
        <w:pStyle w:val="H1G"/>
        <w:spacing w:before="240" w:after="120"/>
      </w:pPr>
      <w:r w:rsidRPr="00B11A28">
        <w:tab/>
      </w:r>
      <w:r w:rsidRPr="00B11A28">
        <w:tab/>
      </w:r>
      <w:r w:rsidRPr="006F2710">
        <w:t xml:space="preserve">Transmitted by the expert from the United States of </w:t>
      </w:r>
      <w:r w:rsidRPr="009720AC">
        <w:t>America</w:t>
      </w:r>
      <w:r w:rsidRPr="006F2710">
        <w:t xml:space="preserve"> on behalf of the informal correspondence group on practical classification issues</w:t>
      </w:r>
      <w:r>
        <w:rPr>
          <w:rStyle w:val="FootnoteReference"/>
        </w:rPr>
        <w:footnoteReference w:customMarkFollows="1" w:id="2"/>
        <w:t>*</w:t>
      </w:r>
    </w:p>
    <w:p w14:paraId="66348897" w14:textId="77777777" w:rsidR="009720AC" w:rsidRDefault="009720AC" w:rsidP="009D7FBF">
      <w:pPr>
        <w:pStyle w:val="HChG"/>
        <w:spacing w:before="240" w:after="120"/>
      </w:pPr>
      <w:r>
        <w:tab/>
      </w:r>
      <w:r>
        <w:tab/>
        <w:t>Purpose</w:t>
      </w:r>
    </w:p>
    <w:p w14:paraId="086900D2" w14:textId="77777777" w:rsidR="009720AC" w:rsidRDefault="009720AC" w:rsidP="009720AC">
      <w:pPr>
        <w:pStyle w:val="SingleTxtG"/>
      </w:pPr>
      <w:r w:rsidRPr="001B1CF3">
        <w:t>1.</w:t>
      </w:r>
      <w:r w:rsidRPr="001B1CF3">
        <w:tab/>
      </w:r>
      <w:r>
        <w:rPr>
          <w:lang w:val="en-US" w:eastAsia="ja-JP"/>
        </w:rPr>
        <w:t xml:space="preserve">The agreed scope of work for </w:t>
      </w:r>
      <w:r w:rsidRPr="001B1CF3">
        <w:t>the informal correspondence working group on practical classification issues (PCI)</w:t>
      </w:r>
      <w:r>
        <w:t xml:space="preserve"> is to clarify application of the GHS criteria through, for example, development of proposals for changes to the GHS document or development of examples illustrating application of criteria and any related hazard communication issues, as needed.  </w:t>
      </w:r>
      <w:r w:rsidRPr="001B1CF3">
        <w:t xml:space="preserve">By way of this document, </w:t>
      </w:r>
      <w:r>
        <w:t xml:space="preserve">the </w:t>
      </w:r>
      <w:r w:rsidRPr="001B1CF3">
        <w:t xml:space="preserve">PCI is providing </w:t>
      </w:r>
      <w:r>
        <w:t>examples illustrating application of GHS criteria</w:t>
      </w:r>
      <w:r w:rsidRPr="001B1CF3">
        <w:t>.</w:t>
      </w:r>
    </w:p>
    <w:p w14:paraId="3F512459" w14:textId="77777777" w:rsidR="009720AC" w:rsidRPr="00B547BC" w:rsidRDefault="009720AC" w:rsidP="009720AC">
      <w:pPr>
        <w:pStyle w:val="HChG"/>
      </w:pPr>
      <w:r>
        <w:tab/>
      </w:r>
      <w:r>
        <w:tab/>
      </w:r>
      <w:r w:rsidRPr="00B547BC">
        <w:t>Background</w:t>
      </w:r>
    </w:p>
    <w:p w14:paraId="26EC3CAE" w14:textId="77777777" w:rsidR="009720AC" w:rsidRDefault="009720AC" w:rsidP="009720AC">
      <w:pPr>
        <w:pStyle w:val="SingleTxtG"/>
      </w:pPr>
      <w:r>
        <w:t>2.</w:t>
      </w:r>
      <w:r>
        <w:tab/>
        <w:t>At its twenty-eighth session the Sub-Committee approved the PCI program of work</w:t>
      </w:r>
      <w:r>
        <w:rPr>
          <w:rStyle w:val="FootnoteReference"/>
        </w:rPr>
        <w:footnoteReference w:customMarkFollows="1" w:id="3"/>
        <w:t>1</w:t>
      </w:r>
      <w:r>
        <w:t xml:space="preserve"> which included an item to consider developing guidance in the form of example(s) to illustrate how to interpret both the </w:t>
      </w:r>
      <w:r w:rsidR="00EE1504">
        <w:t>s</w:t>
      </w:r>
      <w:r>
        <w:t xml:space="preserve">pecific </w:t>
      </w:r>
      <w:r w:rsidR="00EE1504">
        <w:t>t</w:t>
      </w:r>
      <w:r>
        <w:t xml:space="preserve">arget </w:t>
      </w:r>
      <w:r w:rsidR="00EE1504">
        <w:t>o</w:t>
      </w:r>
      <w:r>
        <w:t xml:space="preserve">rgan </w:t>
      </w:r>
      <w:r w:rsidR="00EE1504">
        <w:t>t</w:t>
      </w:r>
      <w:r>
        <w:t xml:space="preserve">oxicity </w:t>
      </w:r>
      <w:r w:rsidR="00EE1504">
        <w:t>s</w:t>
      </w:r>
      <w:r>
        <w:t xml:space="preserve">ingle and </w:t>
      </w:r>
      <w:r w:rsidR="00EE1504">
        <w:t>r</w:t>
      </w:r>
      <w:r>
        <w:t xml:space="preserve">epeated </w:t>
      </w:r>
      <w:r w:rsidR="00EE1504">
        <w:t>e</w:t>
      </w:r>
      <w:r>
        <w:t xml:space="preserve">xposure general considerations (i.e. paragraphs 3.8.1.1 and 3.9.1.1, respectively) that effects covered in other health hazard chapters (i.e.,, chapters 3.1 to 3.7 and 3.10) are not included in </w:t>
      </w:r>
      <w:r w:rsidR="00EE1504">
        <w:t>s</w:t>
      </w:r>
      <w:r>
        <w:t xml:space="preserve">pecific </w:t>
      </w:r>
      <w:r w:rsidR="00EE1504">
        <w:t>t</w:t>
      </w:r>
      <w:r>
        <w:t xml:space="preserve">arget </w:t>
      </w:r>
      <w:r w:rsidR="00EE1504">
        <w:t>o</w:t>
      </w:r>
      <w:r>
        <w:t xml:space="preserve">rgan </w:t>
      </w:r>
      <w:r w:rsidR="00EE1504">
        <w:t>t</w:t>
      </w:r>
      <w:r>
        <w:t xml:space="preserve">oxicity classification.  </w:t>
      </w:r>
    </w:p>
    <w:p w14:paraId="4FE0AA97" w14:textId="77777777" w:rsidR="009720AC" w:rsidRPr="002E5096" w:rsidRDefault="009720AC" w:rsidP="009720AC">
      <w:pPr>
        <w:pStyle w:val="SingleTxtG"/>
      </w:pPr>
      <w:r>
        <w:t>3</w:t>
      </w:r>
      <w:r w:rsidRPr="00D86CBB">
        <w:t>.</w:t>
      </w:r>
      <w:r w:rsidRPr="00D86CBB">
        <w:tab/>
      </w:r>
      <w:r>
        <w:t xml:space="preserve">The first thought starter on this issue was discussed during a PCI working group meeting at the </w:t>
      </w:r>
      <w:r w:rsidR="009D7FBF">
        <w:t>thirty-third</w:t>
      </w:r>
      <w:r>
        <w:t xml:space="preserve"> session. It took some time for members of the PCI group to develop consensus on the need for the examples.  Subsequently, a thought starter with </w:t>
      </w:r>
      <w:r w:rsidR="00EE1504">
        <w:t>three</w:t>
      </w:r>
      <w:r>
        <w:t xml:space="preserve"> examples was presented to the PCI working group meeting at the </w:t>
      </w:r>
      <w:r w:rsidR="00EE1504">
        <w:t>thirty-fifth</w:t>
      </w:r>
      <w:r>
        <w:t xml:space="preserve"> session. After much </w:t>
      </w:r>
      <w:r>
        <w:lastRenderedPageBreak/>
        <w:t xml:space="preserve">discussion and review of various thought starters over the years the PCI now has </w:t>
      </w:r>
      <w:r w:rsidR="00EE1504">
        <w:t>five</w:t>
      </w:r>
      <w:r>
        <w:t xml:space="preserve"> examples being proposed for consideration.  </w:t>
      </w:r>
      <w:r w:rsidRPr="002E5096">
        <w:t xml:space="preserve"> </w:t>
      </w:r>
    </w:p>
    <w:p w14:paraId="78FD325A" w14:textId="77777777" w:rsidR="009D7FBF" w:rsidRPr="00B547BC" w:rsidRDefault="009D7FBF" w:rsidP="009D7FBF">
      <w:pPr>
        <w:pStyle w:val="HChG"/>
      </w:pPr>
      <w:r w:rsidRPr="003A6CD7">
        <w:tab/>
      </w:r>
      <w:r w:rsidRPr="00B547BC">
        <w:tab/>
        <w:t>Proposal</w:t>
      </w:r>
    </w:p>
    <w:p w14:paraId="24819C2F" w14:textId="77777777" w:rsidR="009D7FBF" w:rsidRPr="00BB5DDC" w:rsidRDefault="009D7FBF" w:rsidP="009D7FBF">
      <w:pPr>
        <w:pStyle w:val="SingleTxtG"/>
        <w:spacing w:after="200"/>
        <w:rPr>
          <w:i/>
          <w:iCs/>
          <w:u w:val="single"/>
        </w:rPr>
      </w:pPr>
      <w:r>
        <w:t>4.</w:t>
      </w:r>
      <w:r>
        <w:tab/>
        <w:t xml:space="preserve">The correspondence group invites the Sub-Committee to consider the recommended worked examples in </w:t>
      </w:r>
      <w:r w:rsidR="00431836">
        <w:t>the a</w:t>
      </w:r>
      <w:r>
        <w:t xml:space="preserve">nnex. </w:t>
      </w:r>
    </w:p>
    <w:p w14:paraId="1B5189B9" w14:textId="77777777" w:rsidR="009D7FBF" w:rsidRDefault="009D7FBF" w:rsidP="007911B7">
      <w:pPr>
        <w:suppressAutoHyphens w:val="0"/>
        <w:kinsoku/>
        <w:overflowPunct/>
        <w:autoSpaceDE/>
        <w:autoSpaceDN/>
        <w:adjustRightInd/>
        <w:snapToGrid/>
        <w:spacing w:after="200" w:line="276" w:lineRule="auto"/>
      </w:pPr>
      <w:r>
        <w:br w:type="page"/>
      </w:r>
    </w:p>
    <w:p w14:paraId="221D3F19" w14:textId="77777777" w:rsidR="009D7FBF" w:rsidRDefault="00EE1504" w:rsidP="009D7FBF">
      <w:pPr>
        <w:pStyle w:val="HChG"/>
        <w:rPr>
          <w:lang w:eastAsia="en-US"/>
        </w:rPr>
      </w:pPr>
      <w:r>
        <w:rPr>
          <w:lang w:eastAsia="en-US"/>
        </w:rPr>
        <w:lastRenderedPageBreak/>
        <w:tab/>
      </w:r>
      <w:r>
        <w:rPr>
          <w:lang w:eastAsia="en-US"/>
        </w:rPr>
        <w:tab/>
      </w:r>
      <w:r w:rsidR="009D7FBF" w:rsidRPr="00EC71EB">
        <w:rPr>
          <w:lang w:eastAsia="en-US"/>
        </w:rPr>
        <w:t xml:space="preserve">Annex </w:t>
      </w:r>
    </w:p>
    <w:p w14:paraId="570A6118" w14:textId="77777777" w:rsidR="009D7FBF" w:rsidRDefault="009D7FBF" w:rsidP="009D7FBF">
      <w:pPr>
        <w:pStyle w:val="SingleTxtG"/>
      </w:pPr>
      <w:r>
        <w:t xml:space="preserve">Five examples illustrating how to interpret both the </w:t>
      </w:r>
      <w:r w:rsidR="00EE1504">
        <w:t>s</w:t>
      </w:r>
      <w:r>
        <w:t xml:space="preserve">pecific </w:t>
      </w:r>
      <w:r w:rsidR="00EE1504">
        <w:t>t</w:t>
      </w:r>
      <w:r>
        <w:t xml:space="preserve">arget </w:t>
      </w:r>
      <w:r w:rsidR="00EE1504">
        <w:t>o</w:t>
      </w:r>
      <w:r>
        <w:t xml:space="preserve">rgan </w:t>
      </w:r>
      <w:r w:rsidR="00EE1504">
        <w:t>t</w:t>
      </w:r>
      <w:r>
        <w:t xml:space="preserve">oxicity </w:t>
      </w:r>
      <w:r w:rsidR="00EE1504">
        <w:t>(s</w:t>
      </w:r>
      <w:r>
        <w:t xml:space="preserve">ingle and </w:t>
      </w:r>
      <w:r w:rsidR="00EE1504">
        <w:t>r</w:t>
      </w:r>
      <w:r>
        <w:t xml:space="preserve">epeated </w:t>
      </w:r>
      <w:r w:rsidR="00EE1504">
        <w:t>e</w:t>
      </w:r>
      <w:r>
        <w:t>xposure</w:t>
      </w:r>
      <w:r w:rsidR="00EE1504">
        <w:t>)</w:t>
      </w:r>
      <w:r>
        <w:t xml:space="preserve"> general considerations (i.e. paragraphs 3.8.1.1 and 3.9.1.1, respectively) that effects covered in other health hazard chapters (i.e. chapters 3.1 to 3.7 and 3.10) are not included in </w:t>
      </w:r>
      <w:r w:rsidR="00EE1504">
        <w:t>s</w:t>
      </w:r>
      <w:r>
        <w:t xml:space="preserve">pecific </w:t>
      </w:r>
      <w:r w:rsidR="00EE1504">
        <w:t>t</w:t>
      </w:r>
      <w:r>
        <w:t xml:space="preserve">arget </w:t>
      </w:r>
      <w:r w:rsidR="00EE1504">
        <w:t>o</w:t>
      </w:r>
      <w:r>
        <w:t xml:space="preserve">rgan </w:t>
      </w:r>
      <w:r w:rsidR="00EE1504">
        <w:t>t</w:t>
      </w:r>
      <w:r>
        <w:t>oxicity classification.</w:t>
      </w:r>
    </w:p>
    <w:p w14:paraId="443BCCB4" w14:textId="77777777" w:rsidR="009D7FBF" w:rsidRPr="00707E19" w:rsidRDefault="009D7FBF" w:rsidP="002C4C42">
      <w:pPr>
        <w:pStyle w:val="H1G"/>
      </w:pPr>
      <w:r>
        <w:tab/>
      </w:r>
      <w:r w:rsidR="002C4C42">
        <w:tab/>
      </w:r>
      <w:r w:rsidRPr="00707E19">
        <w:t xml:space="preserve">Example 1 </w:t>
      </w:r>
    </w:p>
    <w:p w14:paraId="45290050" w14:textId="77777777" w:rsidR="009D7FBF" w:rsidRPr="00707E19" w:rsidRDefault="009D7FBF" w:rsidP="009D7FBF">
      <w:pPr>
        <w:pStyle w:val="SingleTxtG"/>
      </w:pPr>
      <w:r w:rsidRPr="00707E19">
        <w:t xml:space="preserve">This example illustrates the criteria in 3.8.1.1 and 3.8.1.6 that a substance should not be classified into the </w:t>
      </w:r>
      <w:r w:rsidR="00EE1504">
        <w:t>s</w:t>
      </w:r>
      <w:r>
        <w:t>pecific</w:t>
      </w:r>
      <w:r w:rsidRPr="00707E19">
        <w:t xml:space="preserve"> </w:t>
      </w:r>
      <w:r w:rsidR="00EE1504">
        <w:t>t</w:t>
      </w:r>
      <w:r w:rsidRPr="00707E19">
        <w:t xml:space="preserve">arget </w:t>
      </w:r>
      <w:r w:rsidR="00EE1504">
        <w:t>o</w:t>
      </w:r>
      <w:r w:rsidRPr="00707E19">
        <w:t xml:space="preserve">rgan </w:t>
      </w:r>
      <w:r w:rsidR="00EE1504">
        <w:t>t</w:t>
      </w:r>
      <w:r w:rsidRPr="00707E19">
        <w:t xml:space="preserve">oxicity </w:t>
      </w:r>
      <w:r w:rsidR="00EE1504">
        <w:t>- s</w:t>
      </w:r>
      <w:r w:rsidRPr="00707E19">
        <w:t xml:space="preserve">ingle </w:t>
      </w:r>
      <w:r w:rsidR="00EE1504">
        <w:t>e</w:t>
      </w:r>
      <w:r w:rsidRPr="00707E19">
        <w:t>xposure hazard class when the target organ effect(s), following a single exposure, are serious adverse health effects (</w:t>
      </w:r>
      <w:r>
        <w:t>i.e.,</w:t>
      </w:r>
      <w:r w:rsidRPr="00707E19">
        <w:t xml:space="preserve"> lethality) meeting the </w:t>
      </w:r>
      <w:r w:rsidR="00EE1504">
        <w:t>a</w:t>
      </w:r>
      <w:r w:rsidRPr="00707E19">
        <w:t xml:space="preserve">cute </w:t>
      </w:r>
      <w:r w:rsidR="00EE1504">
        <w:t>t</w:t>
      </w:r>
      <w:r w:rsidRPr="00707E19">
        <w:t xml:space="preserve">oxicity hazard classification criteria.  </w:t>
      </w:r>
    </w:p>
    <w:p w14:paraId="50FDDE9E" w14:textId="77777777" w:rsidR="009D7FBF" w:rsidRDefault="009D7FBF" w:rsidP="002C4C42">
      <w:pPr>
        <w:pStyle w:val="H23G"/>
      </w:pPr>
      <w:r w:rsidRPr="002C4C42">
        <w:tab/>
      </w:r>
      <w:r w:rsidRPr="002C4C42">
        <w:tab/>
      </w:r>
      <w:r w:rsidR="002C4C42">
        <w:t>I</w:t>
      </w:r>
      <w:r w:rsidRPr="002C4C42">
        <w:t xml:space="preserve">nformation on </w:t>
      </w:r>
      <w:r w:rsidR="00EE1504" w:rsidRPr="002C4C42">
        <w:t>s</w:t>
      </w:r>
      <w:r w:rsidRPr="002C4C42">
        <w:t>ubstance 1</w:t>
      </w:r>
    </w:p>
    <w:p w14:paraId="36524045" w14:textId="77777777" w:rsidR="00807FB8" w:rsidRPr="00807FB8" w:rsidRDefault="00807FB8" w:rsidP="00807FB8">
      <w:pPr>
        <w:pStyle w:val="H23G"/>
      </w:pPr>
      <w:r>
        <w:tab/>
      </w:r>
      <w:r>
        <w:tab/>
        <w:t>Data</w:t>
      </w:r>
    </w:p>
    <w:p w14:paraId="0C786DFD" w14:textId="77777777" w:rsidR="009D7FBF" w:rsidRPr="00FC47E9" w:rsidRDefault="009D7FBF" w:rsidP="00FC47E9">
      <w:pPr>
        <w:pStyle w:val="H4G"/>
      </w:pPr>
      <w:r w:rsidRPr="00FC47E9">
        <w:tab/>
      </w:r>
      <w:r w:rsidRPr="00FC47E9">
        <w:tab/>
        <w:t xml:space="preserve">Acute </w:t>
      </w:r>
      <w:r w:rsidR="00EE1504" w:rsidRPr="00FC47E9">
        <w:t>t</w:t>
      </w:r>
      <w:r w:rsidRPr="00FC47E9">
        <w:t xml:space="preserve">oxicity </w:t>
      </w:r>
      <w:r w:rsidR="00EE1504" w:rsidRPr="00FC47E9">
        <w:t>a</w:t>
      </w:r>
      <w:r w:rsidRPr="00FC47E9">
        <w:t xml:space="preserve">nimal </w:t>
      </w:r>
      <w:r w:rsidR="00EE1504" w:rsidRPr="00FC47E9">
        <w:t>d</w:t>
      </w:r>
      <w:r w:rsidRPr="00FC47E9">
        <w:t xml:space="preserve">ata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4"/>
        <w:gridCol w:w="4962"/>
      </w:tblGrid>
      <w:tr w:rsidR="009D7FBF" w:rsidRPr="00EE1504" w14:paraId="7D54C6C1" w14:textId="77777777" w:rsidTr="00EE1504">
        <w:trPr>
          <w:jc w:val="center"/>
        </w:trPr>
        <w:tc>
          <w:tcPr>
            <w:tcW w:w="846" w:type="dxa"/>
            <w:shd w:val="clear" w:color="auto" w:fill="auto"/>
          </w:tcPr>
          <w:p w14:paraId="03202B00" w14:textId="77777777" w:rsidR="009D7FBF" w:rsidRPr="00EE1504" w:rsidRDefault="009D7FBF" w:rsidP="00FC47E9">
            <w:pPr>
              <w:jc w:val="center"/>
              <w:rPr>
                <w:rFonts w:eastAsia="Times New Roman"/>
                <w:b/>
                <w:color w:val="000000"/>
                <w:shd w:val="clear" w:color="auto" w:fill="FFFFFF"/>
              </w:rPr>
            </w:pPr>
            <w:r w:rsidRPr="00EE1504">
              <w:rPr>
                <w:rFonts w:eastAsia="Times New Roman"/>
                <w:b/>
                <w:color w:val="000000"/>
                <w:shd w:val="clear" w:color="auto" w:fill="FFFFFF"/>
              </w:rPr>
              <w:t>Route</w:t>
            </w:r>
          </w:p>
        </w:tc>
        <w:tc>
          <w:tcPr>
            <w:tcW w:w="850" w:type="dxa"/>
            <w:shd w:val="clear" w:color="auto" w:fill="auto"/>
          </w:tcPr>
          <w:p w14:paraId="041E594C" w14:textId="77777777" w:rsidR="009D7FBF" w:rsidRPr="00EE1504" w:rsidRDefault="009D7FBF" w:rsidP="00FC47E9">
            <w:pPr>
              <w:jc w:val="center"/>
              <w:rPr>
                <w:rFonts w:eastAsia="Times New Roman"/>
                <w:b/>
                <w:color w:val="000000"/>
                <w:shd w:val="clear" w:color="auto" w:fill="FFFFFF"/>
              </w:rPr>
            </w:pPr>
            <w:r w:rsidRPr="00EE1504">
              <w:rPr>
                <w:rFonts w:eastAsia="Times New Roman"/>
                <w:b/>
                <w:color w:val="000000"/>
                <w:shd w:val="clear" w:color="auto" w:fill="FFFFFF"/>
              </w:rPr>
              <w:t>Species</w:t>
            </w:r>
          </w:p>
        </w:tc>
        <w:tc>
          <w:tcPr>
            <w:tcW w:w="1134" w:type="dxa"/>
            <w:shd w:val="clear" w:color="auto" w:fill="auto"/>
          </w:tcPr>
          <w:p w14:paraId="1B54783A" w14:textId="77777777" w:rsidR="009D7FBF" w:rsidRPr="00EE1504" w:rsidRDefault="009D7FBF" w:rsidP="00FC47E9">
            <w:pPr>
              <w:jc w:val="center"/>
              <w:rPr>
                <w:rFonts w:eastAsia="Times New Roman"/>
                <w:b/>
                <w:color w:val="000000"/>
                <w:shd w:val="clear" w:color="auto" w:fill="FFFFFF"/>
              </w:rPr>
            </w:pPr>
            <w:r w:rsidRPr="00EE1504">
              <w:rPr>
                <w:rFonts w:eastAsia="Times New Roman"/>
                <w:b/>
                <w:color w:val="000000"/>
                <w:shd w:val="clear" w:color="auto" w:fill="FFFFFF"/>
              </w:rPr>
              <w:t>LD</w:t>
            </w:r>
            <w:r w:rsidRPr="00EE1504">
              <w:rPr>
                <w:rFonts w:eastAsia="Times New Roman"/>
                <w:b/>
                <w:color w:val="000000"/>
                <w:shd w:val="clear" w:color="auto" w:fill="FFFFFF"/>
                <w:vertAlign w:val="subscript"/>
              </w:rPr>
              <w:t>50</w:t>
            </w:r>
            <w:r w:rsidRPr="00EE1504">
              <w:rPr>
                <w:rFonts w:eastAsia="Times New Roman"/>
                <w:b/>
                <w:color w:val="000000"/>
                <w:shd w:val="clear" w:color="auto" w:fill="FFFFFF"/>
              </w:rPr>
              <w:t xml:space="preserve"> </w:t>
            </w:r>
            <w:r w:rsidR="00EE1504" w:rsidRPr="00EE1504">
              <w:rPr>
                <w:rFonts w:eastAsia="Times New Roman"/>
                <w:b/>
                <w:color w:val="000000"/>
                <w:shd w:val="clear" w:color="auto" w:fill="FFFFFF"/>
              </w:rPr>
              <w:t>v</w:t>
            </w:r>
            <w:r w:rsidRPr="00EE1504">
              <w:rPr>
                <w:rFonts w:eastAsia="Times New Roman"/>
                <w:b/>
                <w:color w:val="000000"/>
                <w:shd w:val="clear" w:color="auto" w:fill="FFFFFF"/>
              </w:rPr>
              <w:t>alue</w:t>
            </w:r>
          </w:p>
        </w:tc>
        <w:tc>
          <w:tcPr>
            <w:tcW w:w="4962" w:type="dxa"/>
            <w:shd w:val="clear" w:color="auto" w:fill="auto"/>
          </w:tcPr>
          <w:p w14:paraId="12951BB6" w14:textId="77777777" w:rsidR="009D7FBF" w:rsidRPr="00EE1504" w:rsidRDefault="009D7FBF" w:rsidP="00FC47E9">
            <w:pPr>
              <w:jc w:val="center"/>
              <w:rPr>
                <w:rFonts w:eastAsia="Times New Roman"/>
                <w:b/>
                <w:color w:val="000000"/>
                <w:shd w:val="clear" w:color="auto" w:fill="FFFFFF"/>
              </w:rPr>
            </w:pPr>
            <w:r w:rsidRPr="00EE1504">
              <w:rPr>
                <w:rFonts w:eastAsia="Times New Roman"/>
                <w:b/>
                <w:color w:val="000000"/>
                <w:shd w:val="clear" w:color="auto" w:fill="FFFFFF"/>
              </w:rPr>
              <w:t>Remark</w:t>
            </w:r>
          </w:p>
        </w:tc>
      </w:tr>
      <w:tr w:rsidR="009D7FBF" w:rsidRPr="00EE1504" w14:paraId="5EE226FD" w14:textId="77777777" w:rsidTr="00EE1504">
        <w:trPr>
          <w:trHeight w:val="951"/>
          <w:jc w:val="center"/>
        </w:trPr>
        <w:tc>
          <w:tcPr>
            <w:tcW w:w="846" w:type="dxa"/>
            <w:shd w:val="clear" w:color="auto" w:fill="auto"/>
          </w:tcPr>
          <w:p w14:paraId="3859D40F" w14:textId="77777777" w:rsidR="009D7FBF" w:rsidRPr="00EE1504" w:rsidRDefault="009D7FBF" w:rsidP="00FC47E9">
            <w:pPr>
              <w:jc w:val="center"/>
              <w:rPr>
                <w:rFonts w:eastAsia="Times New Roman"/>
                <w:color w:val="000000"/>
                <w:shd w:val="clear" w:color="auto" w:fill="FFFFFF"/>
              </w:rPr>
            </w:pPr>
            <w:r w:rsidRPr="00EE1504">
              <w:rPr>
                <w:rFonts w:eastAsia="Times New Roman"/>
                <w:color w:val="000000"/>
                <w:shd w:val="clear" w:color="auto" w:fill="FFFFFF"/>
              </w:rPr>
              <w:t>Oral</w:t>
            </w:r>
          </w:p>
        </w:tc>
        <w:tc>
          <w:tcPr>
            <w:tcW w:w="850" w:type="dxa"/>
            <w:shd w:val="clear" w:color="auto" w:fill="auto"/>
          </w:tcPr>
          <w:p w14:paraId="692921EE" w14:textId="77777777" w:rsidR="009D7FBF" w:rsidRPr="00EE1504" w:rsidRDefault="009D7FBF" w:rsidP="00FC47E9">
            <w:pPr>
              <w:jc w:val="center"/>
              <w:rPr>
                <w:rFonts w:eastAsia="Times New Roman"/>
                <w:color w:val="000000"/>
                <w:shd w:val="clear" w:color="auto" w:fill="FFFFFF"/>
              </w:rPr>
            </w:pPr>
            <w:r w:rsidRPr="00EE1504">
              <w:rPr>
                <w:rFonts w:eastAsia="Times New Roman"/>
                <w:color w:val="000000"/>
                <w:shd w:val="clear" w:color="auto" w:fill="FFFFFF"/>
              </w:rPr>
              <w:t>Rat</w:t>
            </w:r>
          </w:p>
        </w:tc>
        <w:tc>
          <w:tcPr>
            <w:tcW w:w="1134" w:type="dxa"/>
            <w:shd w:val="clear" w:color="auto" w:fill="auto"/>
          </w:tcPr>
          <w:p w14:paraId="6A07A989" w14:textId="77777777" w:rsidR="009D7FBF" w:rsidRPr="00EE1504" w:rsidRDefault="009D7FBF" w:rsidP="00FC47E9">
            <w:pPr>
              <w:jc w:val="center"/>
              <w:rPr>
                <w:rFonts w:eastAsia="Times New Roman"/>
                <w:color w:val="000000"/>
                <w:shd w:val="clear" w:color="auto" w:fill="FFFFFF"/>
              </w:rPr>
            </w:pPr>
            <w:r w:rsidRPr="00EE1504">
              <w:rPr>
                <w:rFonts w:eastAsia="Times New Roman"/>
                <w:color w:val="000000"/>
                <w:shd w:val="clear" w:color="auto" w:fill="FFFFFF"/>
              </w:rPr>
              <w:t>275 mg/kg</w:t>
            </w:r>
          </w:p>
        </w:tc>
        <w:tc>
          <w:tcPr>
            <w:tcW w:w="4962" w:type="dxa"/>
            <w:shd w:val="clear" w:color="auto" w:fill="auto"/>
          </w:tcPr>
          <w:p w14:paraId="42FFD332" w14:textId="77777777" w:rsidR="009D7FBF" w:rsidRPr="00EE1504" w:rsidRDefault="00FC47E9" w:rsidP="00FC47E9">
            <w:pPr>
              <w:pStyle w:val="Bullet1G"/>
              <w:numPr>
                <w:ilvl w:val="0"/>
                <w:numId w:val="0"/>
              </w:numPr>
              <w:spacing w:after="40"/>
              <w:ind w:left="165" w:right="170" w:hanging="142"/>
              <w:jc w:val="left"/>
              <w:rPr>
                <w:rFonts w:eastAsia="Times New Roman"/>
                <w:color w:val="000000"/>
                <w:shd w:val="clear" w:color="auto" w:fill="FFFFFF"/>
              </w:rPr>
            </w:pPr>
            <w:r w:rsidRPr="00EE1504">
              <w:rPr>
                <w:rFonts w:eastAsia="Times New Roman"/>
                <w:color w:val="000000"/>
              </w:rPr>
              <w:t>•</w:t>
            </w:r>
            <w:r w:rsidRPr="00EE1504">
              <w:rPr>
                <w:rFonts w:eastAsia="Times New Roman"/>
                <w:color w:val="000000"/>
              </w:rPr>
              <w:tab/>
            </w:r>
            <w:r w:rsidR="009D7FBF" w:rsidRPr="00EE1504">
              <w:rPr>
                <w:rFonts w:eastAsia="Times New Roman"/>
                <w:color w:val="000000"/>
                <w:shd w:val="clear" w:color="auto" w:fill="FFFFFF"/>
              </w:rPr>
              <w:t xml:space="preserve">Severe lethal damage in kidney in 5 out of 10 animals (macroscopic examination).  Mortality in the same 5 out of 10 </w:t>
            </w:r>
            <w:r w:rsidR="009D7FBF" w:rsidRPr="00EE1504">
              <w:rPr>
                <w:shd w:val="clear" w:color="auto" w:fill="FFFFFF"/>
              </w:rPr>
              <w:t>animals</w:t>
            </w:r>
            <w:r w:rsidR="009D7FBF" w:rsidRPr="00EE1504">
              <w:rPr>
                <w:rFonts w:eastAsia="Times New Roman"/>
                <w:color w:val="000000"/>
                <w:shd w:val="clear" w:color="auto" w:fill="FFFFFF"/>
              </w:rPr>
              <w:t xml:space="preserve"> was observed.</w:t>
            </w:r>
          </w:p>
          <w:p w14:paraId="6B560A9D" w14:textId="77777777" w:rsidR="009D7FBF" w:rsidRPr="00EE1504" w:rsidRDefault="00FC47E9" w:rsidP="00FC47E9">
            <w:pPr>
              <w:pStyle w:val="Bullet1G"/>
              <w:numPr>
                <w:ilvl w:val="0"/>
                <w:numId w:val="0"/>
              </w:numPr>
              <w:spacing w:after="40"/>
              <w:ind w:left="165" w:right="170" w:hanging="142"/>
              <w:jc w:val="left"/>
              <w:rPr>
                <w:rFonts w:eastAsia="Times New Roman"/>
                <w:color w:val="000000"/>
                <w:shd w:val="clear" w:color="auto" w:fill="FFFFFF"/>
              </w:rPr>
            </w:pPr>
            <w:r w:rsidRPr="00EE1504">
              <w:rPr>
                <w:rFonts w:eastAsia="Times New Roman"/>
                <w:color w:val="000000"/>
              </w:rPr>
              <w:t>•</w:t>
            </w:r>
            <w:r w:rsidRPr="00EE1504">
              <w:rPr>
                <w:rFonts w:eastAsia="Times New Roman"/>
                <w:color w:val="000000"/>
              </w:rPr>
              <w:tab/>
            </w:r>
            <w:r w:rsidR="009D7FBF" w:rsidRPr="00EE1504">
              <w:rPr>
                <w:rFonts w:eastAsia="Times New Roman"/>
                <w:color w:val="000000"/>
                <w:shd w:val="clear" w:color="auto" w:fill="FFFFFF"/>
              </w:rPr>
              <w:t xml:space="preserve">No </w:t>
            </w:r>
            <w:r w:rsidR="009D7FBF" w:rsidRPr="00EE1504">
              <w:rPr>
                <w:shd w:val="clear" w:color="auto" w:fill="FFFFFF"/>
              </w:rPr>
              <w:t>other</w:t>
            </w:r>
            <w:r w:rsidR="009D7FBF" w:rsidRPr="00EE1504">
              <w:rPr>
                <w:rFonts w:eastAsia="Times New Roman"/>
                <w:color w:val="000000"/>
                <w:shd w:val="clear" w:color="auto" w:fill="FFFFFF"/>
              </w:rPr>
              <w:t xml:space="preserve"> effects on organs were noted during necropsy.</w:t>
            </w:r>
          </w:p>
        </w:tc>
      </w:tr>
    </w:tbl>
    <w:p w14:paraId="24FE9ECA" w14:textId="77777777" w:rsidR="002C4C42" w:rsidRDefault="002F74BD" w:rsidP="002F74BD">
      <w:pPr>
        <w:pStyle w:val="H23G"/>
      </w:pPr>
      <w:r>
        <w:tab/>
      </w:r>
      <w:r>
        <w:tab/>
      </w:r>
      <w:r w:rsidR="002C4C42">
        <w:t xml:space="preserve">Answer </w:t>
      </w:r>
    </w:p>
    <w:p w14:paraId="571E6DEB" w14:textId="77777777" w:rsidR="002F74BD" w:rsidRPr="00707E19" w:rsidRDefault="002C4C42" w:rsidP="002C4C42">
      <w:pPr>
        <w:pStyle w:val="SingleTxtG"/>
      </w:pPr>
      <w:r>
        <w:tab/>
      </w:r>
      <w:r w:rsidR="002F74BD" w:rsidRPr="00707E19">
        <w:t xml:space="preserve">Acute </w:t>
      </w:r>
      <w:r w:rsidR="00EE1504">
        <w:t>o</w:t>
      </w:r>
      <w:r w:rsidR="002F74BD" w:rsidRPr="00707E19">
        <w:t xml:space="preserve">ral </w:t>
      </w:r>
      <w:r w:rsidR="00EE1504">
        <w:t>t</w:t>
      </w:r>
      <w:r w:rsidR="002F74BD" w:rsidRPr="00707E19">
        <w:t>oxicity</w:t>
      </w:r>
      <w:r w:rsidR="00EE1504">
        <w:t xml:space="preserve">, </w:t>
      </w:r>
      <w:r w:rsidR="002F74BD" w:rsidRPr="00707E19">
        <w:t>Category 3</w:t>
      </w:r>
    </w:p>
    <w:p w14:paraId="456BB599" w14:textId="77777777" w:rsidR="002C4C42" w:rsidRDefault="002F74BD" w:rsidP="00FC47E9">
      <w:pPr>
        <w:pStyle w:val="H23G"/>
      </w:pPr>
      <w:r>
        <w:tab/>
      </w:r>
      <w:r>
        <w:tab/>
      </w:r>
      <w:r w:rsidRPr="00707E19">
        <w:t xml:space="preserve">Rationale </w:t>
      </w:r>
    </w:p>
    <w:p w14:paraId="502297A1" w14:textId="77777777" w:rsidR="002F74BD" w:rsidRPr="00707E19" w:rsidRDefault="00FC47E9" w:rsidP="00FC47E9">
      <w:pPr>
        <w:pStyle w:val="H4G"/>
      </w:pPr>
      <w:r>
        <w:tab/>
      </w:r>
      <w:r w:rsidR="002C4C42">
        <w:t>(a)</w:t>
      </w:r>
      <w:r w:rsidR="002C4C42">
        <w:tab/>
      </w:r>
      <w:r w:rsidR="002F74BD" w:rsidRPr="00707E19">
        <w:t xml:space="preserve">Acute </w:t>
      </w:r>
      <w:r w:rsidR="00EE1504">
        <w:t>o</w:t>
      </w:r>
      <w:r w:rsidR="002F74BD" w:rsidRPr="00707E19">
        <w:t xml:space="preserve">ral </w:t>
      </w:r>
      <w:r w:rsidR="00EE1504">
        <w:t>t</w:t>
      </w:r>
      <w:r w:rsidR="002F74BD" w:rsidRPr="00707E19">
        <w:t>oxicity</w:t>
      </w:r>
    </w:p>
    <w:p w14:paraId="5A1FEEA7" w14:textId="77777777" w:rsidR="002F74BD" w:rsidRPr="00707E19" w:rsidRDefault="002F74BD" w:rsidP="00FC47E9">
      <w:pPr>
        <w:pStyle w:val="SingleTxtG"/>
      </w:pPr>
      <w:r w:rsidRPr="00707E19">
        <w:t>Classification via application of criteria in GHS Table 3.1.1 is possible. The study used the preferred test species (</w:t>
      </w:r>
      <w:r>
        <w:t>i.e.,</w:t>
      </w:r>
      <w:r w:rsidRPr="00707E19">
        <w:t xml:space="preserve"> rat) as noted in paragraph 3.1.2.3 and the Oral (rat) LD</w:t>
      </w:r>
      <w:r w:rsidRPr="00707E19">
        <w:rPr>
          <w:vertAlign w:val="subscript"/>
        </w:rPr>
        <w:t>50</w:t>
      </w:r>
      <w:r w:rsidRPr="00707E19">
        <w:t xml:space="preserve"> of 275 is within the Category 3 range of 50 &lt; ATE </w:t>
      </w:r>
      <w:r w:rsidRPr="00707E19">
        <w:sym w:font="Symbol" w:char="F0A3"/>
      </w:r>
      <w:r w:rsidRPr="00707E19">
        <w:t xml:space="preserve"> 300 resulting in a Category</w:t>
      </w:r>
      <w:r w:rsidR="002C4C42">
        <w:t> </w:t>
      </w:r>
      <w:r w:rsidRPr="00707E19">
        <w:t xml:space="preserve">3 classification via the oral route.  </w:t>
      </w:r>
    </w:p>
    <w:p w14:paraId="16135D7A" w14:textId="77777777" w:rsidR="002F74BD" w:rsidRPr="00707E19" w:rsidRDefault="00FC47E9" w:rsidP="00FC47E9">
      <w:pPr>
        <w:pStyle w:val="H4G"/>
      </w:pPr>
      <w:r>
        <w:tab/>
      </w:r>
      <w:r w:rsidR="002C4C42">
        <w:t>(b)</w:t>
      </w:r>
      <w:r w:rsidR="002C4C42">
        <w:tab/>
      </w:r>
      <w:r w:rsidR="002F74BD" w:rsidRPr="00707E19">
        <w:t>Specific Target Organ Toxicity – Single Exposure (STOT- SE)</w:t>
      </w:r>
    </w:p>
    <w:p w14:paraId="7FF5DEDE" w14:textId="77777777" w:rsidR="002F74BD" w:rsidRPr="00044253" w:rsidRDefault="002F74BD" w:rsidP="00FC47E9">
      <w:pPr>
        <w:pStyle w:val="SingleTxtG"/>
      </w:pPr>
      <w:r w:rsidRPr="00707E19">
        <w:t>To be classified into STOT-SE the effects on the kidney or another organ system would need to be non-lethal (paragraph 3.8.1.1) (</w:t>
      </w:r>
      <w:r>
        <w:t>i.e.,</w:t>
      </w:r>
      <w:r w:rsidRPr="00707E19">
        <w:t xml:space="preserve"> not meeting the </w:t>
      </w:r>
      <w:r w:rsidR="00EE1504">
        <w:t>a</w:t>
      </w:r>
      <w:r w:rsidRPr="00707E19">
        <w:t xml:space="preserve">cute </w:t>
      </w:r>
      <w:r w:rsidR="00EE1504">
        <w:t>t</w:t>
      </w:r>
      <w:r w:rsidRPr="00707E19">
        <w:t xml:space="preserve">oxicity criteria). Given </w:t>
      </w:r>
      <w:r>
        <w:t>the limited data (i.e., no additional data at lower doses indicating non-lethal effects on the kidney) in this example, that</w:t>
      </w:r>
      <w:r w:rsidRPr="00707E19">
        <w:t xml:space="preserve"> the only noted effect is on the kidney</w:t>
      </w:r>
      <w:r>
        <w:t>,</w:t>
      </w:r>
      <w:r w:rsidRPr="00707E19">
        <w:t xml:space="preserve"> and the data support classification into the </w:t>
      </w:r>
      <w:r w:rsidR="00FC47E9">
        <w:t>a</w:t>
      </w:r>
      <w:r w:rsidRPr="00707E19">
        <w:t xml:space="preserve">cute </w:t>
      </w:r>
      <w:r w:rsidR="00FC47E9">
        <w:t>t</w:t>
      </w:r>
      <w:r w:rsidRPr="00707E19">
        <w:t xml:space="preserve">oxicity hazard class, the effect is not in scope for consideration in the STOT-SE hazard class (paragraphs 3.8.1.1 and 3.8.1.6) as it would lead to classification for the same effect/mechanism.  Thus, there is no STOT-SE classification.  </w:t>
      </w:r>
      <w:r>
        <w:t>However, if there were additional data showing significant non-lethal effects on the kidney at lower dose levels then expert judgement would be needed to determine if a STOT-SE classification would also be warranted.</w:t>
      </w:r>
    </w:p>
    <w:p w14:paraId="1673EAC7" w14:textId="77777777" w:rsidR="002F74BD" w:rsidRDefault="002F74BD" w:rsidP="002F74BD">
      <w:pPr>
        <w:pStyle w:val="SingleTxtG"/>
        <w:jc w:val="center"/>
      </w:pPr>
      <w:r w:rsidRPr="00AF12EA">
        <w:t>(En</w:t>
      </w:r>
      <w:r>
        <w:t xml:space="preserve">d of </w:t>
      </w:r>
      <w:r w:rsidR="002C4C42">
        <w:t>e</w:t>
      </w:r>
      <w:r>
        <w:t>xample 1)</w:t>
      </w:r>
    </w:p>
    <w:p w14:paraId="78029F25" w14:textId="77777777" w:rsidR="00EE1504" w:rsidRDefault="002F74BD" w:rsidP="002F74BD">
      <w:pPr>
        <w:pStyle w:val="H23G"/>
      </w:pPr>
      <w:r>
        <w:tab/>
      </w:r>
      <w:r>
        <w:tab/>
      </w:r>
    </w:p>
    <w:p w14:paraId="17A039E4" w14:textId="77777777" w:rsidR="00EE1504" w:rsidRDefault="00EE1504">
      <w:pPr>
        <w:suppressAutoHyphens w:val="0"/>
        <w:kinsoku/>
        <w:overflowPunct/>
        <w:autoSpaceDE/>
        <w:autoSpaceDN/>
        <w:adjustRightInd/>
        <w:snapToGrid/>
        <w:spacing w:after="200" w:line="276" w:lineRule="auto"/>
        <w:rPr>
          <w:b/>
        </w:rPr>
      </w:pPr>
      <w:r>
        <w:br w:type="page"/>
      </w:r>
    </w:p>
    <w:p w14:paraId="78D9A595" w14:textId="77777777" w:rsidR="002F74BD" w:rsidRPr="00707E19" w:rsidRDefault="00EE1504" w:rsidP="002C4C42">
      <w:pPr>
        <w:pStyle w:val="H1G"/>
      </w:pPr>
      <w:r>
        <w:lastRenderedPageBreak/>
        <w:tab/>
      </w:r>
      <w:r>
        <w:tab/>
      </w:r>
      <w:r w:rsidR="002F74BD" w:rsidRPr="00707E19">
        <w:t xml:space="preserve">Example 2 </w:t>
      </w:r>
    </w:p>
    <w:p w14:paraId="50B24974" w14:textId="77777777" w:rsidR="002F74BD" w:rsidRPr="00707E19" w:rsidRDefault="002F74BD" w:rsidP="00807FB8">
      <w:pPr>
        <w:pStyle w:val="SingleTxtG"/>
        <w:spacing w:after="100"/>
      </w:pPr>
      <w:r w:rsidRPr="00707E19">
        <w:t xml:space="preserve">This example illustrates the criteria in 3.8.1.1 and 3.8.1.6 when a substance can be classified into both the </w:t>
      </w:r>
      <w:r>
        <w:t>Specific</w:t>
      </w:r>
      <w:r w:rsidRPr="00707E19">
        <w:t xml:space="preserve"> Target Organ Toxicity – Single Exposure hazard class, for non-lethal effects, and Acute Toxicity hazard class, for lethal effects.  </w:t>
      </w:r>
    </w:p>
    <w:p w14:paraId="62B8B896" w14:textId="77777777" w:rsidR="002F74BD" w:rsidRPr="002C4C42" w:rsidRDefault="002F74BD" w:rsidP="00807FB8">
      <w:pPr>
        <w:pStyle w:val="H23G"/>
        <w:spacing w:after="100"/>
      </w:pPr>
      <w:r w:rsidRPr="002C4C42">
        <w:tab/>
      </w:r>
      <w:r w:rsidRPr="002C4C42">
        <w:tab/>
        <w:t xml:space="preserve">Information on </w:t>
      </w:r>
      <w:r w:rsidR="002C4C42" w:rsidRPr="002C4C42">
        <w:t>s</w:t>
      </w:r>
      <w:r w:rsidRPr="002C4C42">
        <w:t>ubstance 2</w:t>
      </w:r>
    </w:p>
    <w:p w14:paraId="638E3D57" w14:textId="77777777" w:rsidR="002F74BD" w:rsidRPr="00707E19" w:rsidRDefault="002F74BD" w:rsidP="00807FB8">
      <w:pPr>
        <w:pStyle w:val="H23G"/>
        <w:spacing w:after="100"/>
      </w:pPr>
      <w:r>
        <w:tab/>
      </w:r>
      <w:r>
        <w:tab/>
      </w:r>
      <w:r w:rsidRPr="00707E19">
        <w:t>Data</w:t>
      </w:r>
    </w:p>
    <w:p w14:paraId="62D40D31" w14:textId="77777777" w:rsidR="002F74BD" w:rsidRPr="00707E19" w:rsidRDefault="002F74BD" w:rsidP="00807FB8">
      <w:pPr>
        <w:pStyle w:val="H4G"/>
        <w:spacing w:after="100"/>
      </w:pPr>
      <w:r>
        <w:tab/>
      </w:r>
      <w:r w:rsidR="002C4C42">
        <w:tab/>
      </w:r>
      <w:r w:rsidRPr="00707E19">
        <w:t xml:space="preserve">Human </w:t>
      </w:r>
      <w:r w:rsidR="002C4C42">
        <w:t>e</w:t>
      </w:r>
      <w:r w:rsidRPr="00707E19">
        <w:t>xperience:</w:t>
      </w:r>
    </w:p>
    <w:p w14:paraId="7C0B01CA" w14:textId="77777777" w:rsidR="002F74BD" w:rsidRPr="002F74BD" w:rsidRDefault="002F74BD" w:rsidP="00807FB8">
      <w:pPr>
        <w:pStyle w:val="SingleTxtG"/>
        <w:spacing w:after="100"/>
        <w:rPr>
          <w:b/>
        </w:rPr>
      </w:pPr>
      <w:r w:rsidRPr="00707E19">
        <w:t>Numerous separate instances of accidental exposure involving hundreds of people have been reported over a 30-year period.  Severe neurotoxic effects (</w:t>
      </w:r>
      <w:r>
        <w:t>i.e.,</w:t>
      </w:r>
      <w:r w:rsidRPr="00707E19">
        <w:t xml:space="preserve"> mild peripheral neuropathy to permanent paralysis) were observed after single exposures. Data considered robust and reliable.</w:t>
      </w:r>
    </w:p>
    <w:p w14:paraId="4D509F4A" w14:textId="77777777" w:rsidR="002F74BD" w:rsidRPr="002C4C42" w:rsidRDefault="002F74BD" w:rsidP="002C4C42">
      <w:pPr>
        <w:pStyle w:val="H4G"/>
      </w:pPr>
      <w:r w:rsidRPr="002C4C42">
        <w:tab/>
      </w:r>
      <w:r w:rsidRPr="002C4C42">
        <w:tab/>
        <w:t xml:space="preserve">Animal </w:t>
      </w:r>
      <w:r w:rsidR="002C4C42" w:rsidRPr="002C4C42">
        <w:t>d</w:t>
      </w:r>
      <w:r w:rsidRPr="002C4C42">
        <w:t>ata:</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39"/>
        <w:gridCol w:w="1147"/>
        <w:gridCol w:w="5528"/>
      </w:tblGrid>
      <w:tr w:rsidR="002F74BD" w:rsidRPr="00807FB8" w14:paraId="5569F95B" w14:textId="77777777" w:rsidTr="00FC47E9">
        <w:tc>
          <w:tcPr>
            <w:tcW w:w="849" w:type="dxa"/>
            <w:shd w:val="clear" w:color="auto" w:fill="auto"/>
          </w:tcPr>
          <w:p w14:paraId="28FBABEE" w14:textId="77777777" w:rsidR="002F74BD" w:rsidRPr="00807FB8" w:rsidRDefault="002F74BD" w:rsidP="00FC47E9">
            <w:pPr>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Route</w:t>
            </w:r>
          </w:p>
        </w:tc>
        <w:tc>
          <w:tcPr>
            <w:tcW w:w="839" w:type="dxa"/>
            <w:shd w:val="clear" w:color="auto" w:fill="auto"/>
          </w:tcPr>
          <w:p w14:paraId="59FF9F54" w14:textId="77777777" w:rsidR="002F74BD" w:rsidRPr="00807FB8" w:rsidRDefault="002F74BD" w:rsidP="00FC47E9">
            <w:pPr>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Species</w:t>
            </w:r>
          </w:p>
        </w:tc>
        <w:tc>
          <w:tcPr>
            <w:tcW w:w="1147" w:type="dxa"/>
            <w:shd w:val="clear" w:color="auto" w:fill="auto"/>
          </w:tcPr>
          <w:p w14:paraId="3E903980" w14:textId="77777777" w:rsidR="002F74BD" w:rsidRPr="00807FB8" w:rsidRDefault="002F74BD" w:rsidP="00FC47E9">
            <w:pPr>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LD</w:t>
            </w:r>
            <w:r w:rsidRPr="00807FB8">
              <w:rPr>
                <w:rFonts w:eastAsia="Times New Roman"/>
                <w:b/>
                <w:color w:val="000000"/>
                <w:sz w:val="18"/>
                <w:szCs w:val="18"/>
                <w:shd w:val="clear" w:color="auto" w:fill="FFFFFF"/>
                <w:vertAlign w:val="subscript"/>
              </w:rPr>
              <w:t>50</w:t>
            </w:r>
            <w:r w:rsidRPr="00807FB8">
              <w:rPr>
                <w:rFonts w:eastAsia="Times New Roman"/>
                <w:b/>
                <w:color w:val="000000"/>
                <w:sz w:val="18"/>
                <w:szCs w:val="18"/>
                <w:shd w:val="clear" w:color="auto" w:fill="FFFFFF"/>
              </w:rPr>
              <w:t xml:space="preserve"> </w:t>
            </w:r>
            <w:r w:rsidR="002C4C42" w:rsidRPr="00807FB8">
              <w:rPr>
                <w:rFonts w:eastAsia="Times New Roman"/>
                <w:b/>
                <w:color w:val="000000"/>
                <w:sz w:val="18"/>
                <w:szCs w:val="18"/>
                <w:shd w:val="clear" w:color="auto" w:fill="FFFFFF"/>
              </w:rPr>
              <w:t>v</w:t>
            </w:r>
            <w:r w:rsidRPr="00807FB8">
              <w:rPr>
                <w:rFonts w:eastAsia="Times New Roman"/>
                <w:b/>
                <w:color w:val="000000"/>
                <w:sz w:val="18"/>
                <w:szCs w:val="18"/>
                <w:shd w:val="clear" w:color="auto" w:fill="FFFFFF"/>
              </w:rPr>
              <w:t>alue</w:t>
            </w:r>
          </w:p>
        </w:tc>
        <w:tc>
          <w:tcPr>
            <w:tcW w:w="5528" w:type="dxa"/>
            <w:shd w:val="clear" w:color="auto" w:fill="auto"/>
          </w:tcPr>
          <w:p w14:paraId="3DFAB120" w14:textId="77777777" w:rsidR="002F74BD" w:rsidRPr="00807FB8" w:rsidRDefault="002F74BD" w:rsidP="00FC47E9">
            <w:pPr>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Remark</w:t>
            </w:r>
          </w:p>
        </w:tc>
      </w:tr>
      <w:tr w:rsidR="002F74BD" w:rsidRPr="00807FB8" w14:paraId="1F747414" w14:textId="77777777" w:rsidTr="00FC47E9">
        <w:tc>
          <w:tcPr>
            <w:tcW w:w="849" w:type="dxa"/>
            <w:shd w:val="clear" w:color="auto" w:fill="auto"/>
          </w:tcPr>
          <w:p w14:paraId="5D900501" w14:textId="77777777" w:rsidR="002F74BD" w:rsidRPr="00807FB8" w:rsidRDefault="002F74BD" w:rsidP="002C4C42">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Oral</w:t>
            </w:r>
          </w:p>
        </w:tc>
        <w:tc>
          <w:tcPr>
            <w:tcW w:w="839" w:type="dxa"/>
            <w:shd w:val="clear" w:color="auto" w:fill="auto"/>
          </w:tcPr>
          <w:p w14:paraId="791CD53F" w14:textId="77777777" w:rsidR="002F74BD" w:rsidRPr="00807FB8" w:rsidRDefault="002F74BD" w:rsidP="002C4C42">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Rat</w:t>
            </w:r>
          </w:p>
        </w:tc>
        <w:tc>
          <w:tcPr>
            <w:tcW w:w="1147" w:type="dxa"/>
            <w:shd w:val="clear" w:color="auto" w:fill="auto"/>
          </w:tcPr>
          <w:p w14:paraId="622DC294" w14:textId="77777777" w:rsidR="002F74BD" w:rsidRPr="00807FB8" w:rsidRDefault="002F74BD" w:rsidP="002C4C42">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1,160 mg/kg</w:t>
            </w:r>
          </w:p>
        </w:tc>
        <w:tc>
          <w:tcPr>
            <w:tcW w:w="5528" w:type="dxa"/>
            <w:shd w:val="clear" w:color="auto" w:fill="auto"/>
          </w:tcPr>
          <w:p w14:paraId="108E88CD" w14:textId="77777777" w:rsidR="002F74BD" w:rsidRPr="00807FB8" w:rsidRDefault="00FC47E9" w:rsidP="00FC47E9">
            <w:pPr>
              <w:pStyle w:val="Bullet1G"/>
              <w:numPr>
                <w:ilvl w:val="0"/>
                <w:numId w:val="0"/>
              </w:numPr>
              <w:spacing w:after="40" w:line="240" w:lineRule="auto"/>
              <w:ind w:left="172" w:right="171" w:hanging="149"/>
              <w:jc w:val="left"/>
              <w:rPr>
                <w:rFonts w:eastAsia="Times New Roman"/>
                <w:color w:val="000000"/>
                <w:sz w:val="18"/>
                <w:szCs w:val="18"/>
                <w:shd w:val="clear" w:color="auto" w:fill="FFFFFF"/>
              </w:rPr>
            </w:pPr>
            <w:r w:rsidRPr="00807FB8">
              <w:rPr>
                <w:rFonts w:eastAsia="Times New Roman"/>
                <w:color w:val="000000"/>
                <w:sz w:val="18"/>
                <w:szCs w:val="18"/>
              </w:rPr>
              <w:t>•</w:t>
            </w:r>
            <w:r w:rsidRPr="00807FB8">
              <w:rPr>
                <w:rFonts w:eastAsia="Times New Roman"/>
                <w:color w:val="000000"/>
                <w:sz w:val="18"/>
                <w:szCs w:val="18"/>
              </w:rPr>
              <w:tab/>
            </w:r>
            <w:r w:rsidR="002F74BD" w:rsidRPr="00807FB8">
              <w:rPr>
                <w:rFonts w:eastAsia="Times New Roman"/>
                <w:color w:val="000000"/>
                <w:sz w:val="18"/>
                <w:szCs w:val="18"/>
                <w:shd w:val="clear" w:color="auto" w:fill="FFFFFF"/>
              </w:rPr>
              <w:t xml:space="preserve">Liver – Advanced fibrosis was noted during necropsy as the cause of mortality.  </w:t>
            </w:r>
          </w:p>
          <w:p w14:paraId="4722DC91" w14:textId="77777777" w:rsidR="002F74BD" w:rsidRPr="00807FB8" w:rsidRDefault="00FC47E9" w:rsidP="00FC47E9">
            <w:pPr>
              <w:pStyle w:val="Bullet1G"/>
              <w:numPr>
                <w:ilvl w:val="0"/>
                <w:numId w:val="0"/>
              </w:numPr>
              <w:spacing w:after="40" w:line="240" w:lineRule="auto"/>
              <w:ind w:left="172" w:right="171" w:hanging="149"/>
              <w:jc w:val="left"/>
              <w:rPr>
                <w:rFonts w:eastAsia="Times New Roman"/>
                <w:color w:val="000000"/>
                <w:sz w:val="18"/>
                <w:szCs w:val="18"/>
                <w:shd w:val="clear" w:color="auto" w:fill="FFFFFF"/>
              </w:rPr>
            </w:pPr>
            <w:r w:rsidRPr="00807FB8">
              <w:rPr>
                <w:rFonts w:eastAsia="Times New Roman"/>
                <w:color w:val="000000"/>
                <w:sz w:val="18"/>
                <w:szCs w:val="18"/>
              </w:rPr>
              <w:t>•</w:t>
            </w:r>
            <w:r w:rsidRPr="00807FB8">
              <w:rPr>
                <w:rFonts w:eastAsia="Times New Roman"/>
                <w:color w:val="000000"/>
                <w:sz w:val="18"/>
                <w:szCs w:val="18"/>
              </w:rPr>
              <w:tab/>
            </w:r>
            <w:r w:rsidR="002F74BD" w:rsidRPr="00807FB8">
              <w:rPr>
                <w:rFonts w:eastAsia="Times New Roman"/>
                <w:color w:val="000000"/>
                <w:sz w:val="18"/>
                <w:szCs w:val="18"/>
                <w:shd w:val="clear" w:color="auto" w:fill="FFFFFF"/>
              </w:rPr>
              <w:t xml:space="preserve">Clinical observations: Ataxia was observed in animals at dose levels </w:t>
            </w:r>
            <w:r w:rsidR="002F74BD" w:rsidRPr="00807FB8">
              <w:rPr>
                <w:rFonts w:eastAsia="Times New Roman"/>
                <w:color w:val="000000"/>
                <w:sz w:val="18"/>
                <w:szCs w:val="18"/>
                <w:shd w:val="clear" w:color="auto" w:fill="FFFFFF"/>
              </w:rPr>
              <w:sym w:font="Symbol" w:char="F0B3"/>
            </w:r>
            <w:r w:rsidR="002F74BD" w:rsidRPr="00807FB8">
              <w:rPr>
                <w:rFonts w:eastAsia="Times New Roman"/>
                <w:color w:val="000000"/>
                <w:sz w:val="18"/>
                <w:szCs w:val="18"/>
                <w:shd w:val="clear" w:color="auto" w:fill="FFFFFF"/>
              </w:rPr>
              <w:t xml:space="preserve"> 200 mg/kg </w:t>
            </w:r>
          </w:p>
        </w:tc>
      </w:tr>
      <w:tr w:rsidR="002F74BD" w:rsidRPr="00807FB8" w14:paraId="0DD20393" w14:textId="77777777" w:rsidTr="00FC47E9">
        <w:tc>
          <w:tcPr>
            <w:tcW w:w="849" w:type="dxa"/>
            <w:shd w:val="clear" w:color="auto" w:fill="auto"/>
          </w:tcPr>
          <w:p w14:paraId="5195EF18" w14:textId="77777777" w:rsidR="002F74BD" w:rsidRPr="00807FB8" w:rsidRDefault="002F74BD" w:rsidP="002C4C42">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Dermal</w:t>
            </w:r>
          </w:p>
        </w:tc>
        <w:tc>
          <w:tcPr>
            <w:tcW w:w="839" w:type="dxa"/>
            <w:shd w:val="clear" w:color="auto" w:fill="auto"/>
          </w:tcPr>
          <w:p w14:paraId="00023EAB" w14:textId="77777777" w:rsidR="002F74BD" w:rsidRPr="00807FB8" w:rsidRDefault="002F74BD" w:rsidP="002C4C42">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Rabbit</w:t>
            </w:r>
          </w:p>
        </w:tc>
        <w:tc>
          <w:tcPr>
            <w:tcW w:w="1147" w:type="dxa"/>
            <w:shd w:val="clear" w:color="auto" w:fill="auto"/>
          </w:tcPr>
          <w:p w14:paraId="712ADC84" w14:textId="77777777" w:rsidR="002F74BD" w:rsidRPr="00807FB8" w:rsidRDefault="002F74BD" w:rsidP="002C4C42">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3,100 mg/kg</w:t>
            </w:r>
          </w:p>
        </w:tc>
        <w:tc>
          <w:tcPr>
            <w:tcW w:w="5528" w:type="dxa"/>
            <w:shd w:val="clear" w:color="auto" w:fill="auto"/>
          </w:tcPr>
          <w:p w14:paraId="145AAF37" w14:textId="77777777" w:rsidR="002F74BD" w:rsidRPr="00807FB8" w:rsidRDefault="00FC47E9" w:rsidP="00FC47E9">
            <w:pPr>
              <w:pStyle w:val="Bullet1G"/>
              <w:numPr>
                <w:ilvl w:val="0"/>
                <w:numId w:val="0"/>
              </w:numPr>
              <w:spacing w:after="40" w:line="240" w:lineRule="auto"/>
              <w:ind w:left="172" w:right="171" w:hanging="149"/>
              <w:jc w:val="left"/>
              <w:rPr>
                <w:rFonts w:eastAsia="Times New Roman"/>
                <w:color w:val="000000"/>
                <w:sz w:val="18"/>
                <w:szCs w:val="18"/>
                <w:shd w:val="clear" w:color="auto" w:fill="FFFFFF"/>
              </w:rPr>
            </w:pPr>
            <w:r w:rsidRPr="00807FB8">
              <w:rPr>
                <w:rFonts w:eastAsia="Times New Roman"/>
                <w:color w:val="000000"/>
                <w:sz w:val="18"/>
                <w:szCs w:val="18"/>
              </w:rPr>
              <w:t>•</w:t>
            </w:r>
            <w:r w:rsidRPr="00807FB8">
              <w:rPr>
                <w:rFonts w:eastAsia="Times New Roman"/>
                <w:color w:val="000000"/>
                <w:sz w:val="18"/>
                <w:szCs w:val="18"/>
              </w:rPr>
              <w:tab/>
            </w:r>
            <w:r w:rsidR="002F74BD" w:rsidRPr="00807FB8">
              <w:rPr>
                <w:rFonts w:eastAsia="Times New Roman"/>
                <w:color w:val="000000"/>
                <w:sz w:val="18"/>
                <w:szCs w:val="18"/>
                <w:shd w:val="clear" w:color="auto" w:fill="FFFFFF"/>
              </w:rPr>
              <w:t xml:space="preserve">Liver – Fibrosis was noted during necropsy as the </w:t>
            </w:r>
            <w:r w:rsidR="002F74BD" w:rsidRPr="00807FB8">
              <w:rPr>
                <w:sz w:val="18"/>
                <w:szCs w:val="18"/>
                <w:shd w:val="clear" w:color="auto" w:fill="FFFFFF"/>
              </w:rPr>
              <w:t>cause</w:t>
            </w:r>
            <w:r w:rsidR="002F74BD" w:rsidRPr="00807FB8">
              <w:rPr>
                <w:rFonts w:eastAsia="Times New Roman"/>
                <w:color w:val="000000"/>
                <w:sz w:val="18"/>
                <w:szCs w:val="18"/>
                <w:shd w:val="clear" w:color="auto" w:fill="FFFFFF"/>
              </w:rPr>
              <w:t xml:space="preserve"> of mortality.</w:t>
            </w:r>
          </w:p>
          <w:p w14:paraId="76008A99" w14:textId="77777777" w:rsidR="002F74BD" w:rsidRPr="00807FB8" w:rsidRDefault="00FC47E9" w:rsidP="00FC47E9">
            <w:pPr>
              <w:pStyle w:val="Bullet1G"/>
              <w:numPr>
                <w:ilvl w:val="0"/>
                <w:numId w:val="0"/>
              </w:numPr>
              <w:spacing w:after="40" w:line="240" w:lineRule="auto"/>
              <w:ind w:left="172" w:right="171" w:hanging="149"/>
              <w:jc w:val="left"/>
              <w:rPr>
                <w:rFonts w:eastAsia="Times New Roman"/>
                <w:color w:val="000000"/>
                <w:sz w:val="18"/>
                <w:szCs w:val="18"/>
                <w:shd w:val="clear" w:color="auto" w:fill="FFFFFF"/>
              </w:rPr>
            </w:pPr>
            <w:r w:rsidRPr="00807FB8">
              <w:rPr>
                <w:rFonts w:eastAsia="Times New Roman"/>
                <w:color w:val="000000"/>
                <w:sz w:val="18"/>
                <w:szCs w:val="18"/>
              </w:rPr>
              <w:t>•</w:t>
            </w:r>
            <w:r w:rsidRPr="00807FB8">
              <w:rPr>
                <w:rFonts w:eastAsia="Times New Roman"/>
                <w:color w:val="000000"/>
                <w:sz w:val="18"/>
                <w:szCs w:val="18"/>
              </w:rPr>
              <w:tab/>
            </w:r>
            <w:r w:rsidR="002F74BD" w:rsidRPr="00807FB8">
              <w:rPr>
                <w:rFonts w:eastAsia="Times New Roman"/>
                <w:color w:val="000000"/>
                <w:sz w:val="18"/>
                <w:szCs w:val="18"/>
                <w:shd w:val="clear" w:color="auto" w:fill="FFFFFF"/>
              </w:rPr>
              <w:t xml:space="preserve">No other effects on organs were noted during </w:t>
            </w:r>
            <w:r w:rsidR="002F74BD" w:rsidRPr="00807FB8">
              <w:rPr>
                <w:sz w:val="18"/>
                <w:szCs w:val="18"/>
                <w:shd w:val="clear" w:color="auto" w:fill="FFFFFF"/>
              </w:rPr>
              <w:t>necropsy</w:t>
            </w:r>
            <w:r w:rsidR="002F74BD" w:rsidRPr="00807FB8">
              <w:rPr>
                <w:rFonts w:eastAsia="Times New Roman"/>
                <w:color w:val="000000"/>
                <w:sz w:val="18"/>
                <w:szCs w:val="18"/>
                <w:shd w:val="clear" w:color="auto" w:fill="FFFFFF"/>
              </w:rPr>
              <w:t>.</w:t>
            </w:r>
          </w:p>
        </w:tc>
      </w:tr>
    </w:tbl>
    <w:p w14:paraId="4CDFD8C5" w14:textId="77777777" w:rsidR="002F74BD" w:rsidRPr="00707E19" w:rsidRDefault="002F74BD" w:rsidP="00807FB8">
      <w:pPr>
        <w:pStyle w:val="H23G"/>
        <w:spacing w:after="90"/>
      </w:pPr>
      <w:r>
        <w:tab/>
      </w:r>
      <w:r>
        <w:tab/>
      </w:r>
      <w:r w:rsidRPr="00707E19">
        <w:t>Answer</w:t>
      </w:r>
    </w:p>
    <w:p w14:paraId="428BEA83" w14:textId="77777777" w:rsidR="002F74BD" w:rsidRPr="00707E19" w:rsidRDefault="002F74BD" w:rsidP="00807FB8">
      <w:pPr>
        <w:pStyle w:val="SingleTxtG"/>
        <w:spacing w:after="90"/>
      </w:pPr>
      <w:r w:rsidRPr="00707E19">
        <w:t xml:space="preserve">Acute </w:t>
      </w:r>
      <w:r w:rsidR="00FC47E9">
        <w:t>o</w:t>
      </w:r>
      <w:r w:rsidRPr="00707E19">
        <w:t xml:space="preserve">ral </w:t>
      </w:r>
      <w:r w:rsidR="00FC47E9">
        <w:t>t</w:t>
      </w:r>
      <w:r w:rsidRPr="00707E19">
        <w:t>oxicity; Category 4</w:t>
      </w:r>
    </w:p>
    <w:p w14:paraId="0CB0817A" w14:textId="77777777" w:rsidR="002F74BD" w:rsidRPr="00707E19" w:rsidRDefault="002F74BD" w:rsidP="00807FB8">
      <w:pPr>
        <w:pStyle w:val="SingleTxtG"/>
        <w:spacing w:after="90"/>
      </w:pPr>
      <w:r w:rsidRPr="00707E19">
        <w:t xml:space="preserve">Acute </w:t>
      </w:r>
      <w:r w:rsidR="00FC47E9">
        <w:t>d</w:t>
      </w:r>
      <w:r w:rsidRPr="00707E19">
        <w:t xml:space="preserve">ermal </w:t>
      </w:r>
      <w:r w:rsidR="00FC47E9">
        <w:t>t</w:t>
      </w:r>
      <w:r w:rsidRPr="00707E19">
        <w:t>oxicity; Category 5</w:t>
      </w:r>
    </w:p>
    <w:p w14:paraId="6A63EFA6" w14:textId="77777777" w:rsidR="002F74BD" w:rsidRPr="00707E19" w:rsidRDefault="002F74BD" w:rsidP="00807FB8">
      <w:pPr>
        <w:pStyle w:val="SingleTxtG"/>
        <w:spacing w:after="90"/>
      </w:pPr>
      <w:r w:rsidRPr="00707E19">
        <w:t xml:space="preserve">Specific </w:t>
      </w:r>
      <w:r w:rsidR="00FC47E9">
        <w:t>t</w:t>
      </w:r>
      <w:r w:rsidRPr="00707E19">
        <w:t xml:space="preserve">arget </w:t>
      </w:r>
      <w:r w:rsidR="00FC47E9">
        <w:t>o</w:t>
      </w:r>
      <w:r w:rsidRPr="00707E19">
        <w:t xml:space="preserve">rgan </w:t>
      </w:r>
      <w:r w:rsidR="00FC47E9">
        <w:t>t</w:t>
      </w:r>
      <w:r w:rsidRPr="00707E19">
        <w:t xml:space="preserve">oxicity – </w:t>
      </w:r>
      <w:r w:rsidR="00FC47E9">
        <w:t>s</w:t>
      </w:r>
      <w:r w:rsidRPr="00707E19">
        <w:t xml:space="preserve">ingle </w:t>
      </w:r>
      <w:r w:rsidR="00FC47E9">
        <w:t>e</w:t>
      </w:r>
      <w:r w:rsidRPr="00707E19">
        <w:t>xposure; Category 1</w:t>
      </w:r>
      <w:r>
        <w:t xml:space="preserve"> (nervous system)</w:t>
      </w:r>
    </w:p>
    <w:p w14:paraId="16ED9457" w14:textId="77777777" w:rsidR="002F74BD" w:rsidRPr="00707E19" w:rsidRDefault="002F74BD" w:rsidP="00807FB8">
      <w:pPr>
        <w:pStyle w:val="H23G"/>
        <w:spacing w:after="90"/>
      </w:pPr>
      <w:r>
        <w:tab/>
      </w:r>
      <w:r>
        <w:tab/>
      </w:r>
      <w:r w:rsidRPr="00707E19">
        <w:t xml:space="preserve">Rationale </w:t>
      </w:r>
    </w:p>
    <w:p w14:paraId="336089B3" w14:textId="77777777" w:rsidR="002F74BD" w:rsidRPr="00707E19" w:rsidRDefault="002F74BD" w:rsidP="00807FB8">
      <w:pPr>
        <w:pStyle w:val="H4G"/>
        <w:spacing w:after="90"/>
      </w:pPr>
      <w:r>
        <w:tab/>
      </w:r>
      <w:r w:rsidR="002C4C42">
        <w:t>(a)</w:t>
      </w:r>
      <w:r>
        <w:tab/>
      </w:r>
      <w:r w:rsidRPr="00707E19">
        <w:t xml:space="preserve">Acute </w:t>
      </w:r>
      <w:r w:rsidR="00FC47E9">
        <w:t>o</w:t>
      </w:r>
      <w:r w:rsidRPr="00707E19">
        <w:t xml:space="preserve">ral </w:t>
      </w:r>
      <w:r w:rsidR="00FC47E9">
        <w:t>t</w:t>
      </w:r>
      <w:r w:rsidRPr="00707E19">
        <w:t>oxicity</w:t>
      </w:r>
    </w:p>
    <w:p w14:paraId="198F656E" w14:textId="77777777" w:rsidR="002F74BD" w:rsidRPr="00707E19" w:rsidRDefault="002F74BD" w:rsidP="00807FB8">
      <w:pPr>
        <w:pStyle w:val="SingleTxtG"/>
        <w:spacing w:after="90"/>
      </w:pPr>
      <w:r w:rsidRPr="00707E19">
        <w:t>Classification via application of criteria in GHS Table 3.1.1 is possible. The study used the preferred test species (</w:t>
      </w:r>
      <w:r>
        <w:t>i.e.,</w:t>
      </w:r>
      <w:r w:rsidRPr="00707E19">
        <w:t xml:space="preserve"> rat) as noted in paragraph 3.1.2.3 and the Oral (rat) LD</w:t>
      </w:r>
      <w:r w:rsidRPr="00707E19">
        <w:rPr>
          <w:vertAlign w:val="subscript"/>
        </w:rPr>
        <w:t>50</w:t>
      </w:r>
      <w:r w:rsidRPr="00707E19">
        <w:t xml:space="preserve"> of 1160 is within the Category 4 range of 300 &lt; ATE </w:t>
      </w:r>
      <w:r w:rsidRPr="00707E19">
        <w:sym w:font="Symbol" w:char="F0A3"/>
      </w:r>
      <w:r w:rsidRPr="00707E19">
        <w:t xml:space="preserve"> 2000 resulting in a Category 4 classification via the oral route.  </w:t>
      </w:r>
    </w:p>
    <w:p w14:paraId="2D32F8CA" w14:textId="77777777" w:rsidR="002F74BD" w:rsidRPr="00707E19" w:rsidRDefault="002F74BD" w:rsidP="00807FB8">
      <w:pPr>
        <w:pStyle w:val="H4G"/>
        <w:spacing w:after="90"/>
      </w:pPr>
      <w:r>
        <w:tab/>
      </w:r>
      <w:r w:rsidR="002C4C42">
        <w:t>(b)</w:t>
      </w:r>
      <w:r>
        <w:tab/>
      </w:r>
      <w:r w:rsidRPr="00707E19">
        <w:t xml:space="preserve">Acute </w:t>
      </w:r>
      <w:r w:rsidR="00FC47E9">
        <w:t>d</w:t>
      </w:r>
      <w:r w:rsidRPr="00707E19">
        <w:t xml:space="preserve">ermal </w:t>
      </w:r>
      <w:r w:rsidR="00FC47E9">
        <w:t>t</w:t>
      </w:r>
      <w:r w:rsidRPr="00707E19">
        <w:t>oxicity</w:t>
      </w:r>
    </w:p>
    <w:p w14:paraId="177F3055" w14:textId="77777777" w:rsidR="002F74BD" w:rsidRPr="00707E19" w:rsidRDefault="002F74BD" w:rsidP="00807FB8">
      <w:pPr>
        <w:pStyle w:val="SingleTxtG"/>
        <w:spacing w:after="90"/>
      </w:pPr>
      <w:r w:rsidRPr="00707E19">
        <w:t>Classification via application of criteria in GHS Table 3.1.1 is possible. The study used the preferred species (</w:t>
      </w:r>
      <w:r>
        <w:t>i.e.,</w:t>
      </w:r>
      <w:r w:rsidRPr="00707E19">
        <w:t xml:space="preserve"> rat or rabbit) as noted in paragraph 3.1.2.3 and the Dermal (Rabbit) LD</w:t>
      </w:r>
      <w:r w:rsidRPr="00707E19">
        <w:rPr>
          <w:vertAlign w:val="subscript"/>
        </w:rPr>
        <w:t>50</w:t>
      </w:r>
      <w:r w:rsidRPr="00707E19">
        <w:t xml:space="preserve"> of 3100 is within the Category 5 range of 200 &lt; ATE </w:t>
      </w:r>
      <w:r w:rsidRPr="00707E19">
        <w:sym w:font="Symbol" w:char="F0A3"/>
      </w:r>
      <w:r w:rsidRPr="00707E19">
        <w:t xml:space="preserve"> 5000 resulting in a Category 5 classification via the dermal route.  </w:t>
      </w:r>
    </w:p>
    <w:p w14:paraId="056DE348" w14:textId="77777777" w:rsidR="002F74BD" w:rsidRPr="00707E19" w:rsidRDefault="002F74BD" w:rsidP="00807FB8">
      <w:pPr>
        <w:pStyle w:val="H4G"/>
        <w:spacing w:after="90"/>
      </w:pPr>
      <w:r>
        <w:tab/>
      </w:r>
      <w:r w:rsidR="002C4C42">
        <w:t>(c)</w:t>
      </w:r>
      <w:r>
        <w:tab/>
      </w:r>
      <w:r w:rsidRPr="00707E19">
        <w:t xml:space="preserve">Specific </w:t>
      </w:r>
      <w:r w:rsidR="00FC47E9">
        <w:t>t</w:t>
      </w:r>
      <w:r w:rsidRPr="00707E19">
        <w:t xml:space="preserve">arget </w:t>
      </w:r>
      <w:r w:rsidR="00FC47E9">
        <w:t>o</w:t>
      </w:r>
      <w:r w:rsidRPr="00707E19">
        <w:t xml:space="preserve">rgan </w:t>
      </w:r>
      <w:r w:rsidR="00FC47E9">
        <w:t>t</w:t>
      </w:r>
      <w:r w:rsidRPr="00707E19">
        <w:t xml:space="preserve">oxicity – </w:t>
      </w:r>
      <w:r w:rsidR="00FC47E9">
        <w:t>s</w:t>
      </w:r>
      <w:r w:rsidRPr="00707E19">
        <w:t xml:space="preserve">ingle </w:t>
      </w:r>
      <w:r w:rsidR="00FC47E9">
        <w:t>e</w:t>
      </w:r>
      <w:r w:rsidRPr="00707E19">
        <w:t>xposure</w:t>
      </w:r>
    </w:p>
    <w:p w14:paraId="63B4EFAF" w14:textId="77777777" w:rsidR="002F74BD" w:rsidRPr="00707E19" w:rsidRDefault="002F74BD" w:rsidP="00807FB8">
      <w:pPr>
        <w:pStyle w:val="SingleTxtG"/>
        <w:spacing w:after="90"/>
      </w:pPr>
      <w:r w:rsidRPr="00707E19">
        <w:t>The effects seen after human exposure (</w:t>
      </w:r>
      <w:r>
        <w:t>i.e.,</w:t>
      </w:r>
      <w:r w:rsidRPr="00707E19">
        <w:t xml:space="preserve"> mild peripheral neuropathy to permanent paralysis) are non-lethal toxic effects on the central nervous system.  Specifically, the Category 1 criteria “(a) reliable and good quality evidence from human cases or epidemiological studies” in Figure 3.8.1 support a Category 1 classification.  </w:t>
      </w:r>
    </w:p>
    <w:p w14:paraId="2F5C050F" w14:textId="77777777" w:rsidR="002F74BD" w:rsidRDefault="002F74BD" w:rsidP="00807FB8">
      <w:pPr>
        <w:pStyle w:val="SingleTxtG"/>
        <w:spacing w:after="90"/>
      </w:pPr>
      <w:r>
        <w:tab/>
      </w:r>
      <w:r w:rsidRPr="00707E19">
        <w:t xml:space="preserve">In this case, the </w:t>
      </w:r>
      <w:r w:rsidR="00FC47E9">
        <w:t>a</w:t>
      </w:r>
      <w:r w:rsidRPr="00707E19">
        <w:t xml:space="preserve">cute </w:t>
      </w:r>
      <w:r w:rsidR="00FC47E9">
        <w:t>o</w:t>
      </w:r>
      <w:r w:rsidRPr="00707E19">
        <w:t xml:space="preserve">ral and </w:t>
      </w:r>
      <w:r w:rsidR="00FC47E9">
        <w:t>d</w:t>
      </w:r>
      <w:r w:rsidRPr="00707E19">
        <w:t xml:space="preserve">ermal </w:t>
      </w:r>
      <w:r w:rsidR="00FC47E9">
        <w:t>t</w:t>
      </w:r>
      <w:r w:rsidRPr="00707E19">
        <w:t>oxicity classifications do not preclude classification into the STOT hazard class since they reflect the lethal effects on a separate target organ (</w:t>
      </w:r>
      <w:r>
        <w:t>i.e.,</w:t>
      </w:r>
      <w:r w:rsidRPr="00707E19">
        <w:t xml:space="preserve"> liver</w:t>
      </w:r>
      <w:r>
        <w:t xml:space="preserve"> was confirmed as the cause of death during necropsy</w:t>
      </w:r>
      <w:r w:rsidRPr="00707E19">
        <w:t>) via a different mechanism than the non-lethal effects on the central nervous system.</w:t>
      </w:r>
    </w:p>
    <w:p w14:paraId="783AED48" w14:textId="77777777" w:rsidR="002F74BD" w:rsidRDefault="002F74BD" w:rsidP="002F74BD">
      <w:pPr>
        <w:pStyle w:val="SingleTxtG"/>
        <w:jc w:val="center"/>
      </w:pPr>
      <w:r w:rsidRPr="00AF12EA">
        <w:t>(En</w:t>
      </w:r>
      <w:r>
        <w:t xml:space="preserve">d of </w:t>
      </w:r>
      <w:r w:rsidR="00FC47E9">
        <w:t>e</w:t>
      </w:r>
      <w:r>
        <w:t>xample 2)</w:t>
      </w:r>
    </w:p>
    <w:p w14:paraId="07ADE563" w14:textId="77777777" w:rsidR="002F74BD" w:rsidRPr="00707E19" w:rsidRDefault="002F74BD" w:rsidP="00FC47E9">
      <w:pPr>
        <w:pStyle w:val="H1G"/>
      </w:pPr>
      <w:r>
        <w:lastRenderedPageBreak/>
        <w:tab/>
      </w:r>
      <w:r>
        <w:tab/>
      </w:r>
      <w:r w:rsidRPr="00707E19">
        <w:t>Example 3</w:t>
      </w:r>
    </w:p>
    <w:p w14:paraId="3545AEC1" w14:textId="77777777" w:rsidR="002F74BD" w:rsidRPr="00707E19" w:rsidRDefault="002F74BD" w:rsidP="002F74BD">
      <w:pPr>
        <w:pStyle w:val="SingleTxtG"/>
      </w:pPr>
      <w:r w:rsidRPr="00707E19">
        <w:t xml:space="preserve">This example illustrates the criteria in 3.9.1.1 and 3.9.1.6 that a substance can be classified into both </w:t>
      </w:r>
      <w:r>
        <w:t>Specific</w:t>
      </w:r>
      <w:r w:rsidRPr="00707E19">
        <w:t xml:space="preserve"> Target Organ Toxicity – Repeated Exposure hazard class, for non-lethal effects, and into the Acute Toxicity hazard class, for lethal effects.  </w:t>
      </w:r>
    </w:p>
    <w:p w14:paraId="4D4DE6E6" w14:textId="77777777" w:rsidR="002F74BD" w:rsidRPr="00707E19" w:rsidRDefault="002F74BD" w:rsidP="002F74BD">
      <w:pPr>
        <w:pStyle w:val="H23G"/>
      </w:pPr>
      <w:r>
        <w:tab/>
      </w:r>
      <w:r>
        <w:tab/>
      </w:r>
      <w:r w:rsidRPr="00707E19">
        <w:t xml:space="preserve">Information on </w:t>
      </w:r>
      <w:r w:rsidR="00FC47E9">
        <w:t>s</w:t>
      </w:r>
      <w:r w:rsidRPr="00707E19">
        <w:t>ubstance 3</w:t>
      </w:r>
    </w:p>
    <w:p w14:paraId="409FD5A7" w14:textId="77777777" w:rsidR="002F74BD" w:rsidRPr="00707E19" w:rsidRDefault="002F74BD" w:rsidP="002F74BD">
      <w:pPr>
        <w:pStyle w:val="H23G"/>
      </w:pPr>
      <w:r>
        <w:tab/>
      </w:r>
      <w:r>
        <w:tab/>
      </w:r>
      <w:r w:rsidRPr="00707E19">
        <w:t>Data:</w:t>
      </w:r>
    </w:p>
    <w:p w14:paraId="4ED4482D" w14:textId="77777777" w:rsidR="00E63838" w:rsidRPr="00FC47E9" w:rsidRDefault="00E63838" w:rsidP="00FC47E9">
      <w:pPr>
        <w:pStyle w:val="H4G"/>
      </w:pPr>
      <w:r w:rsidRPr="00FC47E9">
        <w:tab/>
      </w:r>
      <w:r w:rsidRPr="00FC47E9">
        <w:tab/>
        <w:t xml:space="preserve">Acute </w:t>
      </w:r>
      <w:r w:rsidR="00FC47E9">
        <w:t>t</w:t>
      </w:r>
      <w:r w:rsidRPr="00FC47E9">
        <w:t xml:space="preserve">oxicity </w:t>
      </w:r>
      <w:r w:rsidR="00FC47E9">
        <w:t>a</w:t>
      </w:r>
      <w:r w:rsidRPr="00FC47E9">
        <w:t xml:space="preserve">nimal </w:t>
      </w:r>
      <w:r w:rsidR="00FC47E9">
        <w:t>d</w:t>
      </w:r>
      <w:r w:rsidRPr="00FC47E9">
        <w:t xml:space="preserve">ata:  </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76"/>
        <w:gridCol w:w="1779"/>
        <w:gridCol w:w="4677"/>
      </w:tblGrid>
      <w:tr w:rsidR="00E63838" w:rsidRPr="00807FB8" w14:paraId="6BE15507" w14:textId="77777777" w:rsidTr="00FC47E9">
        <w:tc>
          <w:tcPr>
            <w:tcW w:w="989" w:type="dxa"/>
            <w:shd w:val="clear" w:color="auto" w:fill="auto"/>
          </w:tcPr>
          <w:p w14:paraId="40E1BE63" w14:textId="77777777" w:rsidR="00E63838" w:rsidRPr="00807FB8" w:rsidRDefault="00E63838" w:rsidP="00FC47E9">
            <w:pPr>
              <w:spacing w:after="40" w:line="240" w:lineRule="auto"/>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Route</w:t>
            </w:r>
          </w:p>
        </w:tc>
        <w:tc>
          <w:tcPr>
            <w:tcW w:w="776" w:type="dxa"/>
            <w:shd w:val="clear" w:color="auto" w:fill="auto"/>
          </w:tcPr>
          <w:p w14:paraId="2F51C637" w14:textId="77777777" w:rsidR="00E63838" w:rsidRPr="00807FB8" w:rsidRDefault="00E63838" w:rsidP="00FC47E9">
            <w:pPr>
              <w:spacing w:after="40" w:line="240" w:lineRule="auto"/>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Species</w:t>
            </w:r>
          </w:p>
        </w:tc>
        <w:tc>
          <w:tcPr>
            <w:tcW w:w="1779" w:type="dxa"/>
            <w:shd w:val="clear" w:color="auto" w:fill="auto"/>
          </w:tcPr>
          <w:p w14:paraId="6F2DF52F" w14:textId="77777777" w:rsidR="00E63838" w:rsidRPr="00807FB8" w:rsidRDefault="00E63838" w:rsidP="00FC47E9">
            <w:pPr>
              <w:spacing w:after="40" w:line="240" w:lineRule="auto"/>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LD</w:t>
            </w:r>
            <w:r w:rsidRPr="00807FB8">
              <w:rPr>
                <w:rFonts w:eastAsia="Times New Roman"/>
                <w:b/>
                <w:color w:val="000000"/>
                <w:sz w:val="18"/>
                <w:szCs w:val="18"/>
                <w:shd w:val="clear" w:color="auto" w:fill="FFFFFF"/>
                <w:vertAlign w:val="subscript"/>
              </w:rPr>
              <w:t>50</w:t>
            </w:r>
            <w:r w:rsidRPr="00807FB8">
              <w:rPr>
                <w:rFonts w:eastAsia="Times New Roman"/>
                <w:b/>
                <w:color w:val="000000"/>
                <w:sz w:val="18"/>
                <w:szCs w:val="18"/>
                <w:shd w:val="clear" w:color="auto" w:fill="FFFFFF"/>
              </w:rPr>
              <w:t xml:space="preserve"> /LC</w:t>
            </w:r>
            <w:r w:rsidRPr="00807FB8">
              <w:rPr>
                <w:rFonts w:eastAsia="Times New Roman"/>
                <w:b/>
                <w:color w:val="000000"/>
                <w:sz w:val="18"/>
                <w:szCs w:val="18"/>
                <w:shd w:val="clear" w:color="auto" w:fill="FFFFFF"/>
                <w:vertAlign w:val="subscript"/>
              </w:rPr>
              <w:t>50</w:t>
            </w:r>
            <w:r w:rsidRPr="00807FB8">
              <w:rPr>
                <w:rFonts w:eastAsia="Times New Roman"/>
                <w:b/>
                <w:color w:val="000000"/>
                <w:sz w:val="18"/>
                <w:szCs w:val="18"/>
                <w:shd w:val="clear" w:color="auto" w:fill="FFFFFF"/>
              </w:rPr>
              <w:t xml:space="preserve"> Value</w:t>
            </w:r>
          </w:p>
        </w:tc>
        <w:tc>
          <w:tcPr>
            <w:tcW w:w="4677" w:type="dxa"/>
            <w:shd w:val="clear" w:color="auto" w:fill="auto"/>
          </w:tcPr>
          <w:p w14:paraId="5123F7AC" w14:textId="77777777" w:rsidR="00E63838" w:rsidRPr="00807FB8" w:rsidRDefault="00E63838" w:rsidP="00FC47E9">
            <w:pPr>
              <w:spacing w:after="40" w:line="240" w:lineRule="auto"/>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Observations</w:t>
            </w:r>
          </w:p>
        </w:tc>
      </w:tr>
      <w:tr w:rsidR="00E63838" w:rsidRPr="00807FB8" w14:paraId="2688E0DA" w14:textId="77777777" w:rsidTr="00FC47E9">
        <w:trPr>
          <w:trHeight w:val="298"/>
        </w:trPr>
        <w:tc>
          <w:tcPr>
            <w:tcW w:w="989" w:type="dxa"/>
            <w:shd w:val="clear" w:color="auto" w:fill="auto"/>
          </w:tcPr>
          <w:p w14:paraId="3E87DBB0" w14:textId="77777777" w:rsidR="00E63838" w:rsidRPr="00807FB8" w:rsidRDefault="00E63838" w:rsidP="00FC47E9">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Oral</w:t>
            </w:r>
          </w:p>
        </w:tc>
        <w:tc>
          <w:tcPr>
            <w:tcW w:w="776" w:type="dxa"/>
            <w:shd w:val="clear" w:color="auto" w:fill="auto"/>
          </w:tcPr>
          <w:p w14:paraId="7D03C95F" w14:textId="77777777" w:rsidR="00E63838" w:rsidRPr="00807FB8" w:rsidRDefault="00E63838" w:rsidP="00FC47E9">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Rat</w:t>
            </w:r>
          </w:p>
        </w:tc>
        <w:tc>
          <w:tcPr>
            <w:tcW w:w="1779" w:type="dxa"/>
            <w:shd w:val="clear" w:color="auto" w:fill="auto"/>
          </w:tcPr>
          <w:p w14:paraId="15514AEF" w14:textId="77777777" w:rsidR="00E63838" w:rsidRPr="00807FB8" w:rsidRDefault="00E63838" w:rsidP="00FC47E9">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254 mg/kg</w:t>
            </w:r>
          </w:p>
        </w:tc>
        <w:tc>
          <w:tcPr>
            <w:tcW w:w="4677" w:type="dxa"/>
            <w:shd w:val="clear" w:color="auto" w:fill="auto"/>
          </w:tcPr>
          <w:p w14:paraId="6AB46B65" w14:textId="77777777" w:rsidR="00E63838" w:rsidRPr="00807FB8" w:rsidRDefault="00FC47E9" w:rsidP="00FC47E9">
            <w:pPr>
              <w:pStyle w:val="Bullet1G"/>
              <w:numPr>
                <w:ilvl w:val="0"/>
                <w:numId w:val="0"/>
              </w:numPr>
              <w:spacing w:after="40" w:line="240" w:lineRule="auto"/>
              <w:ind w:left="168" w:right="26" w:hanging="145"/>
              <w:jc w:val="left"/>
              <w:rPr>
                <w:rFonts w:eastAsia="Times New Roman"/>
                <w:color w:val="000000"/>
                <w:sz w:val="18"/>
                <w:szCs w:val="18"/>
                <w:shd w:val="clear" w:color="auto" w:fill="FFFFFF"/>
              </w:rPr>
            </w:pPr>
            <w:r w:rsidRPr="00807FB8">
              <w:rPr>
                <w:rFonts w:eastAsia="Times New Roman"/>
                <w:color w:val="000000"/>
                <w:sz w:val="18"/>
                <w:szCs w:val="18"/>
              </w:rPr>
              <w:t>•</w:t>
            </w:r>
            <w:r w:rsidRPr="00807FB8">
              <w:rPr>
                <w:rFonts w:eastAsia="Times New Roman"/>
                <w:color w:val="000000"/>
                <w:sz w:val="18"/>
                <w:szCs w:val="18"/>
              </w:rPr>
              <w:tab/>
            </w:r>
            <w:r w:rsidR="00E63838" w:rsidRPr="00807FB8">
              <w:rPr>
                <w:rFonts w:eastAsia="Times New Roman"/>
                <w:color w:val="000000"/>
                <w:sz w:val="18"/>
                <w:szCs w:val="18"/>
                <w:shd w:val="clear" w:color="auto" w:fill="FFFFFF"/>
              </w:rPr>
              <w:t xml:space="preserve">Direct </w:t>
            </w:r>
            <w:r w:rsidR="00E63838" w:rsidRPr="00807FB8">
              <w:rPr>
                <w:sz w:val="18"/>
                <w:szCs w:val="18"/>
                <w:shd w:val="clear" w:color="auto" w:fill="FFFFFF"/>
              </w:rPr>
              <w:t>cause</w:t>
            </w:r>
            <w:r w:rsidR="00E63838" w:rsidRPr="00807FB8">
              <w:rPr>
                <w:rFonts w:eastAsia="Times New Roman"/>
                <w:color w:val="000000"/>
                <w:sz w:val="18"/>
                <w:szCs w:val="18"/>
                <w:shd w:val="clear" w:color="auto" w:fill="FFFFFF"/>
              </w:rPr>
              <w:t xml:space="preserve"> of death was extensive necrosis of the pancreas</w:t>
            </w:r>
          </w:p>
        </w:tc>
      </w:tr>
      <w:tr w:rsidR="00E63838" w:rsidRPr="00807FB8" w14:paraId="31F84392" w14:textId="77777777" w:rsidTr="00FC47E9">
        <w:trPr>
          <w:trHeight w:val="440"/>
        </w:trPr>
        <w:tc>
          <w:tcPr>
            <w:tcW w:w="989" w:type="dxa"/>
            <w:shd w:val="clear" w:color="auto" w:fill="auto"/>
          </w:tcPr>
          <w:p w14:paraId="6C26D8E5" w14:textId="77777777" w:rsidR="00E63838" w:rsidRPr="00807FB8" w:rsidRDefault="00E63838" w:rsidP="00FC47E9">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Inhalation (Aerosol)</w:t>
            </w:r>
          </w:p>
        </w:tc>
        <w:tc>
          <w:tcPr>
            <w:tcW w:w="776" w:type="dxa"/>
            <w:shd w:val="clear" w:color="auto" w:fill="auto"/>
          </w:tcPr>
          <w:p w14:paraId="295BB0E5" w14:textId="77777777" w:rsidR="00E63838" w:rsidRPr="00807FB8" w:rsidRDefault="00E63838" w:rsidP="00FC47E9">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Rat</w:t>
            </w:r>
          </w:p>
        </w:tc>
        <w:tc>
          <w:tcPr>
            <w:tcW w:w="1779" w:type="dxa"/>
            <w:shd w:val="clear" w:color="auto" w:fill="auto"/>
          </w:tcPr>
          <w:p w14:paraId="3D9E03A7" w14:textId="77777777" w:rsidR="00E63838" w:rsidRPr="00807FB8" w:rsidRDefault="00E63838" w:rsidP="00FC47E9">
            <w:pPr>
              <w:spacing w:after="4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 xml:space="preserve">0.89 mg/l (4 </w:t>
            </w:r>
            <w:r w:rsidR="00FC47E9" w:rsidRPr="00807FB8">
              <w:rPr>
                <w:rFonts w:eastAsia="Times New Roman"/>
                <w:color w:val="000000"/>
                <w:sz w:val="18"/>
                <w:szCs w:val="18"/>
                <w:shd w:val="clear" w:color="auto" w:fill="FFFFFF"/>
              </w:rPr>
              <w:t>h</w:t>
            </w:r>
            <w:r w:rsidRPr="00807FB8">
              <w:rPr>
                <w:rFonts w:eastAsia="Times New Roman"/>
                <w:color w:val="000000"/>
                <w:sz w:val="18"/>
                <w:szCs w:val="18"/>
                <w:shd w:val="clear" w:color="auto" w:fill="FFFFFF"/>
              </w:rPr>
              <w:t>our)</w:t>
            </w:r>
          </w:p>
        </w:tc>
        <w:tc>
          <w:tcPr>
            <w:tcW w:w="4677" w:type="dxa"/>
            <w:shd w:val="clear" w:color="auto" w:fill="auto"/>
          </w:tcPr>
          <w:p w14:paraId="71FEFBED" w14:textId="77777777" w:rsidR="00E63838" w:rsidRPr="00807FB8" w:rsidRDefault="00FC47E9" w:rsidP="00FC47E9">
            <w:pPr>
              <w:pStyle w:val="Bullet1G"/>
              <w:numPr>
                <w:ilvl w:val="0"/>
                <w:numId w:val="0"/>
              </w:numPr>
              <w:spacing w:after="40" w:line="240" w:lineRule="auto"/>
              <w:ind w:left="168" w:right="171" w:hanging="145"/>
              <w:jc w:val="left"/>
              <w:rPr>
                <w:rFonts w:eastAsia="Times New Roman"/>
                <w:color w:val="000000"/>
                <w:sz w:val="18"/>
                <w:szCs w:val="18"/>
                <w:shd w:val="clear" w:color="auto" w:fill="FFFFFF"/>
              </w:rPr>
            </w:pPr>
            <w:r w:rsidRPr="00807FB8">
              <w:rPr>
                <w:rFonts w:eastAsia="Times New Roman"/>
                <w:color w:val="000000"/>
                <w:sz w:val="18"/>
                <w:szCs w:val="18"/>
              </w:rPr>
              <w:t>•</w:t>
            </w:r>
            <w:r w:rsidRPr="00807FB8">
              <w:rPr>
                <w:rFonts w:eastAsia="Times New Roman"/>
                <w:color w:val="000000"/>
                <w:sz w:val="18"/>
                <w:szCs w:val="18"/>
              </w:rPr>
              <w:tab/>
            </w:r>
            <w:r w:rsidR="00E63838" w:rsidRPr="00807FB8">
              <w:rPr>
                <w:rFonts w:eastAsia="Times New Roman"/>
                <w:color w:val="000000"/>
                <w:sz w:val="18"/>
                <w:szCs w:val="18"/>
                <w:shd w:val="clear" w:color="auto" w:fill="FFFFFF"/>
              </w:rPr>
              <w:t xml:space="preserve">Clinical signs: Animals died without displaying </w:t>
            </w:r>
            <w:r w:rsidR="00E63838" w:rsidRPr="00807FB8">
              <w:rPr>
                <w:sz w:val="18"/>
                <w:szCs w:val="18"/>
                <w:shd w:val="clear" w:color="auto" w:fill="FFFFFF"/>
              </w:rPr>
              <w:t>specific</w:t>
            </w:r>
            <w:r w:rsidR="00E63838" w:rsidRPr="00807FB8">
              <w:rPr>
                <w:rFonts w:eastAsia="Times New Roman"/>
                <w:color w:val="000000"/>
                <w:sz w:val="18"/>
                <w:szCs w:val="18"/>
                <w:shd w:val="clear" w:color="auto" w:fill="FFFFFF"/>
              </w:rPr>
              <w:t xml:space="preserve"> symptoms.  </w:t>
            </w:r>
          </w:p>
          <w:p w14:paraId="5E13A044" w14:textId="77777777" w:rsidR="00E63838" w:rsidRPr="00807FB8" w:rsidRDefault="00FC47E9" w:rsidP="00FC47E9">
            <w:pPr>
              <w:pStyle w:val="Bullet1G"/>
              <w:numPr>
                <w:ilvl w:val="0"/>
                <w:numId w:val="0"/>
              </w:numPr>
              <w:spacing w:after="40" w:line="240" w:lineRule="auto"/>
              <w:ind w:left="168" w:right="171" w:hanging="145"/>
              <w:jc w:val="left"/>
              <w:rPr>
                <w:sz w:val="18"/>
                <w:szCs w:val="18"/>
                <w:shd w:val="clear" w:color="auto" w:fill="FFFFFF"/>
              </w:rPr>
            </w:pPr>
            <w:r w:rsidRPr="00807FB8">
              <w:rPr>
                <w:sz w:val="18"/>
                <w:szCs w:val="18"/>
              </w:rPr>
              <w:t>•</w:t>
            </w:r>
            <w:r w:rsidRPr="00807FB8">
              <w:rPr>
                <w:sz w:val="18"/>
                <w:szCs w:val="18"/>
              </w:rPr>
              <w:tab/>
            </w:r>
            <w:r w:rsidR="00E63838" w:rsidRPr="00807FB8">
              <w:rPr>
                <w:sz w:val="18"/>
                <w:szCs w:val="18"/>
                <w:shd w:val="clear" w:color="auto" w:fill="FFFFFF"/>
              </w:rPr>
              <w:t xml:space="preserve">Gross pathology: </w:t>
            </w:r>
            <w:r w:rsidR="00BB7790" w:rsidRPr="00807FB8">
              <w:rPr>
                <w:sz w:val="18"/>
                <w:szCs w:val="18"/>
                <w:shd w:val="clear" w:color="auto" w:fill="FFFFFF"/>
              </w:rPr>
              <w:t>B</w:t>
            </w:r>
            <w:r w:rsidR="00E63838" w:rsidRPr="00807FB8">
              <w:rPr>
                <w:sz w:val="18"/>
                <w:szCs w:val="18"/>
                <w:shd w:val="clear" w:color="auto" w:fill="FFFFFF"/>
              </w:rPr>
              <w:t>rown discoloration of the lungs.</w:t>
            </w:r>
          </w:p>
        </w:tc>
      </w:tr>
    </w:tbl>
    <w:p w14:paraId="1C44FCFA" w14:textId="77777777" w:rsidR="00E63838" w:rsidRPr="00707E19" w:rsidRDefault="00E63838" w:rsidP="00FC47E9">
      <w:pPr>
        <w:pStyle w:val="H4G"/>
      </w:pPr>
      <w:r>
        <w:tab/>
      </w:r>
      <w:r>
        <w:tab/>
      </w:r>
      <w:r w:rsidRPr="00707E19">
        <w:t xml:space="preserve">Specific </w:t>
      </w:r>
      <w:r w:rsidR="001A6F18">
        <w:t>t</w:t>
      </w:r>
      <w:r w:rsidRPr="00707E19">
        <w:t xml:space="preserve">arget </w:t>
      </w:r>
      <w:r w:rsidR="001A6F18">
        <w:t>o</w:t>
      </w:r>
      <w:r w:rsidRPr="00707E19">
        <w:t xml:space="preserve">rgan </w:t>
      </w:r>
      <w:r w:rsidR="001A6F18">
        <w:t>t</w:t>
      </w:r>
      <w:r w:rsidRPr="00707E19">
        <w:t xml:space="preserve">oxicity – </w:t>
      </w:r>
      <w:r w:rsidR="001A6F18">
        <w:t>r</w:t>
      </w:r>
      <w:r w:rsidRPr="00707E19">
        <w:t xml:space="preserve">epeated </w:t>
      </w:r>
      <w:r w:rsidR="00FC47E9">
        <w:t>e</w:t>
      </w:r>
      <w:r w:rsidRPr="00707E19">
        <w:t>xposure</w:t>
      </w:r>
    </w:p>
    <w:p w14:paraId="1DA9BA7F" w14:textId="77777777" w:rsidR="00E63838" w:rsidRPr="001A6F18" w:rsidRDefault="00E63838" w:rsidP="001A6F18">
      <w:pPr>
        <w:pStyle w:val="H56G"/>
      </w:pPr>
      <w:r w:rsidRPr="001A6F18">
        <w:tab/>
      </w:r>
      <w:r w:rsidRPr="001A6F18">
        <w:tab/>
        <w:t xml:space="preserve">Oral </w:t>
      </w:r>
      <w:r w:rsidR="00FC47E9" w:rsidRPr="001A6F18">
        <w:t>r</w:t>
      </w:r>
      <w:r w:rsidRPr="001A6F18">
        <w:t xml:space="preserve">oute of </w:t>
      </w:r>
      <w:r w:rsidR="00FC47E9" w:rsidRPr="001A6F18">
        <w:t>e</w:t>
      </w:r>
      <w:r w:rsidRPr="001A6F18">
        <w:t>xposure</w:t>
      </w:r>
    </w:p>
    <w:p w14:paraId="13644C0B" w14:textId="77777777" w:rsidR="00E63838" w:rsidRPr="00707E19" w:rsidRDefault="00E63838" w:rsidP="00E63838">
      <w:pPr>
        <w:pStyle w:val="SingleTxtG"/>
      </w:pPr>
      <w:r w:rsidRPr="00707E19">
        <w:t xml:space="preserve">28-day </w:t>
      </w:r>
      <w:r w:rsidR="001A6F18">
        <w:t>o</w:t>
      </w:r>
      <w:r w:rsidRPr="00707E19">
        <w:t xml:space="preserve">ral (gavage) Rat doses:  0; 1; 10; 50 mg/kg </w:t>
      </w:r>
      <w:proofErr w:type="spellStart"/>
      <w:r w:rsidRPr="00707E19">
        <w:t>bw</w:t>
      </w:r>
      <w:proofErr w:type="spellEnd"/>
      <w:r w:rsidRPr="00707E19">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88"/>
      </w:tblGrid>
      <w:tr w:rsidR="00E63838" w:rsidRPr="00807FB8" w14:paraId="7F602C1F" w14:textId="77777777" w:rsidTr="001A6F18">
        <w:trPr>
          <w:tblHeader/>
          <w:jc w:val="center"/>
        </w:trPr>
        <w:tc>
          <w:tcPr>
            <w:tcW w:w="1271" w:type="dxa"/>
            <w:shd w:val="clear" w:color="auto" w:fill="auto"/>
          </w:tcPr>
          <w:p w14:paraId="09C5F46D" w14:textId="77777777" w:rsidR="00E63838" w:rsidRPr="00807FB8" w:rsidRDefault="00E63838" w:rsidP="00FC47E9">
            <w:pPr>
              <w:jc w:val="center"/>
              <w:rPr>
                <w:rFonts w:asciiTheme="majorBidi" w:hAnsiTheme="majorBidi" w:cstheme="majorBidi"/>
                <w:b/>
                <w:bCs/>
              </w:rPr>
            </w:pPr>
            <w:r w:rsidRPr="00807FB8">
              <w:rPr>
                <w:rFonts w:asciiTheme="majorBidi" w:hAnsiTheme="majorBidi" w:cstheme="majorBidi"/>
                <w:b/>
                <w:bCs/>
              </w:rPr>
              <w:t xml:space="preserve">Dose </w:t>
            </w:r>
            <w:r w:rsidR="00FC47E9" w:rsidRPr="00807FB8">
              <w:rPr>
                <w:rFonts w:asciiTheme="majorBidi" w:hAnsiTheme="majorBidi" w:cstheme="majorBidi"/>
                <w:b/>
                <w:bCs/>
              </w:rPr>
              <w:t>l</w:t>
            </w:r>
            <w:r w:rsidRPr="00807FB8">
              <w:rPr>
                <w:rFonts w:asciiTheme="majorBidi" w:hAnsiTheme="majorBidi" w:cstheme="majorBidi"/>
                <w:b/>
                <w:bCs/>
              </w:rPr>
              <w:t>evel</w:t>
            </w:r>
          </w:p>
          <w:p w14:paraId="0A3EB671" w14:textId="77777777" w:rsidR="00E63838" w:rsidRPr="00807FB8" w:rsidRDefault="00E63838" w:rsidP="00FC47E9">
            <w:pPr>
              <w:jc w:val="center"/>
              <w:rPr>
                <w:rFonts w:asciiTheme="majorBidi" w:hAnsiTheme="majorBidi" w:cstheme="majorBidi"/>
                <w:b/>
                <w:bCs/>
              </w:rPr>
            </w:pPr>
            <w:r w:rsidRPr="00807FB8">
              <w:rPr>
                <w:rFonts w:asciiTheme="majorBidi" w:hAnsiTheme="majorBidi" w:cstheme="majorBidi"/>
                <w:b/>
                <w:bCs/>
              </w:rPr>
              <w:t xml:space="preserve">(mg/kg </w:t>
            </w:r>
            <w:proofErr w:type="spellStart"/>
            <w:r w:rsidRPr="00807FB8">
              <w:rPr>
                <w:rFonts w:asciiTheme="majorBidi" w:hAnsiTheme="majorBidi" w:cstheme="majorBidi"/>
                <w:b/>
                <w:bCs/>
              </w:rPr>
              <w:t>bw</w:t>
            </w:r>
            <w:proofErr w:type="spellEnd"/>
            <w:r w:rsidRPr="00807FB8">
              <w:rPr>
                <w:rFonts w:asciiTheme="majorBidi" w:hAnsiTheme="majorBidi" w:cstheme="majorBidi"/>
                <w:b/>
                <w:bCs/>
              </w:rPr>
              <w:t>)</w:t>
            </w:r>
          </w:p>
        </w:tc>
        <w:tc>
          <w:tcPr>
            <w:tcW w:w="7088" w:type="dxa"/>
            <w:shd w:val="clear" w:color="auto" w:fill="auto"/>
          </w:tcPr>
          <w:p w14:paraId="22E9D369" w14:textId="77777777" w:rsidR="00E63838" w:rsidRPr="00807FB8" w:rsidRDefault="00E63838" w:rsidP="00FC47E9">
            <w:pPr>
              <w:jc w:val="center"/>
              <w:rPr>
                <w:rFonts w:asciiTheme="majorBidi" w:hAnsiTheme="majorBidi" w:cstheme="majorBidi"/>
                <w:b/>
                <w:bCs/>
              </w:rPr>
            </w:pPr>
            <w:r w:rsidRPr="00807FB8">
              <w:rPr>
                <w:rFonts w:asciiTheme="majorBidi" w:hAnsiTheme="majorBidi" w:cstheme="majorBidi"/>
                <w:b/>
                <w:bCs/>
              </w:rPr>
              <w:t>Result</w:t>
            </w:r>
          </w:p>
        </w:tc>
      </w:tr>
      <w:tr w:rsidR="00E63838" w:rsidRPr="00807FB8" w14:paraId="5D71ABDC" w14:textId="77777777" w:rsidTr="001A6F18">
        <w:trPr>
          <w:jc w:val="center"/>
        </w:trPr>
        <w:tc>
          <w:tcPr>
            <w:tcW w:w="1271" w:type="dxa"/>
            <w:shd w:val="clear" w:color="auto" w:fill="auto"/>
          </w:tcPr>
          <w:p w14:paraId="27899E52" w14:textId="77777777" w:rsidR="00E63838" w:rsidRPr="00807FB8" w:rsidRDefault="00E63838" w:rsidP="00FC47E9">
            <w:pPr>
              <w:jc w:val="center"/>
              <w:rPr>
                <w:rFonts w:asciiTheme="majorBidi" w:hAnsiTheme="majorBidi" w:cstheme="majorBidi"/>
              </w:rPr>
            </w:pPr>
            <w:r w:rsidRPr="00807FB8">
              <w:rPr>
                <w:rFonts w:asciiTheme="majorBidi" w:hAnsiTheme="majorBidi" w:cstheme="majorBidi"/>
              </w:rPr>
              <w:t>50</w:t>
            </w:r>
          </w:p>
        </w:tc>
        <w:tc>
          <w:tcPr>
            <w:tcW w:w="7088" w:type="dxa"/>
            <w:shd w:val="clear" w:color="auto" w:fill="auto"/>
          </w:tcPr>
          <w:p w14:paraId="658B6968" w14:textId="77777777" w:rsidR="00E63838" w:rsidRPr="00807FB8" w:rsidRDefault="00FC47E9" w:rsidP="00FC47E9">
            <w:pPr>
              <w:pStyle w:val="Bullet1G"/>
              <w:numPr>
                <w:ilvl w:val="0"/>
                <w:numId w:val="0"/>
              </w:numPr>
              <w:spacing w:after="40" w:line="240" w:lineRule="auto"/>
              <w:ind w:left="315" w:hanging="284"/>
              <w:rPr>
                <w:rFonts w:asciiTheme="majorBidi" w:hAnsiTheme="majorBidi" w:cstheme="majorBidi"/>
              </w:rPr>
            </w:pPr>
            <w:r w:rsidRPr="00807FB8">
              <w:rPr>
                <w:rFonts w:asciiTheme="majorBidi" w:hAnsiTheme="majorBidi" w:cstheme="majorBidi"/>
              </w:rPr>
              <w:t>•</w:t>
            </w:r>
            <w:r w:rsidRPr="00807FB8">
              <w:rPr>
                <w:rFonts w:asciiTheme="majorBidi" w:hAnsiTheme="majorBidi" w:cstheme="majorBidi"/>
              </w:rPr>
              <w:tab/>
            </w:r>
            <w:r w:rsidR="00E63838" w:rsidRPr="00807FB8">
              <w:rPr>
                <w:rFonts w:asciiTheme="majorBidi" w:hAnsiTheme="majorBidi" w:cstheme="majorBidi"/>
              </w:rPr>
              <w:t>Mortality: 6/16 animals – Target organs: liver and kidney toxicity responsible for mortality</w:t>
            </w:r>
          </w:p>
          <w:p w14:paraId="3057AEC6" w14:textId="77777777" w:rsidR="00E63838" w:rsidRPr="00807FB8" w:rsidRDefault="00FC47E9" w:rsidP="00FC47E9">
            <w:pPr>
              <w:suppressAutoHyphens w:val="0"/>
              <w:kinsoku/>
              <w:overflowPunct/>
              <w:autoSpaceDE/>
              <w:autoSpaceDN/>
              <w:adjustRightInd/>
              <w:snapToGrid/>
              <w:spacing w:after="40" w:line="240" w:lineRule="auto"/>
              <w:ind w:left="699" w:hanging="360"/>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 xml:space="preserve">Diffuse hepatic necrosis and renal tubular degeneration </w:t>
            </w:r>
          </w:p>
          <w:p w14:paraId="2ED89C4D" w14:textId="77777777" w:rsidR="00E63838" w:rsidRPr="00807FB8" w:rsidRDefault="00FC47E9" w:rsidP="00FC47E9">
            <w:pPr>
              <w:suppressAutoHyphens w:val="0"/>
              <w:kinsoku/>
              <w:overflowPunct/>
              <w:autoSpaceDE/>
              <w:autoSpaceDN/>
              <w:adjustRightInd/>
              <w:snapToGrid/>
              <w:spacing w:after="40" w:line="240" w:lineRule="auto"/>
              <w:ind w:left="697" w:hanging="357"/>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 xml:space="preserve">Absolute and relative liver weights and relative kidney weights of both sexes was significantly increased. The absolute kidney weights were increased in females only.  </w:t>
            </w:r>
          </w:p>
          <w:p w14:paraId="46F0FC8E" w14:textId="77777777" w:rsidR="00E63838" w:rsidRPr="00807FB8" w:rsidRDefault="00FC47E9" w:rsidP="00FC47E9">
            <w:pPr>
              <w:pStyle w:val="Bullet1G"/>
              <w:numPr>
                <w:ilvl w:val="0"/>
                <w:numId w:val="0"/>
              </w:numPr>
              <w:spacing w:after="40" w:line="240" w:lineRule="auto"/>
              <w:ind w:left="315" w:hanging="284"/>
              <w:rPr>
                <w:rFonts w:asciiTheme="majorBidi" w:hAnsiTheme="majorBidi" w:cstheme="majorBidi"/>
              </w:rPr>
            </w:pPr>
            <w:r w:rsidRPr="00807FB8">
              <w:rPr>
                <w:rFonts w:asciiTheme="majorBidi" w:hAnsiTheme="majorBidi" w:cstheme="majorBidi"/>
              </w:rPr>
              <w:t>•</w:t>
            </w:r>
            <w:r w:rsidRPr="00807FB8">
              <w:rPr>
                <w:rFonts w:asciiTheme="majorBidi" w:hAnsiTheme="majorBidi" w:cstheme="majorBidi"/>
              </w:rPr>
              <w:tab/>
            </w:r>
            <w:r w:rsidR="001A6F18" w:rsidRPr="00807FB8">
              <w:rPr>
                <w:rFonts w:asciiTheme="majorBidi" w:hAnsiTheme="majorBidi" w:cstheme="majorBidi"/>
              </w:rPr>
              <w:t>Haematology</w:t>
            </w:r>
            <w:r w:rsidR="00E63838" w:rsidRPr="00807FB8">
              <w:rPr>
                <w:rFonts w:asciiTheme="majorBidi" w:hAnsiTheme="majorBidi" w:cstheme="majorBidi"/>
              </w:rPr>
              <w:t xml:space="preserve"> treatment-related effects:  </w:t>
            </w:r>
          </w:p>
          <w:p w14:paraId="2615B179" w14:textId="77777777" w:rsidR="00E63838" w:rsidRPr="00807FB8" w:rsidRDefault="00FC47E9" w:rsidP="00FC47E9">
            <w:pPr>
              <w:suppressAutoHyphens w:val="0"/>
              <w:kinsoku/>
              <w:overflowPunct/>
              <w:autoSpaceDE/>
              <w:autoSpaceDN/>
              <w:adjustRightInd/>
              <w:snapToGrid/>
              <w:spacing w:after="40" w:line="240" w:lineRule="auto"/>
              <w:ind w:left="699" w:hanging="360"/>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 xml:space="preserve">Decrease in red blood cell count of about 10% in males and 11% in females, </w:t>
            </w:r>
          </w:p>
          <w:p w14:paraId="2946394A" w14:textId="77777777" w:rsidR="00E63838" w:rsidRPr="00807FB8" w:rsidRDefault="00FC47E9" w:rsidP="00FC47E9">
            <w:pPr>
              <w:suppressAutoHyphens w:val="0"/>
              <w:kinsoku/>
              <w:overflowPunct/>
              <w:autoSpaceDE/>
              <w:autoSpaceDN/>
              <w:adjustRightInd/>
              <w:snapToGrid/>
              <w:spacing w:after="40" w:line="240" w:lineRule="auto"/>
              <w:ind w:left="699" w:hanging="360"/>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 xml:space="preserve">Decreased in </w:t>
            </w:r>
            <w:r w:rsidR="00EA290D" w:rsidRPr="00807FB8">
              <w:rPr>
                <w:rFonts w:asciiTheme="majorBidi" w:hAnsiTheme="majorBidi" w:cstheme="majorBidi"/>
              </w:rPr>
              <w:t>haematocrit</w:t>
            </w:r>
            <w:r w:rsidR="00E63838" w:rsidRPr="00807FB8">
              <w:rPr>
                <w:rFonts w:asciiTheme="majorBidi" w:hAnsiTheme="majorBidi" w:cstheme="majorBidi"/>
              </w:rPr>
              <w:t xml:space="preserve"> concentration of 5% and </w:t>
            </w:r>
            <w:r w:rsidR="00EA290D" w:rsidRPr="00807FB8">
              <w:rPr>
                <w:rFonts w:asciiTheme="majorBidi" w:hAnsiTheme="majorBidi" w:cstheme="majorBidi"/>
              </w:rPr>
              <w:t>haemoglobin</w:t>
            </w:r>
            <w:r w:rsidR="00E63838" w:rsidRPr="00807FB8">
              <w:rPr>
                <w:rFonts w:asciiTheme="majorBidi" w:hAnsiTheme="majorBidi" w:cstheme="majorBidi"/>
              </w:rPr>
              <w:t xml:space="preserve"> of 3% in females,  </w:t>
            </w:r>
          </w:p>
          <w:p w14:paraId="0610868E" w14:textId="77777777" w:rsidR="00E63838" w:rsidRPr="00807FB8" w:rsidRDefault="00FC47E9" w:rsidP="00FC47E9">
            <w:pPr>
              <w:suppressAutoHyphens w:val="0"/>
              <w:kinsoku/>
              <w:overflowPunct/>
              <w:autoSpaceDE/>
              <w:autoSpaceDN/>
              <w:adjustRightInd/>
              <w:snapToGrid/>
              <w:spacing w:after="40" w:line="240" w:lineRule="auto"/>
              <w:ind w:left="699" w:hanging="360"/>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 xml:space="preserve">Elevated reticulocyte </w:t>
            </w:r>
            <w:proofErr w:type="gramStart"/>
            <w:r w:rsidR="00E63838" w:rsidRPr="00807FB8">
              <w:rPr>
                <w:rFonts w:asciiTheme="majorBidi" w:hAnsiTheme="majorBidi" w:cstheme="majorBidi"/>
              </w:rPr>
              <w:t>count</w:t>
            </w:r>
            <w:proofErr w:type="gramEnd"/>
            <w:r w:rsidR="00E63838" w:rsidRPr="00807FB8">
              <w:rPr>
                <w:rFonts w:asciiTheme="majorBidi" w:hAnsiTheme="majorBidi" w:cstheme="majorBidi"/>
              </w:rPr>
              <w:t xml:space="preserve"> and leukocyte count in both sexes, </w:t>
            </w:r>
          </w:p>
          <w:p w14:paraId="4306B1AE" w14:textId="77777777" w:rsidR="00E63838" w:rsidRPr="00807FB8" w:rsidRDefault="00FC47E9" w:rsidP="00FC47E9">
            <w:pPr>
              <w:suppressAutoHyphens w:val="0"/>
              <w:kinsoku/>
              <w:overflowPunct/>
              <w:autoSpaceDE/>
              <w:autoSpaceDN/>
              <w:adjustRightInd/>
              <w:snapToGrid/>
              <w:spacing w:after="40" w:line="240" w:lineRule="auto"/>
              <w:ind w:left="699" w:hanging="360"/>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Increased total serum protein content in females,</w:t>
            </w:r>
          </w:p>
          <w:p w14:paraId="72DB2D9C" w14:textId="77777777" w:rsidR="00E63838" w:rsidRPr="00807FB8" w:rsidRDefault="00FC47E9" w:rsidP="00FC47E9">
            <w:pPr>
              <w:suppressAutoHyphens w:val="0"/>
              <w:kinsoku/>
              <w:overflowPunct/>
              <w:autoSpaceDE/>
              <w:autoSpaceDN/>
              <w:adjustRightInd/>
              <w:snapToGrid/>
              <w:spacing w:after="40" w:line="240" w:lineRule="auto"/>
              <w:ind w:left="697" w:hanging="357"/>
              <w:rPr>
                <w:rFonts w:asciiTheme="majorBidi" w:hAnsiTheme="majorBidi" w:cstheme="majorBidi"/>
              </w:rPr>
            </w:pPr>
            <w:r w:rsidRPr="00807FB8">
              <w:rPr>
                <w:rFonts w:asciiTheme="majorBidi" w:hAnsiTheme="majorBidi" w:cstheme="majorBidi"/>
              </w:rPr>
              <w:t>o</w:t>
            </w:r>
            <w:r w:rsidRPr="00807FB8">
              <w:rPr>
                <w:rFonts w:asciiTheme="majorBidi" w:hAnsiTheme="majorBidi" w:cstheme="majorBidi"/>
              </w:rPr>
              <w:tab/>
            </w:r>
            <w:r w:rsidR="00E63838" w:rsidRPr="00807FB8">
              <w:rPr>
                <w:rFonts w:asciiTheme="majorBidi" w:hAnsiTheme="majorBidi" w:cstheme="majorBidi"/>
              </w:rPr>
              <w:t xml:space="preserve">These effects are regarded as “slight </w:t>
            </w:r>
            <w:proofErr w:type="spellStart"/>
            <w:r w:rsidR="00E63838" w:rsidRPr="00807FB8">
              <w:rPr>
                <w:rFonts w:asciiTheme="majorBidi" w:hAnsiTheme="majorBidi" w:cstheme="majorBidi"/>
              </w:rPr>
              <w:t>haematotoxicity</w:t>
            </w:r>
            <w:proofErr w:type="spellEnd"/>
            <w:r w:rsidR="00E63838" w:rsidRPr="00807FB8">
              <w:rPr>
                <w:rFonts w:asciiTheme="majorBidi" w:hAnsiTheme="majorBidi" w:cstheme="majorBidi"/>
              </w:rPr>
              <w:t xml:space="preserve">”. </w:t>
            </w:r>
          </w:p>
        </w:tc>
      </w:tr>
      <w:tr w:rsidR="00E63838" w:rsidRPr="00807FB8" w14:paraId="256EF667" w14:textId="77777777" w:rsidTr="001A6F18">
        <w:trPr>
          <w:jc w:val="center"/>
        </w:trPr>
        <w:tc>
          <w:tcPr>
            <w:tcW w:w="1271" w:type="dxa"/>
            <w:shd w:val="clear" w:color="auto" w:fill="auto"/>
          </w:tcPr>
          <w:p w14:paraId="6CDB103A" w14:textId="77777777" w:rsidR="00E63838" w:rsidRPr="00807FB8" w:rsidRDefault="00E63838" w:rsidP="00C77843">
            <w:pPr>
              <w:keepNext/>
              <w:keepLines/>
              <w:jc w:val="center"/>
              <w:rPr>
                <w:rFonts w:asciiTheme="majorBidi" w:hAnsiTheme="majorBidi" w:cstheme="majorBidi"/>
              </w:rPr>
            </w:pPr>
            <w:r w:rsidRPr="00807FB8">
              <w:rPr>
                <w:rFonts w:asciiTheme="majorBidi" w:hAnsiTheme="majorBidi" w:cstheme="majorBidi"/>
              </w:rPr>
              <w:t>10</w:t>
            </w:r>
          </w:p>
        </w:tc>
        <w:tc>
          <w:tcPr>
            <w:tcW w:w="7088" w:type="dxa"/>
            <w:shd w:val="clear" w:color="auto" w:fill="auto"/>
          </w:tcPr>
          <w:p w14:paraId="2B0A8432" w14:textId="77777777" w:rsidR="00E63838" w:rsidRPr="00807FB8" w:rsidRDefault="00E63838" w:rsidP="00C77843">
            <w:pPr>
              <w:keepNext/>
              <w:keepLines/>
              <w:rPr>
                <w:rFonts w:asciiTheme="majorBidi" w:hAnsiTheme="majorBidi" w:cstheme="majorBidi"/>
              </w:rPr>
            </w:pPr>
            <w:r w:rsidRPr="00807FB8">
              <w:rPr>
                <w:rFonts w:asciiTheme="majorBidi" w:hAnsiTheme="majorBidi" w:cstheme="majorBidi"/>
              </w:rPr>
              <w:t>LOEL</w:t>
            </w:r>
            <w:r w:rsidR="001A6F18" w:rsidRPr="00807FB8">
              <w:rPr>
                <w:rFonts w:asciiTheme="majorBidi" w:hAnsiTheme="majorBidi" w:cstheme="majorBidi"/>
              </w:rPr>
              <w:t xml:space="preserve"> (</w:t>
            </w:r>
            <w:r w:rsidR="00EE6F29" w:rsidRPr="00807FB8">
              <w:rPr>
                <w:rFonts w:asciiTheme="majorBidi" w:hAnsiTheme="majorBidi" w:cstheme="majorBidi"/>
              </w:rPr>
              <w:t>Lowest Observed Effect Concentration)</w:t>
            </w:r>
          </w:p>
          <w:p w14:paraId="4D7E4735" w14:textId="77777777" w:rsidR="00E63838" w:rsidRPr="00807FB8" w:rsidRDefault="00FC47E9" w:rsidP="00FC47E9">
            <w:pPr>
              <w:pStyle w:val="Bullet1G"/>
              <w:keepNext/>
              <w:keepLines/>
              <w:numPr>
                <w:ilvl w:val="0"/>
                <w:numId w:val="0"/>
              </w:numPr>
              <w:ind w:left="315" w:hanging="315"/>
              <w:rPr>
                <w:rFonts w:asciiTheme="majorBidi" w:hAnsiTheme="majorBidi" w:cstheme="majorBidi"/>
              </w:rPr>
            </w:pPr>
            <w:r w:rsidRPr="00807FB8">
              <w:rPr>
                <w:rFonts w:asciiTheme="majorBidi" w:hAnsiTheme="majorBidi" w:cstheme="majorBidi"/>
              </w:rPr>
              <w:t>•</w:t>
            </w:r>
            <w:r w:rsidRPr="00807FB8">
              <w:rPr>
                <w:rFonts w:asciiTheme="majorBidi" w:hAnsiTheme="majorBidi" w:cstheme="majorBidi"/>
              </w:rPr>
              <w:tab/>
            </w:r>
            <w:r w:rsidR="00E63838" w:rsidRPr="00807FB8">
              <w:rPr>
                <w:rFonts w:asciiTheme="majorBidi" w:hAnsiTheme="majorBidi" w:cstheme="majorBidi"/>
              </w:rPr>
              <w:t>Increased liver weight (not statistically significant)</w:t>
            </w:r>
          </w:p>
          <w:p w14:paraId="007E9C51" w14:textId="77777777" w:rsidR="00E63838" w:rsidRPr="00807FB8" w:rsidRDefault="00FC47E9" w:rsidP="00FC47E9">
            <w:pPr>
              <w:pStyle w:val="Bullet1G"/>
              <w:keepNext/>
              <w:keepLines/>
              <w:numPr>
                <w:ilvl w:val="0"/>
                <w:numId w:val="0"/>
              </w:numPr>
              <w:ind w:left="315" w:hanging="315"/>
              <w:rPr>
                <w:rFonts w:asciiTheme="majorBidi" w:hAnsiTheme="majorBidi" w:cstheme="majorBidi"/>
              </w:rPr>
            </w:pPr>
            <w:r w:rsidRPr="00807FB8">
              <w:rPr>
                <w:rFonts w:asciiTheme="majorBidi" w:hAnsiTheme="majorBidi" w:cstheme="majorBidi"/>
              </w:rPr>
              <w:t>•</w:t>
            </w:r>
            <w:r w:rsidRPr="00807FB8">
              <w:rPr>
                <w:rFonts w:asciiTheme="majorBidi" w:hAnsiTheme="majorBidi" w:cstheme="majorBidi"/>
              </w:rPr>
              <w:tab/>
            </w:r>
            <w:r w:rsidR="00E63838" w:rsidRPr="00807FB8">
              <w:rPr>
                <w:rFonts w:asciiTheme="majorBidi" w:hAnsiTheme="majorBidi" w:cstheme="majorBidi"/>
              </w:rPr>
              <w:t>Hepatic and splenic changes (severity not given)</w:t>
            </w:r>
          </w:p>
          <w:p w14:paraId="143F7DA9" w14:textId="77777777" w:rsidR="00E63838" w:rsidRPr="00807FB8" w:rsidRDefault="00FC47E9" w:rsidP="00FC47E9">
            <w:pPr>
              <w:pStyle w:val="Bullet1G"/>
              <w:keepNext/>
              <w:keepLines/>
              <w:numPr>
                <w:ilvl w:val="0"/>
                <w:numId w:val="0"/>
              </w:numPr>
              <w:ind w:left="315" w:hanging="315"/>
              <w:rPr>
                <w:rFonts w:asciiTheme="majorBidi" w:hAnsiTheme="majorBidi" w:cstheme="majorBidi"/>
              </w:rPr>
            </w:pPr>
            <w:r w:rsidRPr="00807FB8">
              <w:rPr>
                <w:rFonts w:asciiTheme="majorBidi" w:hAnsiTheme="majorBidi" w:cstheme="majorBidi"/>
              </w:rPr>
              <w:t>•</w:t>
            </w:r>
            <w:r w:rsidRPr="00807FB8">
              <w:rPr>
                <w:rFonts w:asciiTheme="majorBidi" w:hAnsiTheme="majorBidi" w:cstheme="majorBidi"/>
              </w:rPr>
              <w:tab/>
            </w:r>
            <w:r w:rsidR="00E63838" w:rsidRPr="00807FB8">
              <w:rPr>
                <w:rFonts w:asciiTheme="majorBidi" w:hAnsiTheme="majorBidi" w:cstheme="majorBidi"/>
              </w:rPr>
              <w:t>Diminished Red Blood Count (RBC) (no other changes in blood chemistry)</w:t>
            </w:r>
          </w:p>
          <w:p w14:paraId="62C472A4" w14:textId="77777777" w:rsidR="00E63838" w:rsidRPr="00807FB8" w:rsidRDefault="00FC47E9" w:rsidP="00FC47E9">
            <w:pPr>
              <w:pStyle w:val="Bullet1G"/>
              <w:keepNext/>
              <w:keepLines/>
              <w:numPr>
                <w:ilvl w:val="0"/>
                <w:numId w:val="0"/>
              </w:numPr>
              <w:ind w:left="315" w:hanging="315"/>
              <w:rPr>
                <w:rFonts w:asciiTheme="majorBidi" w:hAnsiTheme="majorBidi" w:cstheme="majorBidi"/>
              </w:rPr>
            </w:pPr>
            <w:r w:rsidRPr="00807FB8">
              <w:rPr>
                <w:rFonts w:asciiTheme="majorBidi" w:hAnsiTheme="majorBidi" w:cstheme="majorBidi"/>
              </w:rPr>
              <w:t>•</w:t>
            </w:r>
            <w:r w:rsidRPr="00807FB8">
              <w:rPr>
                <w:rFonts w:asciiTheme="majorBidi" w:hAnsiTheme="majorBidi" w:cstheme="majorBidi"/>
              </w:rPr>
              <w:tab/>
            </w:r>
            <w:r w:rsidR="00E63838" w:rsidRPr="00807FB8">
              <w:rPr>
                <w:rFonts w:asciiTheme="majorBidi" w:hAnsiTheme="majorBidi" w:cstheme="majorBidi"/>
              </w:rPr>
              <w:t>Histopathology:  In 5/20 animals swelling of parenchymal cells and increased polymorphism of the hepatocyte and their nuclei.  These effects are regarded as not “significant or severe”.</w:t>
            </w:r>
          </w:p>
        </w:tc>
      </w:tr>
      <w:tr w:rsidR="00E63838" w:rsidRPr="00807FB8" w14:paraId="05BAC97C" w14:textId="77777777" w:rsidTr="001A6F18">
        <w:trPr>
          <w:jc w:val="center"/>
        </w:trPr>
        <w:tc>
          <w:tcPr>
            <w:tcW w:w="1271" w:type="dxa"/>
            <w:shd w:val="clear" w:color="auto" w:fill="auto"/>
          </w:tcPr>
          <w:p w14:paraId="2CEF901B" w14:textId="77777777" w:rsidR="00E63838" w:rsidRPr="00807FB8" w:rsidRDefault="00E63838" w:rsidP="00BB7790">
            <w:pPr>
              <w:spacing w:before="60" w:after="60"/>
              <w:jc w:val="center"/>
              <w:rPr>
                <w:rFonts w:asciiTheme="majorBidi" w:hAnsiTheme="majorBidi" w:cstheme="majorBidi"/>
              </w:rPr>
            </w:pPr>
            <w:r w:rsidRPr="00807FB8">
              <w:rPr>
                <w:rFonts w:asciiTheme="majorBidi" w:hAnsiTheme="majorBidi" w:cstheme="majorBidi"/>
              </w:rPr>
              <w:t>1</w:t>
            </w:r>
          </w:p>
        </w:tc>
        <w:tc>
          <w:tcPr>
            <w:tcW w:w="7088" w:type="dxa"/>
            <w:shd w:val="clear" w:color="auto" w:fill="auto"/>
          </w:tcPr>
          <w:p w14:paraId="7D78289B" w14:textId="77777777" w:rsidR="00E63838" w:rsidRPr="00807FB8" w:rsidRDefault="00E63838" w:rsidP="00BB7790">
            <w:pPr>
              <w:spacing w:before="60" w:after="60"/>
              <w:rPr>
                <w:rFonts w:asciiTheme="majorBidi" w:hAnsiTheme="majorBidi" w:cstheme="majorBidi"/>
              </w:rPr>
            </w:pPr>
            <w:r w:rsidRPr="00807FB8">
              <w:rPr>
                <w:rFonts w:asciiTheme="majorBidi" w:hAnsiTheme="majorBidi" w:cstheme="majorBidi"/>
              </w:rPr>
              <w:t>NOEL</w:t>
            </w:r>
            <w:r w:rsidR="00EE6F29" w:rsidRPr="00807FB8">
              <w:rPr>
                <w:rFonts w:asciiTheme="majorBidi" w:hAnsiTheme="majorBidi" w:cstheme="majorBidi"/>
              </w:rPr>
              <w:t xml:space="preserve"> (No Observable Effect Concentration)</w:t>
            </w:r>
          </w:p>
        </w:tc>
      </w:tr>
    </w:tbl>
    <w:p w14:paraId="69D0413B" w14:textId="77777777" w:rsidR="005F7D2C" w:rsidRPr="00707E19" w:rsidRDefault="005F7D2C" w:rsidP="005F7D2C">
      <w:pPr>
        <w:pStyle w:val="SingleTxtG"/>
        <w:spacing w:before="120"/>
      </w:pPr>
      <w:r w:rsidRPr="00707E19">
        <w:t xml:space="preserve">The liver and kidney effects at the 50 mg/kg </w:t>
      </w:r>
      <w:proofErr w:type="spellStart"/>
      <w:r w:rsidRPr="00707E19">
        <w:t>bw</w:t>
      </w:r>
      <w:proofErr w:type="spellEnd"/>
      <w:r w:rsidRPr="00707E19">
        <w:t xml:space="preserve"> dose group are significant effects.</w:t>
      </w:r>
    </w:p>
    <w:p w14:paraId="7563748F" w14:textId="77777777" w:rsidR="005F7D2C" w:rsidRPr="00707E19" w:rsidRDefault="005F7D2C" w:rsidP="00807FB8">
      <w:pPr>
        <w:pStyle w:val="H23G"/>
      </w:pPr>
      <w:r>
        <w:lastRenderedPageBreak/>
        <w:tab/>
      </w:r>
      <w:r>
        <w:tab/>
      </w:r>
      <w:r w:rsidRPr="00707E19">
        <w:t>Answer</w:t>
      </w:r>
    </w:p>
    <w:p w14:paraId="037B8305" w14:textId="77777777" w:rsidR="005F7D2C" w:rsidRPr="00707E19" w:rsidRDefault="005F7D2C" w:rsidP="00807FB8">
      <w:pPr>
        <w:pStyle w:val="SingleTxtG"/>
        <w:keepNext/>
        <w:keepLines/>
      </w:pPr>
      <w:r w:rsidRPr="00707E19">
        <w:t xml:space="preserve">Acute </w:t>
      </w:r>
      <w:r w:rsidR="00EE6F29">
        <w:t>o</w:t>
      </w:r>
      <w:r w:rsidRPr="00707E19">
        <w:t xml:space="preserve">ral </w:t>
      </w:r>
      <w:r w:rsidR="00EE6F29">
        <w:t>t</w:t>
      </w:r>
      <w:r w:rsidRPr="00707E19">
        <w:t>oxicity</w:t>
      </w:r>
      <w:r w:rsidR="00EE6F29">
        <w:t>,</w:t>
      </w:r>
      <w:r w:rsidRPr="00707E19">
        <w:t xml:space="preserve"> Category 3</w:t>
      </w:r>
    </w:p>
    <w:p w14:paraId="345E0E0A" w14:textId="77777777" w:rsidR="005F7D2C" w:rsidRPr="00707E19" w:rsidRDefault="005F7D2C" w:rsidP="00807FB8">
      <w:pPr>
        <w:pStyle w:val="SingleTxtG"/>
        <w:keepNext/>
        <w:keepLines/>
      </w:pPr>
      <w:r w:rsidRPr="00707E19">
        <w:t xml:space="preserve">Acute </w:t>
      </w:r>
      <w:r w:rsidR="00EE6F29">
        <w:t>i</w:t>
      </w:r>
      <w:r w:rsidRPr="00707E19">
        <w:t xml:space="preserve">nhalation </w:t>
      </w:r>
      <w:r w:rsidR="00EE6F29">
        <w:t>t</w:t>
      </w:r>
      <w:r w:rsidRPr="00707E19">
        <w:t>oxicity</w:t>
      </w:r>
      <w:r w:rsidR="00EE6F29">
        <w:t>,</w:t>
      </w:r>
      <w:r w:rsidRPr="00707E19">
        <w:t xml:space="preserve"> Category 3</w:t>
      </w:r>
    </w:p>
    <w:p w14:paraId="174D6A74" w14:textId="77777777" w:rsidR="005F7D2C" w:rsidRPr="00707E19" w:rsidRDefault="005F7D2C" w:rsidP="00807FB8">
      <w:pPr>
        <w:pStyle w:val="SingleTxtG"/>
        <w:keepNext/>
        <w:keepLines/>
      </w:pPr>
      <w:r w:rsidRPr="00707E19">
        <w:t xml:space="preserve">Specific </w:t>
      </w:r>
      <w:r w:rsidR="00EE6F29">
        <w:t>t</w:t>
      </w:r>
      <w:r w:rsidRPr="00707E19">
        <w:t xml:space="preserve">arget </w:t>
      </w:r>
      <w:r w:rsidR="00EE6F29">
        <w:t>o</w:t>
      </w:r>
      <w:r w:rsidRPr="00707E19">
        <w:t xml:space="preserve">rgan </w:t>
      </w:r>
      <w:r w:rsidR="00EE6F29">
        <w:t>t</w:t>
      </w:r>
      <w:r w:rsidRPr="00707E19">
        <w:t xml:space="preserve">oxicity – Repeated </w:t>
      </w:r>
      <w:r w:rsidR="00EE6F29">
        <w:t>e</w:t>
      </w:r>
      <w:r w:rsidRPr="00707E19">
        <w:t>xposure</w:t>
      </w:r>
      <w:r w:rsidR="00EE6F29">
        <w:t>,</w:t>
      </w:r>
      <w:r w:rsidRPr="00707E19">
        <w:t xml:space="preserve"> Category 2 </w:t>
      </w:r>
    </w:p>
    <w:p w14:paraId="0FF9AF4C" w14:textId="77777777" w:rsidR="005F7D2C" w:rsidRPr="00707E19" w:rsidRDefault="005F7D2C" w:rsidP="005F7D2C">
      <w:pPr>
        <w:pStyle w:val="SingleTxtG"/>
      </w:pPr>
      <w:r w:rsidRPr="00707E19">
        <w:t xml:space="preserve">(Target </w:t>
      </w:r>
      <w:r w:rsidR="00EE6F29">
        <w:t>o</w:t>
      </w:r>
      <w:r w:rsidRPr="00707E19">
        <w:t xml:space="preserve">rgans:  </w:t>
      </w:r>
      <w:r w:rsidR="00EE6F29">
        <w:t>l</w:t>
      </w:r>
      <w:r w:rsidRPr="00707E19">
        <w:t xml:space="preserve">iver, </w:t>
      </w:r>
      <w:r w:rsidR="00EE6F29">
        <w:t>k</w:t>
      </w:r>
      <w:r w:rsidRPr="00707E19">
        <w:t>idney)</w:t>
      </w:r>
    </w:p>
    <w:p w14:paraId="78C6B133" w14:textId="77777777" w:rsidR="005F7D2C" w:rsidRPr="00707E19" w:rsidRDefault="005F7D2C" w:rsidP="005F7D2C">
      <w:pPr>
        <w:pStyle w:val="H23G"/>
      </w:pPr>
      <w:r>
        <w:tab/>
      </w:r>
      <w:r>
        <w:tab/>
      </w:r>
      <w:r w:rsidRPr="00707E19">
        <w:t xml:space="preserve">Rationale </w:t>
      </w:r>
    </w:p>
    <w:p w14:paraId="7988F360" w14:textId="77777777" w:rsidR="005F7D2C" w:rsidRPr="00707E19" w:rsidRDefault="005F7D2C" w:rsidP="00EE6F29">
      <w:pPr>
        <w:pStyle w:val="H4G"/>
      </w:pPr>
      <w:r>
        <w:tab/>
      </w:r>
      <w:r w:rsidR="00EE6F29">
        <w:t>(a)</w:t>
      </w:r>
      <w:r w:rsidR="00EE6F29">
        <w:tab/>
      </w:r>
      <w:r w:rsidRPr="00707E19">
        <w:t xml:space="preserve">Acute </w:t>
      </w:r>
      <w:r w:rsidR="00EE6F29">
        <w:t>o</w:t>
      </w:r>
      <w:r w:rsidRPr="00707E19">
        <w:t xml:space="preserve">ral </w:t>
      </w:r>
      <w:r w:rsidR="00EE6F29">
        <w:t>t</w:t>
      </w:r>
      <w:r w:rsidRPr="00707E19">
        <w:t>oxicity</w:t>
      </w:r>
    </w:p>
    <w:p w14:paraId="15EDA1D7" w14:textId="77777777" w:rsidR="005F7D2C" w:rsidRPr="00707E19" w:rsidRDefault="005F7D2C" w:rsidP="005F7D2C">
      <w:pPr>
        <w:pStyle w:val="SingleTxtG"/>
      </w:pPr>
      <w:r w:rsidRPr="00707E19">
        <w:t>Classification via application of criteria in GHS Table 3.1.1 is possible. The study used the preferred test species (</w:t>
      </w:r>
      <w:r>
        <w:t>i.e.,</w:t>
      </w:r>
      <w:r w:rsidRPr="00707E19">
        <w:t xml:space="preserve"> rat) as noted in paragraph 3.1.2.3 and the Oral (rat) LD</w:t>
      </w:r>
      <w:r w:rsidRPr="00707E19">
        <w:rPr>
          <w:vertAlign w:val="subscript"/>
        </w:rPr>
        <w:t>50</w:t>
      </w:r>
      <w:r w:rsidRPr="00707E19">
        <w:t xml:space="preserve"> of 254 is within the Category 3 range of 50 &lt; ATE </w:t>
      </w:r>
      <w:r w:rsidRPr="00707E19">
        <w:sym w:font="Symbol" w:char="F0A3"/>
      </w:r>
      <w:r w:rsidRPr="00707E19">
        <w:t xml:space="preserve"> 300 resulting in a Category 3 classification via the oral route.  </w:t>
      </w:r>
    </w:p>
    <w:p w14:paraId="5866613D" w14:textId="77777777" w:rsidR="005F7D2C" w:rsidRPr="00707E19" w:rsidRDefault="005F7D2C" w:rsidP="00EE6F29">
      <w:pPr>
        <w:pStyle w:val="H4G"/>
      </w:pPr>
      <w:r>
        <w:tab/>
      </w:r>
      <w:r w:rsidR="00EE6F29">
        <w:t>(b)</w:t>
      </w:r>
      <w:r>
        <w:tab/>
      </w:r>
      <w:r w:rsidRPr="00707E19">
        <w:t xml:space="preserve">Acute </w:t>
      </w:r>
      <w:r w:rsidR="00EE6F29">
        <w:t>i</w:t>
      </w:r>
      <w:r w:rsidRPr="00707E19">
        <w:t xml:space="preserve">nhalation </w:t>
      </w:r>
      <w:r w:rsidR="00EE6F29">
        <w:t>t</w:t>
      </w:r>
      <w:r w:rsidRPr="00707E19">
        <w:t>oxicity</w:t>
      </w:r>
    </w:p>
    <w:p w14:paraId="6AAD3A79" w14:textId="77777777" w:rsidR="005F7D2C" w:rsidRPr="00707E19" w:rsidRDefault="005F7D2C" w:rsidP="005F7D2C">
      <w:pPr>
        <w:pStyle w:val="SingleTxtG"/>
      </w:pPr>
      <w:r w:rsidRPr="00707E19">
        <w:t>Classification via application of criteria in GHS Table 3.1.1 is possible. The study used the preferred test species (</w:t>
      </w:r>
      <w:r>
        <w:t>i.e.,</w:t>
      </w:r>
      <w:r w:rsidRPr="00707E19">
        <w:t xml:space="preserve"> rat) as noted in paragraph 3.1.2.3 and the Inhalation (aerosol) (Rat) LC</w:t>
      </w:r>
      <w:r w:rsidRPr="00707E19">
        <w:rPr>
          <w:vertAlign w:val="subscript"/>
        </w:rPr>
        <w:t>50</w:t>
      </w:r>
      <w:r w:rsidRPr="00707E19">
        <w:t xml:space="preserve"> of 0.89 is within the Category 3 range of 0.5 &lt; ATE </w:t>
      </w:r>
      <w:r w:rsidRPr="00707E19">
        <w:sym w:font="Symbol" w:char="F0A3"/>
      </w:r>
      <w:r w:rsidRPr="00707E19">
        <w:t xml:space="preserve"> 1.0 resulting in a Category 3 classification via inhalation.  </w:t>
      </w:r>
    </w:p>
    <w:p w14:paraId="12A92195" w14:textId="77777777" w:rsidR="005F7D2C" w:rsidRPr="00707E19" w:rsidRDefault="005F7D2C" w:rsidP="00EE6F29">
      <w:pPr>
        <w:pStyle w:val="H4G"/>
      </w:pPr>
      <w:r>
        <w:tab/>
      </w:r>
      <w:r w:rsidR="00EE6F29">
        <w:t>(c)</w:t>
      </w:r>
      <w:r>
        <w:tab/>
      </w:r>
      <w:r w:rsidRPr="00707E19">
        <w:t xml:space="preserve">Oral </w:t>
      </w:r>
      <w:r w:rsidR="00EE6F29">
        <w:t>r</w:t>
      </w:r>
      <w:r w:rsidRPr="00707E19">
        <w:t>oute</w:t>
      </w:r>
    </w:p>
    <w:p w14:paraId="7D79FAA3" w14:textId="77777777" w:rsidR="005F7D2C" w:rsidRDefault="005F7D2C" w:rsidP="005F7D2C">
      <w:pPr>
        <w:pStyle w:val="SingleTxtG"/>
      </w:pPr>
      <w:r w:rsidRPr="00707E19">
        <w:t xml:space="preserve">Classification via application of criteria using the guidance values provided in GHS Tables 3.9.1 and 3.9.2 is possible for the liver and kidney effect.  The liver and kidney effects at the 50 mg/kg </w:t>
      </w:r>
      <w:proofErr w:type="spellStart"/>
      <w:r w:rsidRPr="00707E19">
        <w:t>bw</w:t>
      </w:r>
      <w:proofErr w:type="spellEnd"/>
      <w:r w:rsidRPr="00707E19">
        <w:t xml:space="preserve"> dose level in a 28-day study fall within the guidance value range of </w:t>
      </w:r>
      <w:r w:rsidR="00EE6F29">
        <w:br/>
      </w:r>
      <w:r w:rsidRPr="00707E19">
        <w:t xml:space="preserve">30 &lt; C </w:t>
      </w:r>
      <w:r w:rsidRPr="00707E19">
        <w:sym w:font="Symbol" w:char="F0A3"/>
      </w:r>
      <w:r w:rsidRPr="00707E19">
        <w:t xml:space="preserve"> 300 mg/kg </w:t>
      </w:r>
      <w:proofErr w:type="spellStart"/>
      <w:r w:rsidRPr="00707E19">
        <w:t>bw</w:t>
      </w:r>
      <w:proofErr w:type="spellEnd"/>
      <w:r w:rsidRPr="00707E19">
        <w:t xml:space="preserve"> (</w:t>
      </w:r>
      <w:r>
        <w:t>i.e.,</w:t>
      </w:r>
      <w:r w:rsidRPr="00707E19">
        <w:t xml:space="preserve"> 90-day guidance value of 10 &lt; C </w:t>
      </w:r>
      <w:r w:rsidRPr="00707E19">
        <w:sym w:font="Symbol" w:char="F0A3"/>
      </w:r>
      <w:r w:rsidRPr="00707E19">
        <w:t xml:space="preserve"> 100 is multiplied by a factor of 3 since the data is for a 28-day study (paragraph 3.9.2.9.4)) resulting in a STOT-RE Category 2 classification with the target organs </w:t>
      </w:r>
      <w:r w:rsidR="00EE6F29">
        <w:t>l</w:t>
      </w:r>
      <w:r w:rsidRPr="00707E19">
        <w:t xml:space="preserve">iver and </w:t>
      </w:r>
      <w:r w:rsidR="00EE6F29">
        <w:t>k</w:t>
      </w:r>
      <w:r w:rsidRPr="00707E19">
        <w:t>idney.</w:t>
      </w:r>
    </w:p>
    <w:p w14:paraId="4B91312E" w14:textId="77777777" w:rsidR="00EE6F29" w:rsidRDefault="005F7D2C" w:rsidP="005F7D2C">
      <w:pPr>
        <w:pStyle w:val="SingleTxtG"/>
        <w:jc w:val="center"/>
      </w:pPr>
      <w:r w:rsidRPr="00AF12EA">
        <w:t>(En</w:t>
      </w:r>
      <w:r>
        <w:t xml:space="preserve">d of </w:t>
      </w:r>
      <w:r w:rsidR="00EE6F29">
        <w:t>e</w:t>
      </w:r>
      <w:r>
        <w:t>xample 3)</w:t>
      </w:r>
    </w:p>
    <w:p w14:paraId="1C189631" w14:textId="77777777" w:rsidR="00EE6F29" w:rsidRDefault="00EE6F29">
      <w:pPr>
        <w:suppressAutoHyphens w:val="0"/>
        <w:kinsoku/>
        <w:overflowPunct/>
        <w:autoSpaceDE/>
        <w:autoSpaceDN/>
        <w:adjustRightInd/>
        <w:snapToGrid/>
        <w:spacing w:after="200" w:line="276" w:lineRule="auto"/>
      </w:pPr>
      <w:r>
        <w:br w:type="page"/>
      </w:r>
    </w:p>
    <w:p w14:paraId="76469F87" w14:textId="77777777" w:rsidR="005F7D2C" w:rsidRPr="00707E19" w:rsidRDefault="005F7D2C" w:rsidP="00EE6F29">
      <w:pPr>
        <w:pStyle w:val="H1G"/>
      </w:pPr>
      <w:r>
        <w:lastRenderedPageBreak/>
        <w:tab/>
      </w:r>
      <w:r>
        <w:tab/>
      </w:r>
      <w:r w:rsidRPr="00707E19">
        <w:t xml:space="preserve">Example </w:t>
      </w:r>
      <w:r>
        <w:t>4</w:t>
      </w:r>
    </w:p>
    <w:p w14:paraId="0E62F40F" w14:textId="77777777" w:rsidR="005F7D2C" w:rsidRPr="00707E19" w:rsidRDefault="005F7D2C" w:rsidP="005F7D2C">
      <w:pPr>
        <w:pStyle w:val="SingleTxtG"/>
      </w:pPr>
      <w:r w:rsidRPr="00707E19">
        <w:t xml:space="preserve">This example illustrates the criteria in 3.9.1.1 and 3.9.1.6 that a substance can be classified into both </w:t>
      </w:r>
      <w:r w:rsidR="00EE6F29">
        <w:t>s</w:t>
      </w:r>
      <w:r>
        <w:t>pecific</w:t>
      </w:r>
      <w:r w:rsidRPr="00707E19">
        <w:t xml:space="preserve"> </w:t>
      </w:r>
      <w:r w:rsidR="00EE6F29">
        <w:t>t</w:t>
      </w:r>
      <w:r w:rsidRPr="00707E19">
        <w:t xml:space="preserve">arget </w:t>
      </w:r>
      <w:r w:rsidR="00EE6F29">
        <w:t>o</w:t>
      </w:r>
      <w:r w:rsidRPr="00707E19">
        <w:t xml:space="preserve">rgan </w:t>
      </w:r>
      <w:r w:rsidR="00EE6F29">
        <w:t>t</w:t>
      </w:r>
      <w:r w:rsidRPr="00707E19">
        <w:t xml:space="preserve">oxicity – </w:t>
      </w:r>
      <w:r w:rsidR="00EE6F29">
        <w:t>r</w:t>
      </w:r>
      <w:r w:rsidRPr="00707E19">
        <w:t xml:space="preserve">epeated </w:t>
      </w:r>
      <w:r w:rsidR="00EE6F29">
        <w:t>e</w:t>
      </w:r>
      <w:r w:rsidRPr="00707E19">
        <w:t xml:space="preserve">xposure hazard class, for non-lethal effects, and into the </w:t>
      </w:r>
      <w:r w:rsidR="00EE6F29">
        <w:t>a</w:t>
      </w:r>
      <w:r w:rsidRPr="00707E19">
        <w:t xml:space="preserve">cute </w:t>
      </w:r>
      <w:r w:rsidR="00EE6F29">
        <w:t>t</w:t>
      </w:r>
      <w:r w:rsidRPr="00707E19">
        <w:t xml:space="preserve">oxicity hazard class, for lethal effects.  </w:t>
      </w:r>
    </w:p>
    <w:p w14:paraId="05399A3A" w14:textId="77777777" w:rsidR="005F7D2C" w:rsidRPr="00707E19" w:rsidRDefault="005F7D2C" w:rsidP="005F7D2C">
      <w:pPr>
        <w:pStyle w:val="H23G"/>
      </w:pPr>
      <w:r>
        <w:tab/>
      </w:r>
      <w:r>
        <w:tab/>
      </w:r>
      <w:r w:rsidRPr="00707E19">
        <w:t xml:space="preserve">Information on </w:t>
      </w:r>
      <w:r w:rsidR="00EE6F29">
        <w:t>s</w:t>
      </w:r>
      <w:r w:rsidRPr="00707E19">
        <w:t xml:space="preserve">ubstance </w:t>
      </w:r>
      <w:r>
        <w:t>4</w:t>
      </w:r>
    </w:p>
    <w:p w14:paraId="0DDE4E15" w14:textId="77777777" w:rsidR="005F7D2C" w:rsidRPr="00807FB8" w:rsidRDefault="005F7D2C" w:rsidP="00EE6F29">
      <w:pPr>
        <w:pStyle w:val="H4G"/>
        <w:rPr>
          <w:b/>
          <w:bCs/>
          <w:i w:val="0"/>
          <w:iCs/>
        </w:rPr>
      </w:pPr>
      <w:r w:rsidRPr="00807FB8">
        <w:rPr>
          <w:b/>
          <w:bCs/>
          <w:i w:val="0"/>
          <w:iCs/>
        </w:rPr>
        <w:tab/>
      </w:r>
      <w:r w:rsidRPr="00807FB8">
        <w:rPr>
          <w:b/>
          <w:bCs/>
          <w:i w:val="0"/>
          <w:iCs/>
        </w:rPr>
        <w:tab/>
        <w:t>Data</w:t>
      </w:r>
    </w:p>
    <w:p w14:paraId="24663926" w14:textId="77777777" w:rsidR="005F7D2C" w:rsidRPr="00807FB8" w:rsidRDefault="005F7D2C" w:rsidP="00EE6F29">
      <w:pPr>
        <w:pStyle w:val="H56G"/>
        <w:rPr>
          <w:i/>
          <w:iCs/>
          <w:shd w:val="clear" w:color="auto" w:fill="FFFFFF"/>
        </w:rPr>
      </w:pPr>
      <w:r w:rsidRPr="00807FB8">
        <w:rPr>
          <w:i/>
          <w:iCs/>
          <w:shd w:val="clear" w:color="auto" w:fill="FFFFFF"/>
        </w:rPr>
        <w:tab/>
      </w:r>
      <w:r w:rsidR="00906597" w:rsidRPr="00807FB8">
        <w:rPr>
          <w:i/>
          <w:iCs/>
          <w:shd w:val="clear" w:color="auto" w:fill="FFFFFF"/>
        </w:rPr>
        <w:tab/>
      </w:r>
      <w:r w:rsidRPr="00807FB8">
        <w:rPr>
          <w:i/>
          <w:iCs/>
          <w:shd w:val="clear" w:color="auto" w:fill="FFFFFF"/>
        </w:rPr>
        <w:t xml:space="preserve">Acute </w:t>
      </w:r>
      <w:r w:rsidR="00EE6F29" w:rsidRPr="00807FB8">
        <w:rPr>
          <w:i/>
          <w:iCs/>
          <w:shd w:val="clear" w:color="auto" w:fill="FFFFFF"/>
        </w:rPr>
        <w:t>t</w:t>
      </w:r>
      <w:r w:rsidRPr="00807FB8">
        <w:rPr>
          <w:i/>
          <w:iCs/>
          <w:shd w:val="clear" w:color="auto" w:fill="FFFFFF"/>
        </w:rPr>
        <w:t xml:space="preserve">oxicity </w:t>
      </w:r>
      <w:r w:rsidR="00EE6F29" w:rsidRPr="00807FB8">
        <w:rPr>
          <w:i/>
          <w:iCs/>
          <w:shd w:val="clear" w:color="auto" w:fill="FFFFFF"/>
        </w:rPr>
        <w:t>a</w:t>
      </w:r>
      <w:r w:rsidRPr="00807FB8">
        <w:rPr>
          <w:i/>
          <w:iCs/>
          <w:shd w:val="clear" w:color="auto" w:fill="FFFFFF"/>
        </w:rPr>
        <w:t xml:space="preserve">nimal </w:t>
      </w:r>
      <w:r w:rsidR="00EE6F29" w:rsidRPr="00807FB8">
        <w:rPr>
          <w:i/>
          <w:iCs/>
          <w:shd w:val="clear" w:color="auto" w:fill="FFFFFF"/>
        </w:rPr>
        <w:t>d</w:t>
      </w:r>
      <w:r w:rsidRPr="00807FB8">
        <w:rPr>
          <w:i/>
          <w:iCs/>
          <w:shd w:val="clear" w:color="auto" w:fill="FFFFFF"/>
        </w:rPr>
        <w:t xml:space="preserve">ata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785"/>
        <w:gridCol w:w="2835"/>
        <w:gridCol w:w="3969"/>
      </w:tblGrid>
      <w:tr w:rsidR="005F7D2C" w:rsidRPr="00EE6F29" w14:paraId="612636AD" w14:textId="77777777" w:rsidTr="00EE6F29">
        <w:tc>
          <w:tcPr>
            <w:tcW w:w="1058" w:type="dxa"/>
            <w:shd w:val="clear" w:color="auto" w:fill="auto"/>
          </w:tcPr>
          <w:p w14:paraId="00AB1F28" w14:textId="77777777" w:rsidR="005F7D2C" w:rsidRPr="00EE6F29" w:rsidRDefault="005F7D2C" w:rsidP="00EE6F29">
            <w:pPr>
              <w:spacing w:after="40" w:line="240" w:lineRule="auto"/>
              <w:jc w:val="center"/>
              <w:rPr>
                <w:rFonts w:eastAsia="Times New Roman"/>
                <w:b/>
                <w:color w:val="000000"/>
                <w:sz w:val="18"/>
                <w:szCs w:val="18"/>
                <w:shd w:val="clear" w:color="auto" w:fill="FFFFFF"/>
              </w:rPr>
            </w:pPr>
            <w:r w:rsidRPr="00EE6F29">
              <w:rPr>
                <w:rFonts w:eastAsia="Times New Roman"/>
                <w:b/>
                <w:color w:val="000000"/>
                <w:sz w:val="18"/>
                <w:szCs w:val="18"/>
                <w:shd w:val="clear" w:color="auto" w:fill="FFFFFF"/>
              </w:rPr>
              <w:t>Route</w:t>
            </w:r>
          </w:p>
        </w:tc>
        <w:tc>
          <w:tcPr>
            <w:tcW w:w="785" w:type="dxa"/>
            <w:shd w:val="clear" w:color="auto" w:fill="auto"/>
          </w:tcPr>
          <w:p w14:paraId="3FD6E56C" w14:textId="77777777" w:rsidR="005F7D2C" w:rsidRPr="00EE6F29" w:rsidRDefault="005F7D2C" w:rsidP="00EE6F29">
            <w:pPr>
              <w:spacing w:after="40" w:line="240" w:lineRule="auto"/>
              <w:jc w:val="center"/>
              <w:rPr>
                <w:rFonts w:eastAsia="Times New Roman"/>
                <w:b/>
                <w:color w:val="000000"/>
                <w:sz w:val="18"/>
                <w:szCs w:val="18"/>
                <w:shd w:val="clear" w:color="auto" w:fill="FFFFFF"/>
              </w:rPr>
            </w:pPr>
            <w:r w:rsidRPr="00EE6F29">
              <w:rPr>
                <w:rFonts w:eastAsia="Times New Roman"/>
                <w:b/>
                <w:color w:val="000000"/>
                <w:sz w:val="18"/>
                <w:szCs w:val="18"/>
                <w:shd w:val="clear" w:color="auto" w:fill="FFFFFF"/>
              </w:rPr>
              <w:t>Species</w:t>
            </w:r>
          </w:p>
        </w:tc>
        <w:tc>
          <w:tcPr>
            <w:tcW w:w="2835" w:type="dxa"/>
            <w:shd w:val="clear" w:color="auto" w:fill="auto"/>
          </w:tcPr>
          <w:p w14:paraId="322C3A4D" w14:textId="77777777" w:rsidR="005F7D2C" w:rsidRPr="00EE6F29" w:rsidRDefault="005F7D2C" w:rsidP="00EE6F29">
            <w:pPr>
              <w:spacing w:after="40" w:line="240" w:lineRule="auto"/>
              <w:jc w:val="center"/>
              <w:rPr>
                <w:rFonts w:eastAsia="Times New Roman"/>
                <w:b/>
                <w:color w:val="000000"/>
                <w:sz w:val="18"/>
                <w:szCs w:val="18"/>
                <w:shd w:val="clear" w:color="auto" w:fill="FFFFFF"/>
              </w:rPr>
            </w:pPr>
            <w:r w:rsidRPr="00EE6F29">
              <w:rPr>
                <w:rFonts w:eastAsia="Times New Roman"/>
                <w:b/>
                <w:color w:val="000000"/>
                <w:sz w:val="18"/>
                <w:szCs w:val="18"/>
                <w:shd w:val="clear" w:color="auto" w:fill="FFFFFF"/>
              </w:rPr>
              <w:t>LD</w:t>
            </w:r>
            <w:r w:rsidRPr="00EE6F29">
              <w:rPr>
                <w:rFonts w:eastAsia="Times New Roman"/>
                <w:b/>
                <w:color w:val="000000"/>
                <w:sz w:val="18"/>
                <w:szCs w:val="18"/>
                <w:shd w:val="clear" w:color="auto" w:fill="FFFFFF"/>
                <w:vertAlign w:val="subscript"/>
              </w:rPr>
              <w:t>50</w:t>
            </w:r>
            <w:r w:rsidRPr="00EE6F29">
              <w:rPr>
                <w:rFonts w:eastAsia="Times New Roman"/>
                <w:b/>
                <w:color w:val="000000"/>
                <w:sz w:val="18"/>
                <w:szCs w:val="18"/>
                <w:shd w:val="clear" w:color="auto" w:fill="FFFFFF"/>
              </w:rPr>
              <w:t xml:space="preserve"> /LC</w:t>
            </w:r>
            <w:r w:rsidRPr="00EE6F29">
              <w:rPr>
                <w:rFonts w:eastAsia="Times New Roman"/>
                <w:b/>
                <w:color w:val="000000"/>
                <w:sz w:val="18"/>
                <w:szCs w:val="18"/>
                <w:shd w:val="clear" w:color="auto" w:fill="FFFFFF"/>
                <w:vertAlign w:val="subscript"/>
              </w:rPr>
              <w:t xml:space="preserve">50 </w:t>
            </w:r>
            <w:r w:rsidRPr="00EE6F29">
              <w:rPr>
                <w:rFonts w:eastAsia="Times New Roman"/>
                <w:b/>
                <w:color w:val="000000"/>
                <w:sz w:val="18"/>
                <w:szCs w:val="18"/>
                <w:shd w:val="clear" w:color="auto" w:fill="FFFFFF"/>
              </w:rPr>
              <w:t>Value</w:t>
            </w:r>
          </w:p>
        </w:tc>
        <w:tc>
          <w:tcPr>
            <w:tcW w:w="3969" w:type="dxa"/>
            <w:shd w:val="clear" w:color="auto" w:fill="auto"/>
          </w:tcPr>
          <w:p w14:paraId="65C567A6" w14:textId="77777777" w:rsidR="005F7D2C" w:rsidRPr="00EE6F29" w:rsidRDefault="005F7D2C" w:rsidP="00EE6F29">
            <w:pPr>
              <w:spacing w:after="40" w:line="240" w:lineRule="auto"/>
              <w:jc w:val="center"/>
              <w:rPr>
                <w:sz w:val="18"/>
                <w:szCs w:val="18"/>
              </w:rPr>
            </w:pPr>
            <w:r w:rsidRPr="00EE6F29">
              <w:rPr>
                <w:rFonts w:eastAsia="Times New Roman"/>
                <w:b/>
                <w:color w:val="000000"/>
                <w:sz w:val="18"/>
                <w:szCs w:val="18"/>
                <w:shd w:val="clear" w:color="auto" w:fill="FFFFFF"/>
              </w:rPr>
              <w:t>Observations</w:t>
            </w:r>
          </w:p>
        </w:tc>
      </w:tr>
      <w:tr w:rsidR="005F7D2C" w:rsidRPr="00EE6F29" w14:paraId="2292C35F" w14:textId="77777777" w:rsidTr="00EE6F29">
        <w:trPr>
          <w:trHeight w:val="377"/>
        </w:trPr>
        <w:tc>
          <w:tcPr>
            <w:tcW w:w="1058" w:type="dxa"/>
            <w:shd w:val="clear" w:color="auto" w:fill="auto"/>
          </w:tcPr>
          <w:p w14:paraId="120C6FDB"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Oral</w:t>
            </w:r>
          </w:p>
        </w:tc>
        <w:tc>
          <w:tcPr>
            <w:tcW w:w="785" w:type="dxa"/>
            <w:shd w:val="clear" w:color="auto" w:fill="auto"/>
          </w:tcPr>
          <w:p w14:paraId="022BD258"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Rat</w:t>
            </w:r>
          </w:p>
        </w:tc>
        <w:tc>
          <w:tcPr>
            <w:tcW w:w="2835" w:type="dxa"/>
            <w:shd w:val="clear" w:color="auto" w:fill="auto"/>
          </w:tcPr>
          <w:p w14:paraId="66312CC5"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In two OECD 401 studies values were 160 and 273 mg/kg</w:t>
            </w:r>
          </w:p>
        </w:tc>
        <w:tc>
          <w:tcPr>
            <w:tcW w:w="3969" w:type="dxa"/>
            <w:shd w:val="clear" w:color="auto" w:fill="auto"/>
          </w:tcPr>
          <w:p w14:paraId="078F6142" w14:textId="77777777" w:rsidR="005F7D2C" w:rsidRPr="00EE6F29" w:rsidRDefault="00FC47E9" w:rsidP="00EE6F29">
            <w:pPr>
              <w:pStyle w:val="Bullet1G"/>
              <w:numPr>
                <w:ilvl w:val="0"/>
                <w:numId w:val="0"/>
              </w:numPr>
              <w:spacing w:after="40" w:line="240" w:lineRule="auto"/>
              <w:ind w:left="174" w:right="-109" w:hanging="174"/>
              <w:jc w:val="left"/>
              <w:rPr>
                <w:sz w:val="18"/>
                <w:szCs w:val="18"/>
                <w:shd w:val="clear" w:color="auto" w:fill="FFFFFF"/>
              </w:rPr>
            </w:pPr>
            <w:r w:rsidRPr="00EE6F29">
              <w:rPr>
                <w:sz w:val="18"/>
                <w:szCs w:val="18"/>
              </w:rPr>
              <w:t>•</w:t>
            </w:r>
            <w:r w:rsidRPr="00EE6F29">
              <w:rPr>
                <w:sz w:val="18"/>
                <w:szCs w:val="18"/>
              </w:rPr>
              <w:tab/>
            </w:r>
            <w:r w:rsidR="005F7D2C" w:rsidRPr="00EE6F29">
              <w:rPr>
                <w:sz w:val="18"/>
                <w:szCs w:val="18"/>
                <w:shd w:val="clear" w:color="auto" w:fill="FFFFFF"/>
              </w:rPr>
              <w:t>Effects were observed in the lungs (</w:t>
            </w:r>
            <w:proofErr w:type="spellStart"/>
            <w:r w:rsidR="005F7D2C" w:rsidRPr="00EE6F29">
              <w:rPr>
                <w:sz w:val="18"/>
                <w:szCs w:val="18"/>
                <w:shd w:val="clear" w:color="auto" w:fill="FFFFFF"/>
              </w:rPr>
              <w:t>haemorragies</w:t>
            </w:r>
            <w:proofErr w:type="spellEnd"/>
            <w:r w:rsidR="005F7D2C" w:rsidRPr="00EE6F29">
              <w:rPr>
                <w:sz w:val="18"/>
                <w:szCs w:val="18"/>
                <w:shd w:val="clear" w:color="auto" w:fill="FFFFFF"/>
              </w:rPr>
              <w:t>) and stomach</w:t>
            </w:r>
          </w:p>
        </w:tc>
      </w:tr>
      <w:tr w:rsidR="005F7D2C" w:rsidRPr="00EE6F29" w14:paraId="015D877E" w14:textId="77777777" w:rsidTr="00EE6F29">
        <w:trPr>
          <w:trHeight w:val="201"/>
        </w:trPr>
        <w:tc>
          <w:tcPr>
            <w:tcW w:w="1058" w:type="dxa"/>
            <w:shd w:val="clear" w:color="auto" w:fill="auto"/>
          </w:tcPr>
          <w:p w14:paraId="735DD54C"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Dermal</w:t>
            </w:r>
          </w:p>
        </w:tc>
        <w:tc>
          <w:tcPr>
            <w:tcW w:w="785" w:type="dxa"/>
            <w:shd w:val="clear" w:color="auto" w:fill="auto"/>
          </w:tcPr>
          <w:p w14:paraId="71CCB0E1"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Rat</w:t>
            </w:r>
          </w:p>
        </w:tc>
        <w:tc>
          <w:tcPr>
            <w:tcW w:w="2835" w:type="dxa"/>
            <w:shd w:val="clear" w:color="auto" w:fill="auto"/>
          </w:tcPr>
          <w:p w14:paraId="54AA93B6"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404 mg/kg</w:t>
            </w:r>
          </w:p>
        </w:tc>
        <w:tc>
          <w:tcPr>
            <w:tcW w:w="3969" w:type="dxa"/>
            <w:shd w:val="clear" w:color="auto" w:fill="auto"/>
          </w:tcPr>
          <w:p w14:paraId="2EF17D38" w14:textId="77777777" w:rsidR="005F7D2C" w:rsidRPr="00EE6F29" w:rsidRDefault="00FC47E9" w:rsidP="00EE6F29">
            <w:pPr>
              <w:pStyle w:val="Bullet1G"/>
              <w:numPr>
                <w:ilvl w:val="0"/>
                <w:numId w:val="0"/>
              </w:numPr>
              <w:spacing w:after="40" w:line="240" w:lineRule="auto"/>
              <w:ind w:left="174" w:hanging="174"/>
              <w:jc w:val="left"/>
              <w:rPr>
                <w:sz w:val="18"/>
                <w:szCs w:val="18"/>
                <w:shd w:val="clear" w:color="auto" w:fill="FFFFFF"/>
              </w:rPr>
            </w:pPr>
            <w:r w:rsidRPr="00EE6F29">
              <w:rPr>
                <w:sz w:val="18"/>
                <w:szCs w:val="18"/>
              </w:rPr>
              <w:t>•</w:t>
            </w:r>
            <w:r w:rsidRPr="00EE6F29">
              <w:rPr>
                <w:sz w:val="18"/>
                <w:szCs w:val="18"/>
              </w:rPr>
              <w:tab/>
            </w:r>
            <w:r w:rsidR="005F7D2C" w:rsidRPr="00EE6F29">
              <w:rPr>
                <w:sz w:val="18"/>
                <w:szCs w:val="18"/>
                <w:shd w:val="clear" w:color="auto" w:fill="FFFFFF"/>
              </w:rPr>
              <w:t>No observations reported</w:t>
            </w:r>
          </w:p>
        </w:tc>
      </w:tr>
      <w:tr w:rsidR="005F7D2C" w:rsidRPr="00EE6F29" w14:paraId="2E2E4520" w14:textId="77777777" w:rsidTr="00EE6F29">
        <w:trPr>
          <w:trHeight w:val="440"/>
        </w:trPr>
        <w:tc>
          <w:tcPr>
            <w:tcW w:w="1058" w:type="dxa"/>
            <w:shd w:val="clear" w:color="auto" w:fill="auto"/>
          </w:tcPr>
          <w:p w14:paraId="7C239E73"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Inhalation (Dust/Mist)</w:t>
            </w:r>
          </w:p>
        </w:tc>
        <w:tc>
          <w:tcPr>
            <w:tcW w:w="785" w:type="dxa"/>
            <w:shd w:val="clear" w:color="auto" w:fill="auto"/>
          </w:tcPr>
          <w:p w14:paraId="7D828C06"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Rat</w:t>
            </w:r>
          </w:p>
        </w:tc>
        <w:tc>
          <w:tcPr>
            <w:tcW w:w="2835" w:type="dxa"/>
            <w:shd w:val="clear" w:color="auto" w:fill="auto"/>
          </w:tcPr>
          <w:p w14:paraId="1442BD4A" w14:textId="77777777" w:rsidR="005F7D2C" w:rsidRPr="00EE6F29" w:rsidRDefault="005F7D2C" w:rsidP="00EE6F29">
            <w:pPr>
              <w:spacing w:after="4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In two 4-hour studies the LC</w:t>
            </w:r>
            <w:r w:rsidRPr="00EE6F29">
              <w:rPr>
                <w:rFonts w:eastAsia="Times New Roman"/>
                <w:color w:val="000000"/>
                <w:sz w:val="18"/>
                <w:szCs w:val="18"/>
                <w:shd w:val="clear" w:color="auto" w:fill="FFFFFF"/>
                <w:vertAlign w:val="subscript"/>
              </w:rPr>
              <w:t>50</w:t>
            </w:r>
            <w:r w:rsidRPr="00EE6F29">
              <w:rPr>
                <w:rFonts w:eastAsia="Times New Roman"/>
                <w:color w:val="000000"/>
                <w:sz w:val="18"/>
                <w:szCs w:val="18"/>
                <w:shd w:val="clear" w:color="auto" w:fill="FFFFFF"/>
              </w:rPr>
              <w:t xml:space="preserve"> values were 0.115 and 0.139 mg/L</w:t>
            </w:r>
          </w:p>
        </w:tc>
        <w:tc>
          <w:tcPr>
            <w:tcW w:w="3969" w:type="dxa"/>
            <w:shd w:val="clear" w:color="auto" w:fill="auto"/>
          </w:tcPr>
          <w:p w14:paraId="5F648424" w14:textId="77777777" w:rsidR="005F7D2C" w:rsidRPr="00EE6F29" w:rsidRDefault="00FC47E9" w:rsidP="00EE6F29">
            <w:pPr>
              <w:pStyle w:val="Bullet1G"/>
              <w:numPr>
                <w:ilvl w:val="0"/>
                <w:numId w:val="0"/>
              </w:numPr>
              <w:spacing w:after="40" w:line="240" w:lineRule="auto"/>
              <w:ind w:left="174" w:hanging="174"/>
              <w:jc w:val="left"/>
              <w:rPr>
                <w:sz w:val="18"/>
                <w:szCs w:val="18"/>
                <w:shd w:val="clear" w:color="auto" w:fill="FFFFFF"/>
              </w:rPr>
            </w:pPr>
            <w:r w:rsidRPr="00EE6F29">
              <w:rPr>
                <w:sz w:val="18"/>
                <w:szCs w:val="18"/>
              </w:rPr>
              <w:t>•</w:t>
            </w:r>
            <w:r w:rsidRPr="00EE6F29">
              <w:rPr>
                <w:sz w:val="18"/>
                <w:szCs w:val="18"/>
              </w:rPr>
              <w:tab/>
            </w:r>
            <w:r w:rsidR="005F7D2C" w:rsidRPr="00EE6F29">
              <w:rPr>
                <w:sz w:val="18"/>
                <w:szCs w:val="18"/>
                <w:shd w:val="clear" w:color="auto" w:fill="FFFFFF"/>
              </w:rPr>
              <w:t>No observations reported</w:t>
            </w:r>
          </w:p>
        </w:tc>
      </w:tr>
    </w:tbl>
    <w:p w14:paraId="401EB39E" w14:textId="77777777" w:rsidR="00EA0C88" w:rsidRPr="00807FB8" w:rsidRDefault="00EA0C88" w:rsidP="00906597">
      <w:pPr>
        <w:pStyle w:val="H56G"/>
        <w:rPr>
          <w:i/>
          <w:iCs/>
          <w:shd w:val="clear" w:color="auto" w:fill="FFFFFF"/>
        </w:rPr>
      </w:pPr>
      <w:r w:rsidRPr="00906597">
        <w:rPr>
          <w:shd w:val="clear" w:color="auto" w:fill="FFFFFF"/>
        </w:rPr>
        <w:tab/>
      </w:r>
      <w:r w:rsidR="00807FB8">
        <w:rPr>
          <w:shd w:val="clear" w:color="auto" w:fill="FFFFFF"/>
        </w:rPr>
        <w:tab/>
      </w:r>
      <w:r w:rsidR="00807FB8">
        <w:rPr>
          <w:shd w:val="clear" w:color="auto" w:fill="FFFFFF"/>
        </w:rPr>
        <w:tab/>
      </w:r>
      <w:r w:rsidRPr="00807FB8">
        <w:rPr>
          <w:i/>
          <w:iCs/>
          <w:shd w:val="clear" w:color="auto" w:fill="FFFFFF"/>
        </w:rPr>
        <w:t xml:space="preserve">Specific </w:t>
      </w:r>
      <w:r w:rsidR="00EE6F29" w:rsidRPr="00807FB8">
        <w:rPr>
          <w:i/>
          <w:iCs/>
          <w:shd w:val="clear" w:color="auto" w:fill="FFFFFF"/>
        </w:rPr>
        <w:t>t</w:t>
      </w:r>
      <w:r w:rsidRPr="00807FB8">
        <w:rPr>
          <w:i/>
          <w:iCs/>
          <w:shd w:val="clear" w:color="auto" w:fill="FFFFFF"/>
        </w:rPr>
        <w:t xml:space="preserve">arget </w:t>
      </w:r>
      <w:r w:rsidR="00EE6F29" w:rsidRPr="00807FB8">
        <w:rPr>
          <w:i/>
          <w:iCs/>
          <w:shd w:val="clear" w:color="auto" w:fill="FFFFFF"/>
        </w:rPr>
        <w:t>o</w:t>
      </w:r>
      <w:r w:rsidRPr="00807FB8">
        <w:rPr>
          <w:i/>
          <w:iCs/>
          <w:shd w:val="clear" w:color="auto" w:fill="FFFFFF"/>
        </w:rPr>
        <w:t xml:space="preserve">rgan </w:t>
      </w:r>
      <w:r w:rsidR="00EE6F29" w:rsidRPr="00807FB8">
        <w:rPr>
          <w:i/>
          <w:iCs/>
          <w:shd w:val="clear" w:color="auto" w:fill="FFFFFF"/>
        </w:rPr>
        <w:t>t</w:t>
      </w:r>
      <w:r w:rsidRPr="00807FB8">
        <w:rPr>
          <w:i/>
          <w:iCs/>
          <w:shd w:val="clear" w:color="auto" w:fill="FFFFFF"/>
        </w:rPr>
        <w:t xml:space="preserve">oxicity – </w:t>
      </w:r>
      <w:r w:rsidR="00EE6F29" w:rsidRPr="00807FB8">
        <w:rPr>
          <w:i/>
          <w:iCs/>
          <w:shd w:val="clear" w:color="auto" w:fill="FFFFFF"/>
        </w:rPr>
        <w:t>r</w:t>
      </w:r>
      <w:r w:rsidRPr="00807FB8">
        <w:rPr>
          <w:i/>
          <w:iCs/>
          <w:shd w:val="clear" w:color="auto" w:fill="FFFFFF"/>
        </w:rPr>
        <w:t xml:space="preserve">epeated </w:t>
      </w:r>
      <w:r w:rsidR="00EE6F29" w:rsidRPr="00807FB8">
        <w:rPr>
          <w:i/>
          <w:iCs/>
          <w:shd w:val="clear" w:color="auto" w:fill="FFFFFF"/>
        </w:rPr>
        <w:t>e</w:t>
      </w:r>
      <w:r w:rsidRPr="00807FB8">
        <w:rPr>
          <w:i/>
          <w:iCs/>
          <w:shd w:val="clear" w:color="auto" w:fill="FFFFFF"/>
        </w:rPr>
        <w:t>xposure</w:t>
      </w:r>
    </w:p>
    <w:p w14:paraId="74DD89D0" w14:textId="77777777" w:rsidR="00EA0C88" w:rsidRPr="00807FB8" w:rsidRDefault="00EA0C88" w:rsidP="00906597">
      <w:pPr>
        <w:pStyle w:val="H23G"/>
        <w:ind w:hanging="141"/>
        <w:rPr>
          <w:b w:val="0"/>
          <w:bCs/>
        </w:rPr>
      </w:pPr>
      <w:r w:rsidRPr="00906597">
        <w:rPr>
          <w:b w:val="0"/>
          <w:bCs/>
        </w:rPr>
        <w:tab/>
      </w:r>
      <w:r w:rsidR="00906597">
        <w:rPr>
          <w:b w:val="0"/>
          <w:bCs/>
        </w:rPr>
        <w:tab/>
      </w:r>
      <w:r w:rsidR="00906597" w:rsidRPr="00906597">
        <w:rPr>
          <w:b w:val="0"/>
          <w:bCs/>
        </w:rPr>
        <w:t>(</w:t>
      </w:r>
      <w:r w:rsidR="00807FB8">
        <w:rPr>
          <w:b w:val="0"/>
          <w:bCs/>
        </w:rPr>
        <w:t>a</w:t>
      </w:r>
      <w:r w:rsidR="00906597" w:rsidRPr="00906597">
        <w:rPr>
          <w:b w:val="0"/>
          <w:bCs/>
        </w:rPr>
        <w:t>)</w:t>
      </w:r>
      <w:r w:rsidR="00906597" w:rsidRPr="00906597">
        <w:rPr>
          <w:b w:val="0"/>
          <w:bCs/>
        </w:rPr>
        <w:tab/>
      </w:r>
      <w:r w:rsidRPr="00807FB8">
        <w:rPr>
          <w:b w:val="0"/>
          <w:bCs/>
        </w:rPr>
        <w:t xml:space="preserve">Study 1: Oral </w:t>
      </w:r>
      <w:r w:rsidR="00906597" w:rsidRPr="00807FB8">
        <w:rPr>
          <w:b w:val="0"/>
          <w:bCs/>
        </w:rPr>
        <w:t>r</w:t>
      </w:r>
      <w:r w:rsidRPr="00807FB8">
        <w:rPr>
          <w:b w:val="0"/>
          <w:bCs/>
        </w:rPr>
        <w:t xml:space="preserve">oute of </w:t>
      </w:r>
      <w:r w:rsidR="00906597" w:rsidRPr="00807FB8">
        <w:rPr>
          <w:b w:val="0"/>
          <w:bCs/>
        </w:rPr>
        <w:t>e</w:t>
      </w:r>
      <w:r w:rsidRPr="00807FB8">
        <w:rPr>
          <w:b w:val="0"/>
          <w:bCs/>
        </w:rPr>
        <w:t>xposure</w:t>
      </w:r>
    </w:p>
    <w:p w14:paraId="71FCF376" w14:textId="77777777" w:rsidR="00EA0C88" w:rsidRPr="00707E19" w:rsidRDefault="00EA0C88" w:rsidP="00807FB8">
      <w:pPr>
        <w:pStyle w:val="SingleTxtG"/>
        <w:ind w:left="1701"/>
      </w:pPr>
      <w:r w:rsidRPr="00707E19">
        <w:t>90-day OECD TG 408 equivalent study</w:t>
      </w:r>
    </w:p>
    <w:p w14:paraId="1014DC4C" w14:textId="77777777" w:rsidR="00EA0C88" w:rsidRPr="00707E19" w:rsidRDefault="00EA0C88" w:rsidP="00807FB8">
      <w:pPr>
        <w:pStyle w:val="SingleTxtG"/>
        <w:ind w:left="1701"/>
      </w:pPr>
      <w:r w:rsidRPr="00707E19">
        <w:t>30 S</w:t>
      </w:r>
      <w:r>
        <w:t xml:space="preserve">prague </w:t>
      </w:r>
      <w:r w:rsidRPr="00707E19">
        <w:t>D</w:t>
      </w:r>
      <w:r>
        <w:t>awley</w:t>
      </w:r>
      <w:r w:rsidRPr="00707E19">
        <w:t xml:space="preserve"> rats (15 male/15 female); Oral dose levels: 0, 1.9, 6, 17.5 mg/kg </w:t>
      </w:r>
      <w:proofErr w:type="spellStart"/>
      <w:r w:rsidRPr="00707E19">
        <w:t>bw</w:t>
      </w:r>
      <w:proofErr w:type="spellEnd"/>
      <w:r w:rsidRPr="00707E19">
        <w:t xml:space="preserve">/day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tblGrid>
      <w:tr w:rsidR="00EA0C88" w:rsidRPr="00906597" w14:paraId="34EBEB39" w14:textId="77777777" w:rsidTr="00906597">
        <w:tc>
          <w:tcPr>
            <w:tcW w:w="1418" w:type="dxa"/>
            <w:shd w:val="clear" w:color="auto" w:fill="auto"/>
          </w:tcPr>
          <w:p w14:paraId="0B540EC7" w14:textId="77777777" w:rsidR="00EA0C88" w:rsidRPr="00906597" w:rsidRDefault="00EA0C88"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 xml:space="preserve">Dose </w:t>
            </w:r>
            <w:r w:rsidR="00906597">
              <w:rPr>
                <w:rFonts w:asciiTheme="majorBidi" w:hAnsiTheme="majorBidi" w:cstheme="majorBidi"/>
                <w:sz w:val="18"/>
                <w:szCs w:val="18"/>
              </w:rPr>
              <w:t>l</w:t>
            </w:r>
            <w:r w:rsidRPr="00906597">
              <w:rPr>
                <w:rFonts w:asciiTheme="majorBidi" w:hAnsiTheme="majorBidi" w:cstheme="majorBidi"/>
                <w:sz w:val="18"/>
                <w:szCs w:val="18"/>
              </w:rPr>
              <w:t>evel</w:t>
            </w:r>
          </w:p>
          <w:p w14:paraId="32C7A07E" w14:textId="77777777" w:rsidR="00EA0C88" w:rsidRPr="00906597" w:rsidRDefault="00EA0C88"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 xml:space="preserve">(mg/kg </w:t>
            </w:r>
            <w:proofErr w:type="spellStart"/>
            <w:r w:rsidRPr="00906597">
              <w:rPr>
                <w:rFonts w:asciiTheme="majorBidi" w:hAnsiTheme="majorBidi" w:cstheme="majorBidi"/>
                <w:sz w:val="18"/>
                <w:szCs w:val="18"/>
              </w:rPr>
              <w:t>bw</w:t>
            </w:r>
            <w:proofErr w:type="spellEnd"/>
            <w:r w:rsidRPr="00906597">
              <w:rPr>
                <w:rFonts w:asciiTheme="majorBidi" w:hAnsiTheme="majorBidi" w:cstheme="majorBidi"/>
                <w:sz w:val="18"/>
                <w:szCs w:val="18"/>
              </w:rPr>
              <w:t>/day)</w:t>
            </w:r>
          </w:p>
        </w:tc>
        <w:tc>
          <w:tcPr>
            <w:tcW w:w="7229" w:type="dxa"/>
            <w:shd w:val="clear" w:color="auto" w:fill="auto"/>
          </w:tcPr>
          <w:p w14:paraId="2F64BE18" w14:textId="77777777" w:rsidR="00EA0C88" w:rsidRPr="00906597" w:rsidRDefault="00EA0C88"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Observations</w:t>
            </w:r>
          </w:p>
          <w:p w14:paraId="46DD5AA9" w14:textId="77777777" w:rsidR="00EA0C88" w:rsidRPr="00906597" w:rsidRDefault="00EA0C88" w:rsidP="00906597">
            <w:pPr>
              <w:spacing w:after="30" w:line="240" w:lineRule="auto"/>
              <w:jc w:val="center"/>
              <w:rPr>
                <w:rFonts w:asciiTheme="majorBidi" w:hAnsiTheme="majorBidi" w:cstheme="majorBidi"/>
                <w:sz w:val="18"/>
                <w:szCs w:val="18"/>
              </w:rPr>
            </w:pPr>
          </w:p>
        </w:tc>
      </w:tr>
      <w:tr w:rsidR="00EA0C88" w:rsidRPr="00906597" w14:paraId="231FA1CD" w14:textId="77777777" w:rsidTr="00906597">
        <w:tc>
          <w:tcPr>
            <w:tcW w:w="1418" w:type="dxa"/>
            <w:shd w:val="clear" w:color="auto" w:fill="auto"/>
            <w:vAlign w:val="center"/>
          </w:tcPr>
          <w:p w14:paraId="59ABBDC6" w14:textId="77777777" w:rsidR="00EA0C88" w:rsidRPr="00906597" w:rsidRDefault="00EA0C88"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17.5</w:t>
            </w:r>
          </w:p>
        </w:tc>
        <w:tc>
          <w:tcPr>
            <w:tcW w:w="7229" w:type="dxa"/>
            <w:shd w:val="clear" w:color="auto" w:fill="auto"/>
          </w:tcPr>
          <w:p w14:paraId="2C9C4D7E" w14:textId="77777777" w:rsidR="00EA0C88" w:rsidRPr="00906597" w:rsidRDefault="00FC47E9" w:rsidP="00906597">
            <w:pPr>
              <w:pStyle w:val="Bullet1G"/>
              <w:numPr>
                <w:ilvl w:val="0"/>
                <w:numId w:val="0"/>
              </w:numPr>
              <w:spacing w:after="30" w:line="240" w:lineRule="auto"/>
              <w:ind w:left="341" w:right="33" w:hanging="284"/>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Death (28 animals died or were sacrificed between days 18 and 34 and remaining animals by day 36) with severe clinical signs of toxicity including</w:t>
            </w:r>
          </w:p>
          <w:p w14:paraId="03559838"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Tremors, convulsions and aggression/hypersensitivity/difficulty when handling</w:t>
            </w:r>
          </w:p>
          <w:p w14:paraId="05BD4DBA"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Appeared to be weak, thin and dehydrated</w:t>
            </w:r>
          </w:p>
          <w:p w14:paraId="4A5B8095"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Cold to touch</w:t>
            </w:r>
          </w:p>
          <w:p w14:paraId="3360ADD2"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Lying on their sides and decreased home-age activity levels</w:t>
            </w:r>
          </w:p>
          <w:p w14:paraId="1EF91507" w14:textId="77777777" w:rsidR="00EA0C88" w:rsidRPr="00906597" w:rsidRDefault="00FC47E9" w:rsidP="00906597">
            <w:pPr>
              <w:pStyle w:val="Bullet1G"/>
              <w:numPr>
                <w:ilvl w:val="0"/>
                <w:numId w:val="0"/>
              </w:numPr>
              <w:spacing w:after="30" w:line="240" w:lineRule="auto"/>
              <w:ind w:left="341" w:right="33" w:hanging="284"/>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Reduced body weight,</w:t>
            </w:r>
          </w:p>
          <w:p w14:paraId="54A868CF"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Decreased food and water intake,</w:t>
            </w:r>
          </w:p>
          <w:p w14:paraId="5BC9C109"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Blood biochemical changes,</w:t>
            </w:r>
          </w:p>
          <w:p w14:paraId="65FF6F6D" w14:textId="77777777" w:rsidR="00EA0C88" w:rsidRPr="00906597" w:rsidRDefault="00FC47E9" w:rsidP="00906597">
            <w:pPr>
              <w:pStyle w:val="Bullet1G"/>
              <w:numPr>
                <w:ilvl w:val="0"/>
                <w:numId w:val="0"/>
              </w:numPr>
              <w:spacing w:after="30" w:line="240" w:lineRule="auto"/>
              <w:ind w:left="341" w:right="33" w:hanging="284"/>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 xml:space="preserve">Behavioural effects, </w:t>
            </w:r>
          </w:p>
          <w:p w14:paraId="13629DCA"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Neuropathological lesions (mild ventricular dilation and moderate neuronal necrosis)</w:t>
            </w:r>
          </w:p>
          <w:p w14:paraId="494C0528"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Decrease in absolute and relative thymus weight was observed at the interim sacrifice (week</w:t>
            </w:r>
            <w:r w:rsidR="00906597">
              <w:rPr>
                <w:rFonts w:asciiTheme="majorBidi" w:hAnsiTheme="majorBidi" w:cstheme="majorBidi"/>
                <w:sz w:val="18"/>
                <w:szCs w:val="18"/>
              </w:rPr>
              <w:t> </w:t>
            </w:r>
            <w:r w:rsidR="00EA0C88" w:rsidRPr="00906597">
              <w:rPr>
                <w:rFonts w:asciiTheme="majorBidi" w:hAnsiTheme="majorBidi" w:cstheme="majorBidi"/>
                <w:sz w:val="18"/>
                <w:szCs w:val="18"/>
              </w:rPr>
              <w:t xml:space="preserve">4) evaluation for the males.  </w:t>
            </w:r>
          </w:p>
          <w:p w14:paraId="046EA0E8"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Several preterminal non-perfused animals with small thymus and/or spleen</w:t>
            </w:r>
          </w:p>
        </w:tc>
      </w:tr>
      <w:tr w:rsidR="00EA0C88" w:rsidRPr="00906597" w14:paraId="3ED3A2F8" w14:textId="77777777" w:rsidTr="00906597">
        <w:tc>
          <w:tcPr>
            <w:tcW w:w="1418" w:type="dxa"/>
            <w:shd w:val="clear" w:color="auto" w:fill="auto"/>
            <w:vAlign w:val="center"/>
          </w:tcPr>
          <w:p w14:paraId="0F8EEDD2" w14:textId="77777777" w:rsidR="00EA0C88" w:rsidRPr="00906597" w:rsidRDefault="00EA0C88"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6</w:t>
            </w:r>
          </w:p>
        </w:tc>
        <w:tc>
          <w:tcPr>
            <w:tcW w:w="7229" w:type="dxa"/>
            <w:shd w:val="clear" w:color="auto" w:fill="auto"/>
          </w:tcPr>
          <w:p w14:paraId="79465B8A"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Death in 1 animal, with abnormal clinical signs limited to:</w:t>
            </w:r>
          </w:p>
          <w:p w14:paraId="1B32BD90"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 xml:space="preserve">Tremors, hypersensitivity (difficulty when handled), </w:t>
            </w:r>
          </w:p>
          <w:p w14:paraId="049EFDAE"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 xml:space="preserve">Thin dehydrated for the animal that died, </w:t>
            </w:r>
          </w:p>
          <w:p w14:paraId="6276B0CF"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Transitory dehydrated appearance in another animal, and</w:t>
            </w:r>
          </w:p>
          <w:p w14:paraId="7E69E2AA"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 xml:space="preserve">Hypersensitivity, convulsions and reduced activity for another animal  </w:t>
            </w:r>
          </w:p>
          <w:p w14:paraId="3F29A26C" w14:textId="77777777" w:rsidR="00EA0C88" w:rsidRPr="00906597" w:rsidRDefault="00FC47E9" w:rsidP="00906597">
            <w:pPr>
              <w:pStyle w:val="Bullet1G"/>
              <w:numPr>
                <w:ilvl w:val="0"/>
                <w:numId w:val="0"/>
              </w:numPr>
              <w:spacing w:after="30" w:line="240" w:lineRule="auto"/>
              <w:ind w:left="341" w:right="33" w:hanging="284"/>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Reduced body weight (males only)</w:t>
            </w:r>
          </w:p>
          <w:p w14:paraId="3B48DD14"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Decreased food and water intake</w:t>
            </w:r>
          </w:p>
          <w:p w14:paraId="75562BEB"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 xml:space="preserve">Motor activity was reduced (females only), </w:t>
            </w:r>
          </w:p>
          <w:p w14:paraId="05DFC68B"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Neuropathological lesions were observed</w:t>
            </w:r>
          </w:p>
          <w:p w14:paraId="74D072D2"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 xml:space="preserve">Gross pathological findings include smaller absolute and relative thymus and/or spleen weight at the terminal sacrifice </w:t>
            </w:r>
          </w:p>
          <w:p w14:paraId="7BD1E88F" w14:textId="77777777" w:rsidR="00EA0C88" w:rsidRPr="00906597" w:rsidRDefault="00FC47E9" w:rsidP="00906597">
            <w:pPr>
              <w:pStyle w:val="Bullet1G"/>
              <w:numPr>
                <w:ilvl w:val="0"/>
                <w:numId w:val="0"/>
              </w:numPr>
              <w:spacing w:after="30" w:line="240" w:lineRule="auto"/>
              <w:ind w:left="339" w:right="33"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Terminal evaluations indicated possible treatment-related lymphoid atrophy of the thymus</w:t>
            </w:r>
          </w:p>
        </w:tc>
      </w:tr>
      <w:tr w:rsidR="00EA0C88" w:rsidRPr="00906597" w14:paraId="146EDB52" w14:textId="77777777" w:rsidTr="00906597">
        <w:tc>
          <w:tcPr>
            <w:tcW w:w="1418" w:type="dxa"/>
            <w:shd w:val="clear" w:color="auto" w:fill="auto"/>
            <w:vAlign w:val="center"/>
          </w:tcPr>
          <w:p w14:paraId="581FE905" w14:textId="77777777" w:rsidR="00EA0C88" w:rsidRPr="00906597" w:rsidRDefault="00EA0C88"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1.9</w:t>
            </w:r>
          </w:p>
        </w:tc>
        <w:tc>
          <w:tcPr>
            <w:tcW w:w="7229" w:type="dxa"/>
            <w:shd w:val="clear" w:color="auto" w:fill="auto"/>
          </w:tcPr>
          <w:p w14:paraId="5B3B585B" w14:textId="77777777" w:rsidR="00EA0C88" w:rsidRPr="00906597" w:rsidRDefault="00FC47E9" w:rsidP="00906597">
            <w:pPr>
              <w:pStyle w:val="Bullet1G"/>
              <w:numPr>
                <w:ilvl w:val="0"/>
                <w:numId w:val="0"/>
              </w:numPr>
              <w:spacing w:after="30" w:line="240" w:lineRule="auto"/>
              <w:ind w:left="339"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No mortality</w:t>
            </w:r>
          </w:p>
          <w:p w14:paraId="0EB97859" w14:textId="77777777" w:rsidR="00EA0C88" w:rsidRPr="00906597" w:rsidRDefault="00FC47E9" w:rsidP="00906597">
            <w:pPr>
              <w:pStyle w:val="Bullet1G"/>
              <w:numPr>
                <w:ilvl w:val="0"/>
                <w:numId w:val="0"/>
              </w:numPr>
              <w:spacing w:after="30" w:line="240" w:lineRule="auto"/>
              <w:ind w:left="339"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Findings were limited to:</w:t>
            </w:r>
          </w:p>
          <w:p w14:paraId="7C4AA746"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Reduced food (males only) and water intake</w:t>
            </w:r>
          </w:p>
          <w:p w14:paraId="57002A6E" w14:textId="77777777" w:rsidR="00EA0C88" w:rsidRPr="00906597" w:rsidRDefault="00EA0C88" w:rsidP="00906597">
            <w:pPr>
              <w:pStyle w:val="ListParagraph"/>
              <w:numPr>
                <w:ilvl w:val="0"/>
                <w:numId w:val="21"/>
              </w:numPr>
              <w:suppressAutoHyphens w:val="0"/>
              <w:kinsoku/>
              <w:overflowPunct/>
              <w:autoSpaceDE/>
              <w:autoSpaceDN/>
              <w:adjustRightInd/>
              <w:snapToGrid/>
              <w:spacing w:after="30" w:line="240" w:lineRule="auto"/>
              <w:ind w:left="601" w:right="33" w:hanging="283"/>
              <w:rPr>
                <w:rFonts w:asciiTheme="majorBidi" w:hAnsiTheme="majorBidi" w:cstheme="majorBidi"/>
                <w:sz w:val="18"/>
                <w:szCs w:val="18"/>
              </w:rPr>
            </w:pPr>
            <w:r w:rsidRPr="00906597">
              <w:rPr>
                <w:rFonts w:asciiTheme="majorBidi" w:hAnsiTheme="majorBidi" w:cstheme="majorBidi"/>
                <w:sz w:val="18"/>
                <w:szCs w:val="18"/>
              </w:rPr>
              <w:t>Neuropathological lesions (slight to moderate vacuolization in the brain and spinal cord tissue)</w:t>
            </w:r>
          </w:p>
          <w:p w14:paraId="3C689D7F" w14:textId="77777777" w:rsidR="00EA0C88" w:rsidRPr="00906597" w:rsidRDefault="00FC47E9" w:rsidP="00906597">
            <w:pPr>
              <w:pStyle w:val="Bullet1G"/>
              <w:numPr>
                <w:ilvl w:val="0"/>
                <w:numId w:val="0"/>
              </w:numPr>
              <w:spacing w:after="30" w:line="240" w:lineRule="auto"/>
              <w:ind w:left="339" w:hanging="283"/>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EA0C88" w:rsidRPr="00906597">
              <w:rPr>
                <w:rFonts w:asciiTheme="majorBidi" w:hAnsiTheme="majorBidi" w:cstheme="majorBidi"/>
                <w:sz w:val="18"/>
                <w:szCs w:val="18"/>
              </w:rPr>
              <w:t xml:space="preserve">The NOAEL </w:t>
            </w:r>
            <w:proofErr w:type="gramStart"/>
            <w:r w:rsidR="00EA0C88" w:rsidRPr="00906597">
              <w:rPr>
                <w:rFonts w:asciiTheme="majorBidi" w:hAnsiTheme="majorBidi" w:cstheme="majorBidi"/>
                <w:sz w:val="18"/>
                <w:szCs w:val="18"/>
              </w:rPr>
              <w:t>is considered to be</w:t>
            </w:r>
            <w:proofErr w:type="gramEnd"/>
            <w:r w:rsidR="00EA0C88" w:rsidRPr="00906597">
              <w:rPr>
                <w:rFonts w:asciiTheme="majorBidi" w:hAnsiTheme="majorBidi" w:cstheme="majorBidi"/>
                <w:sz w:val="18"/>
                <w:szCs w:val="18"/>
              </w:rPr>
              <w:t xml:space="preserve"> less than this dose level.</w:t>
            </w:r>
          </w:p>
        </w:tc>
      </w:tr>
    </w:tbl>
    <w:p w14:paraId="7BE08585" w14:textId="77777777" w:rsidR="00AE7B60" w:rsidRPr="00906597" w:rsidRDefault="00906597" w:rsidP="00906597">
      <w:pPr>
        <w:pStyle w:val="H23G"/>
        <w:ind w:hanging="141"/>
        <w:rPr>
          <w:b w:val="0"/>
          <w:bCs/>
        </w:rPr>
      </w:pPr>
      <w:r>
        <w:rPr>
          <w:b w:val="0"/>
          <w:bCs/>
        </w:rPr>
        <w:lastRenderedPageBreak/>
        <w:tab/>
      </w:r>
      <w:r w:rsidR="00AE7B60" w:rsidRPr="00906597">
        <w:rPr>
          <w:b w:val="0"/>
          <w:bCs/>
        </w:rPr>
        <w:tab/>
      </w:r>
      <w:r>
        <w:rPr>
          <w:b w:val="0"/>
          <w:bCs/>
        </w:rPr>
        <w:t>(</w:t>
      </w:r>
      <w:r w:rsidR="00807FB8">
        <w:rPr>
          <w:b w:val="0"/>
          <w:bCs/>
        </w:rPr>
        <w:t>b</w:t>
      </w:r>
      <w:r>
        <w:rPr>
          <w:b w:val="0"/>
          <w:bCs/>
        </w:rPr>
        <w:t>)</w:t>
      </w:r>
      <w:r>
        <w:rPr>
          <w:b w:val="0"/>
          <w:bCs/>
        </w:rPr>
        <w:tab/>
      </w:r>
      <w:r w:rsidR="00AE7B60" w:rsidRPr="00807FB8">
        <w:rPr>
          <w:b w:val="0"/>
          <w:bCs/>
        </w:rPr>
        <w:t xml:space="preserve">Study 2:  Oral </w:t>
      </w:r>
      <w:r w:rsidRPr="00807FB8">
        <w:rPr>
          <w:b w:val="0"/>
          <w:bCs/>
        </w:rPr>
        <w:t>r</w:t>
      </w:r>
      <w:r w:rsidR="00AE7B60" w:rsidRPr="00807FB8">
        <w:rPr>
          <w:b w:val="0"/>
          <w:bCs/>
        </w:rPr>
        <w:t xml:space="preserve">oute of </w:t>
      </w:r>
      <w:r w:rsidRPr="00807FB8">
        <w:rPr>
          <w:b w:val="0"/>
          <w:bCs/>
        </w:rPr>
        <w:t>e</w:t>
      </w:r>
      <w:r w:rsidR="00AE7B60" w:rsidRPr="00807FB8">
        <w:rPr>
          <w:b w:val="0"/>
          <w:bCs/>
        </w:rPr>
        <w:t>xposure</w:t>
      </w:r>
    </w:p>
    <w:p w14:paraId="6F6F2A03" w14:textId="77777777" w:rsidR="00AE7B60" w:rsidRPr="00707E19" w:rsidRDefault="00AE7B60" w:rsidP="00807FB8">
      <w:pPr>
        <w:pStyle w:val="SingleTxtG"/>
        <w:ind w:left="1701"/>
      </w:pPr>
      <w:r w:rsidRPr="00707E19">
        <w:t>90-day Oral OECD TG 408 Study</w:t>
      </w:r>
    </w:p>
    <w:p w14:paraId="16ABA81C" w14:textId="77777777" w:rsidR="00AE7B60" w:rsidRPr="00707E19" w:rsidRDefault="00AE7B60" w:rsidP="00807FB8">
      <w:pPr>
        <w:pStyle w:val="SingleTxtG"/>
        <w:ind w:left="1701"/>
      </w:pPr>
      <w:r w:rsidRPr="00707E19">
        <w:t xml:space="preserve">16 Wistar rats (8 male/8 female); Oral dose levels: 0, 0.07, 0.4, 1.0 and 17 mg/kg </w:t>
      </w:r>
      <w:proofErr w:type="spellStart"/>
      <w:r w:rsidRPr="00707E19">
        <w:t>bw</w:t>
      </w:r>
      <w:proofErr w:type="spellEnd"/>
      <w:r w:rsidRPr="00707E19">
        <w:t>/day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398"/>
      </w:tblGrid>
      <w:tr w:rsidR="00AE7B60" w:rsidRPr="00906597" w14:paraId="040CBD31" w14:textId="77777777" w:rsidTr="00AE7B60">
        <w:tc>
          <w:tcPr>
            <w:tcW w:w="1458" w:type="dxa"/>
            <w:shd w:val="clear" w:color="auto" w:fill="auto"/>
          </w:tcPr>
          <w:p w14:paraId="525CE6C1"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Dose Level</w:t>
            </w:r>
          </w:p>
          <w:p w14:paraId="510D56E0"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 xml:space="preserve">(mg/kg </w:t>
            </w:r>
            <w:proofErr w:type="spellStart"/>
            <w:r w:rsidRPr="00906597">
              <w:rPr>
                <w:rFonts w:asciiTheme="majorBidi" w:hAnsiTheme="majorBidi" w:cstheme="majorBidi"/>
                <w:sz w:val="18"/>
                <w:szCs w:val="18"/>
              </w:rPr>
              <w:t>bw</w:t>
            </w:r>
            <w:proofErr w:type="spellEnd"/>
            <w:r w:rsidRPr="00906597">
              <w:rPr>
                <w:rFonts w:asciiTheme="majorBidi" w:hAnsiTheme="majorBidi" w:cstheme="majorBidi"/>
                <w:sz w:val="18"/>
                <w:szCs w:val="18"/>
              </w:rPr>
              <w:t>)</w:t>
            </w:r>
          </w:p>
        </w:tc>
        <w:tc>
          <w:tcPr>
            <w:tcW w:w="7398" w:type="dxa"/>
            <w:shd w:val="clear" w:color="auto" w:fill="auto"/>
          </w:tcPr>
          <w:p w14:paraId="07CAA446"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Result</w:t>
            </w:r>
          </w:p>
        </w:tc>
      </w:tr>
      <w:tr w:rsidR="00AE7B60" w:rsidRPr="00906597" w14:paraId="104A6AF8" w14:textId="77777777" w:rsidTr="00AE7B60">
        <w:tc>
          <w:tcPr>
            <w:tcW w:w="1458" w:type="dxa"/>
            <w:shd w:val="clear" w:color="auto" w:fill="auto"/>
            <w:vAlign w:val="center"/>
          </w:tcPr>
          <w:p w14:paraId="77C2B745"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17</w:t>
            </w:r>
          </w:p>
        </w:tc>
        <w:tc>
          <w:tcPr>
            <w:tcW w:w="7398" w:type="dxa"/>
            <w:shd w:val="clear" w:color="auto" w:fill="auto"/>
          </w:tcPr>
          <w:p w14:paraId="03FDD44C" w14:textId="77777777" w:rsidR="00AE7B60" w:rsidRPr="00906597" w:rsidRDefault="00FC47E9" w:rsidP="00906597">
            <w:pPr>
              <w:pStyle w:val="Bullet1G"/>
              <w:numPr>
                <w:ilvl w:val="0"/>
                <w:numId w:val="0"/>
              </w:numPr>
              <w:spacing w:after="30" w:line="240" w:lineRule="auto"/>
              <w:ind w:left="424" w:right="386" w:hanging="424"/>
              <w:jc w:val="left"/>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 xml:space="preserve">Death in 3 animals during the first month and most remaining animals showed severe neurological and neurobehavioral signs, including tremors, convulsions and increased </w:t>
            </w:r>
            <w:proofErr w:type="spellStart"/>
            <w:r w:rsidR="00AE7B60" w:rsidRPr="00906597">
              <w:rPr>
                <w:rFonts w:asciiTheme="majorBidi" w:hAnsiTheme="majorBidi" w:cstheme="majorBidi"/>
                <w:sz w:val="18"/>
                <w:szCs w:val="18"/>
              </w:rPr>
              <w:t>footsplay</w:t>
            </w:r>
            <w:proofErr w:type="spellEnd"/>
            <w:r w:rsidR="00AE7B60" w:rsidRPr="00906597">
              <w:rPr>
                <w:rFonts w:asciiTheme="majorBidi" w:hAnsiTheme="majorBidi" w:cstheme="majorBidi"/>
                <w:sz w:val="18"/>
                <w:szCs w:val="18"/>
              </w:rPr>
              <w:t>. All remaining animals of this group were sacrificed.</w:t>
            </w:r>
          </w:p>
          <w:p w14:paraId="3BC60F66" w14:textId="77777777" w:rsidR="00AE7B60" w:rsidRPr="00906597" w:rsidRDefault="00FC47E9" w:rsidP="00906597">
            <w:pPr>
              <w:pStyle w:val="Bullet1G"/>
              <w:numPr>
                <w:ilvl w:val="0"/>
                <w:numId w:val="0"/>
              </w:numPr>
              <w:spacing w:after="30" w:line="240" w:lineRule="auto"/>
              <w:ind w:left="424" w:hanging="424"/>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Mean body weights for males were significantly lower</w:t>
            </w:r>
          </w:p>
          <w:p w14:paraId="384980D7" w14:textId="77777777" w:rsidR="00AE7B60" w:rsidRPr="00906597" w:rsidRDefault="00FC47E9" w:rsidP="00906597">
            <w:pPr>
              <w:pStyle w:val="Bullet1G"/>
              <w:numPr>
                <w:ilvl w:val="0"/>
                <w:numId w:val="0"/>
              </w:numPr>
              <w:spacing w:after="30" w:line="240" w:lineRule="auto"/>
              <w:ind w:left="424" w:hanging="424"/>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Upon microscopic examination, changes were observed in the brain, the kidneys and thymus.</w:t>
            </w:r>
          </w:p>
          <w:p w14:paraId="76E08833" w14:textId="77777777" w:rsidR="00AE7B60" w:rsidRPr="00906597" w:rsidRDefault="00AE7B60" w:rsidP="00906597">
            <w:pPr>
              <w:pStyle w:val="ListParagraph"/>
              <w:numPr>
                <w:ilvl w:val="0"/>
                <w:numId w:val="21"/>
              </w:numPr>
              <w:suppressAutoHyphens w:val="0"/>
              <w:kinsoku/>
              <w:overflowPunct/>
              <w:autoSpaceDE/>
              <w:autoSpaceDN/>
              <w:adjustRightInd/>
              <w:snapToGrid/>
              <w:spacing w:after="30" w:line="240" w:lineRule="auto"/>
              <w:ind w:left="704" w:right="33" w:hanging="283"/>
              <w:rPr>
                <w:rFonts w:asciiTheme="majorBidi" w:hAnsiTheme="majorBidi" w:cstheme="majorBidi"/>
                <w:sz w:val="18"/>
                <w:szCs w:val="18"/>
              </w:rPr>
            </w:pPr>
            <w:r w:rsidRPr="00906597">
              <w:rPr>
                <w:rFonts w:asciiTheme="majorBidi" w:hAnsiTheme="majorBidi" w:cstheme="majorBidi"/>
                <w:sz w:val="18"/>
                <w:szCs w:val="18"/>
              </w:rPr>
              <w:t>Females had increased incidence of corticomedullary haemorrhage in the thymus and most showed cortical lymphoid depletion in the thymus</w:t>
            </w:r>
          </w:p>
          <w:p w14:paraId="1ED61367" w14:textId="77777777" w:rsidR="00AE7B60" w:rsidRPr="00906597" w:rsidRDefault="00AE7B60" w:rsidP="00906597">
            <w:pPr>
              <w:pStyle w:val="ListParagraph"/>
              <w:numPr>
                <w:ilvl w:val="0"/>
                <w:numId w:val="21"/>
              </w:numPr>
              <w:suppressAutoHyphens w:val="0"/>
              <w:kinsoku/>
              <w:overflowPunct/>
              <w:autoSpaceDE/>
              <w:autoSpaceDN/>
              <w:adjustRightInd/>
              <w:snapToGrid/>
              <w:spacing w:after="30" w:line="240" w:lineRule="auto"/>
              <w:ind w:left="704" w:right="33" w:hanging="283"/>
              <w:rPr>
                <w:rFonts w:asciiTheme="majorBidi" w:hAnsiTheme="majorBidi" w:cstheme="majorBidi"/>
                <w:sz w:val="18"/>
                <w:szCs w:val="18"/>
              </w:rPr>
            </w:pPr>
            <w:r w:rsidRPr="00906597">
              <w:rPr>
                <w:rFonts w:asciiTheme="majorBidi" w:hAnsiTheme="majorBidi" w:cstheme="majorBidi"/>
                <w:sz w:val="18"/>
                <w:szCs w:val="18"/>
              </w:rPr>
              <w:t>All animals showed decreased accumulation of brown pigment in the spleen.</w:t>
            </w:r>
          </w:p>
          <w:p w14:paraId="15B30819" w14:textId="77777777" w:rsidR="00AE7B60" w:rsidRPr="00906597" w:rsidRDefault="00AE7B60" w:rsidP="00906597">
            <w:pPr>
              <w:pStyle w:val="ListParagraph"/>
              <w:numPr>
                <w:ilvl w:val="0"/>
                <w:numId w:val="21"/>
              </w:numPr>
              <w:suppressAutoHyphens w:val="0"/>
              <w:kinsoku/>
              <w:overflowPunct/>
              <w:autoSpaceDE/>
              <w:autoSpaceDN/>
              <w:adjustRightInd/>
              <w:snapToGrid/>
              <w:spacing w:after="30" w:line="240" w:lineRule="auto"/>
              <w:ind w:left="704" w:right="33" w:hanging="283"/>
              <w:rPr>
                <w:rFonts w:asciiTheme="majorBidi" w:hAnsiTheme="majorBidi" w:cstheme="majorBidi"/>
                <w:sz w:val="18"/>
                <w:szCs w:val="18"/>
              </w:rPr>
            </w:pPr>
            <w:r w:rsidRPr="00906597">
              <w:rPr>
                <w:rFonts w:asciiTheme="majorBidi" w:hAnsiTheme="majorBidi" w:cstheme="majorBidi"/>
                <w:sz w:val="18"/>
                <w:szCs w:val="18"/>
              </w:rPr>
              <w:t xml:space="preserve">Pronounced neuronal death in </w:t>
            </w:r>
            <w:proofErr w:type="gramStart"/>
            <w:r w:rsidRPr="00906597">
              <w:rPr>
                <w:rFonts w:asciiTheme="majorBidi" w:hAnsiTheme="majorBidi" w:cstheme="majorBidi"/>
                <w:sz w:val="18"/>
                <w:szCs w:val="18"/>
              </w:rPr>
              <w:t>a number of</w:t>
            </w:r>
            <w:proofErr w:type="gramEnd"/>
            <w:r w:rsidRPr="00906597">
              <w:rPr>
                <w:rFonts w:asciiTheme="majorBidi" w:hAnsiTheme="majorBidi" w:cstheme="majorBidi"/>
                <w:sz w:val="18"/>
                <w:szCs w:val="18"/>
              </w:rPr>
              <w:t xml:space="preserve"> areas of the cerebellum was more pronounced in females.  The areas with predominant lesions were the hippocampal region, the piriform, entorhinal and perirhinal cortices and amygdala, the olfactory nuclei and the </w:t>
            </w:r>
            <w:proofErr w:type="spellStart"/>
            <w:r w:rsidRPr="00906597">
              <w:rPr>
                <w:rFonts w:asciiTheme="majorBidi" w:hAnsiTheme="majorBidi" w:cstheme="majorBidi"/>
                <w:sz w:val="18"/>
                <w:szCs w:val="18"/>
              </w:rPr>
              <w:t>tenia</w:t>
            </w:r>
            <w:proofErr w:type="spellEnd"/>
            <w:r w:rsidRPr="00906597">
              <w:rPr>
                <w:rFonts w:asciiTheme="majorBidi" w:hAnsiTheme="majorBidi" w:cstheme="majorBidi"/>
                <w:sz w:val="18"/>
                <w:szCs w:val="18"/>
              </w:rPr>
              <w:t xml:space="preserve"> tecta. Also, a slight increase in swollen axons in the spinal cord was observed.</w:t>
            </w:r>
          </w:p>
        </w:tc>
      </w:tr>
      <w:tr w:rsidR="00AE7B60" w:rsidRPr="00906597" w14:paraId="58600BE7" w14:textId="77777777" w:rsidTr="00AE7B60">
        <w:tc>
          <w:tcPr>
            <w:tcW w:w="1458" w:type="dxa"/>
            <w:shd w:val="clear" w:color="auto" w:fill="auto"/>
            <w:vAlign w:val="center"/>
          </w:tcPr>
          <w:p w14:paraId="11F6754D"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1.0</w:t>
            </w:r>
          </w:p>
        </w:tc>
        <w:tc>
          <w:tcPr>
            <w:tcW w:w="7398" w:type="dxa"/>
            <w:shd w:val="clear" w:color="auto" w:fill="auto"/>
          </w:tcPr>
          <w:p w14:paraId="36FED035" w14:textId="77777777" w:rsidR="00AE7B60" w:rsidRPr="00906597" w:rsidRDefault="00FC47E9" w:rsidP="00906597">
            <w:pPr>
              <w:pStyle w:val="Bullet1G"/>
              <w:numPr>
                <w:ilvl w:val="0"/>
                <w:numId w:val="0"/>
              </w:numPr>
              <w:spacing w:after="3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No clinical signs</w:t>
            </w:r>
          </w:p>
          <w:p w14:paraId="688654CC" w14:textId="77777777" w:rsidR="00AE7B60" w:rsidRPr="00906597" w:rsidRDefault="00FC47E9" w:rsidP="00906597">
            <w:pPr>
              <w:pStyle w:val="Bullet1G"/>
              <w:numPr>
                <w:ilvl w:val="0"/>
                <w:numId w:val="0"/>
              </w:numPr>
              <w:spacing w:after="3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 xml:space="preserve">Microscopic examination revealed no changes compared to the control group </w:t>
            </w:r>
          </w:p>
          <w:p w14:paraId="04700442" w14:textId="77777777" w:rsidR="00AE7B60" w:rsidRPr="00906597" w:rsidRDefault="00FC47E9" w:rsidP="00906597">
            <w:pPr>
              <w:pStyle w:val="Bullet1G"/>
              <w:numPr>
                <w:ilvl w:val="0"/>
                <w:numId w:val="0"/>
              </w:numPr>
              <w:spacing w:after="3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The NOAEL is placed at this level.</w:t>
            </w:r>
          </w:p>
        </w:tc>
      </w:tr>
      <w:tr w:rsidR="00AE7B60" w:rsidRPr="00906597" w14:paraId="0D65F629" w14:textId="77777777" w:rsidTr="00AE7B60">
        <w:tc>
          <w:tcPr>
            <w:tcW w:w="1458" w:type="dxa"/>
            <w:shd w:val="clear" w:color="auto" w:fill="auto"/>
            <w:vAlign w:val="center"/>
          </w:tcPr>
          <w:p w14:paraId="77B57209"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0.4</w:t>
            </w:r>
          </w:p>
        </w:tc>
        <w:tc>
          <w:tcPr>
            <w:tcW w:w="7398" w:type="dxa"/>
            <w:shd w:val="clear" w:color="auto" w:fill="auto"/>
          </w:tcPr>
          <w:p w14:paraId="06E4AA4D" w14:textId="77777777" w:rsidR="00AE7B60" w:rsidRPr="00906597" w:rsidRDefault="00FC47E9" w:rsidP="00906597">
            <w:pPr>
              <w:pStyle w:val="Bullet1G"/>
              <w:numPr>
                <w:ilvl w:val="0"/>
                <w:numId w:val="0"/>
              </w:numPr>
              <w:spacing w:after="3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No clinical signs</w:t>
            </w:r>
          </w:p>
        </w:tc>
      </w:tr>
      <w:tr w:rsidR="00AE7B60" w:rsidRPr="00906597" w14:paraId="1F8F37B5" w14:textId="77777777" w:rsidTr="00AE7B60">
        <w:tc>
          <w:tcPr>
            <w:tcW w:w="1458" w:type="dxa"/>
            <w:shd w:val="clear" w:color="auto" w:fill="auto"/>
            <w:vAlign w:val="center"/>
          </w:tcPr>
          <w:p w14:paraId="1BA1407D" w14:textId="77777777" w:rsidR="00AE7B60" w:rsidRPr="00906597" w:rsidRDefault="00AE7B60" w:rsidP="00906597">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0.07</w:t>
            </w:r>
          </w:p>
        </w:tc>
        <w:tc>
          <w:tcPr>
            <w:tcW w:w="7398" w:type="dxa"/>
            <w:shd w:val="clear" w:color="auto" w:fill="auto"/>
          </w:tcPr>
          <w:p w14:paraId="1433BABA" w14:textId="77777777" w:rsidR="00AE7B60" w:rsidRPr="00906597" w:rsidRDefault="00FC47E9" w:rsidP="00906597">
            <w:pPr>
              <w:pStyle w:val="Bullet1G"/>
              <w:numPr>
                <w:ilvl w:val="0"/>
                <w:numId w:val="0"/>
              </w:numPr>
              <w:spacing w:after="3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AE7B60" w:rsidRPr="00906597">
              <w:rPr>
                <w:rFonts w:asciiTheme="majorBidi" w:hAnsiTheme="majorBidi" w:cstheme="majorBidi"/>
                <w:sz w:val="18"/>
                <w:szCs w:val="18"/>
              </w:rPr>
              <w:t>No clinical signs</w:t>
            </w:r>
          </w:p>
        </w:tc>
      </w:tr>
    </w:tbl>
    <w:p w14:paraId="5458CED4" w14:textId="77777777" w:rsidR="00FE247F" w:rsidRPr="00707E19" w:rsidRDefault="00FE247F" w:rsidP="00906597">
      <w:pPr>
        <w:pStyle w:val="H23G"/>
      </w:pPr>
      <w:r>
        <w:tab/>
      </w:r>
      <w:r>
        <w:tab/>
      </w:r>
      <w:r w:rsidRPr="00707E19">
        <w:t>Answer</w:t>
      </w:r>
    </w:p>
    <w:p w14:paraId="6E037E11" w14:textId="77777777" w:rsidR="00FE247F" w:rsidRPr="00707E19" w:rsidRDefault="00FE247F" w:rsidP="00FE247F">
      <w:pPr>
        <w:pStyle w:val="SingleTxtG"/>
      </w:pPr>
      <w:r w:rsidRPr="00707E19">
        <w:t xml:space="preserve">Acute </w:t>
      </w:r>
      <w:r w:rsidR="00906597">
        <w:t>o</w:t>
      </w:r>
      <w:r w:rsidRPr="00707E19">
        <w:t xml:space="preserve">ral </w:t>
      </w:r>
      <w:r w:rsidR="00906597">
        <w:t>t</w:t>
      </w:r>
      <w:r w:rsidRPr="00707E19">
        <w:t>oxicity</w:t>
      </w:r>
      <w:r w:rsidR="00906597">
        <w:t xml:space="preserve">, </w:t>
      </w:r>
      <w:r w:rsidRPr="00707E19">
        <w:t>Category 3</w:t>
      </w:r>
    </w:p>
    <w:p w14:paraId="17085754" w14:textId="77777777" w:rsidR="00FE247F" w:rsidRPr="00707E19" w:rsidRDefault="00FE247F" w:rsidP="00FE247F">
      <w:pPr>
        <w:pStyle w:val="SingleTxtG"/>
      </w:pPr>
      <w:r w:rsidRPr="00707E19">
        <w:t xml:space="preserve">Acute </w:t>
      </w:r>
      <w:r w:rsidR="00906597">
        <w:t>d</w:t>
      </w:r>
      <w:r w:rsidRPr="00707E19">
        <w:t xml:space="preserve">ermal </w:t>
      </w:r>
      <w:r w:rsidR="00906597">
        <w:t>t</w:t>
      </w:r>
      <w:r w:rsidRPr="00707E19">
        <w:t>oxicity</w:t>
      </w:r>
      <w:r w:rsidR="00906597">
        <w:t>,</w:t>
      </w:r>
      <w:r w:rsidRPr="00707E19">
        <w:t xml:space="preserve"> Category 3</w:t>
      </w:r>
    </w:p>
    <w:p w14:paraId="360ADC73" w14:textId="77777777" w:rsidR="00FE247F" w:rsidRPr="00707E19" w:rsidRDefault="00FE247F" w:rsidP="00FE247F">
      <w:pPr>
        <w:pStyle w:val="SingleTxtG"/>
      </w:pPr>
      <w:r w:rsidRPr="00707E19">
        <w:t xml:space="preserve">Acute </w:t>
      </w:r>
      <w:r w:rsidR="00906597">
        <w:t>i</w:t>
      </w:r>
      <w:r w:rsidRPr="00707E19">
        <w:t xml:space="preserve">nhalation </w:t>
      </w:r>
      <w:r w:rsidR="00906597">
        <w:t>t</w:t>
      </w:r>
      <w:r w:rsidRPr="00707E19">
        <w:t>oxicity</w:t>
      </w:r>
      <w:r w:rsidR="00906597">
        <w:t>, c</w:t>
      </w:r>
      <w:r w:rsidRPr="00707E19">
        <w:t>ategory 2</w:t>
      </w:r>
    </w:p>
    <w:p w14:paraId="59B804B0" w14:textId="77777777" w:rsidR="00FE247F" w:rsidRPr="00707E19" w:rsidRDefault="00FE247F" w:rsidP="00FE247F">
      <w:pPr>
        <w:pStyle w:val="SingleTxtG"/>
      </w:pP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Repeated </w:t>
      </w:r>
      <w:r w:rsidR="00906597">
        <w:t>e</w:t>
      </w:r>
      <w:r w:rsidRPr="00707E19">
        <w:t>xposure</w:t>
      </w:r>
      <w:r w:rsidR="00906597">
        <w:t xml:space="preserve">, </w:t>
      </w:r>
      <w:r w:rsidRPr="00707E19">
        <w:t xml:space="preserve">Category 1 </w:t>
      </w:r>
    </w:p>
    <w:p w14:paraId="0398B6C6" w14:textId="77777777" w:rsidR="00FE247F" w:rsidRPr="00707E19" w:rsidRDefault="00FE247F" w:rsidP="00FE247F">
      <w:pPr>
        <w:pStyle w:val="SingleTxtG"/>
      </w:pPr>
      <w:r w:rsidRPr="00707E19">
        <w:t xml:space="preserve">(Target </w:t>
      </w:r>
      <w:r w:rsidR="00906597">
        <w:t>o</w:t>
      </w:r>
      <w:r w:rsidRPr="00707E19">
        <w:t xml:space="preserve">rgans:  Nervous system, </w:t>
      </w:r>
      <w:r w:rsidR="00906597">
        <w:t>t</w:t>
      </w:r>
      <w:r>
        <w:t>hymus</w:t>
      </w:r>
      <w:r w:rsidRPr="00707E19">
        <w:t>)</w:t>
      </w:r>
    </w:p>
    <w:p w14:paraId="14A86D73" w14:textId="77777777" w:rsidR="00FE247F" w:rsidRPr="00707E19" w:rsidRDefault="00FE247F" w:rsidP="00FE247F">
      <w:pPr>
        <w:pStyle w:val="H23G"/>
      </w:pPr>
      <w:r>
        <w:tab/>
      </w:r>
      <w:r>
        <w:tab/>
      </w:r>
      <w:r w:rsidRPr="00707E19">
        <w:t xml:space="preserve">Rationale </w:t>
      </w:r>
    </w:p>
    <w:p w14:paraId="1C7B8C01" w14:textId="77777777" w:rsidR="00FE247F" w:rsidRPr="00707E19" w:rsidRDefault="00FE247F" w:rsidP="00906597">
      <w:pPr>
        <w:pStyle w:val="H4G"/>
      </w:pPr>
      <w:r>
        <w:tab/>
      </w:r>
      <w:r w:rsidR="00906597">
        <w:t>(a)</w:t>
      </w:r>
      <w:r>
        <w:tab/>
      </w:r>
      <w:r w:rsidRPr="00707E19">
        <w:t xml:space="preserve">Acute </w:t>
      </w:r>
      <w:r w:rsidR="00906597">
        <w:t>o</w:t>
      </w:r>
      <w:r w:rsidRPr="00707E19">
        <w:t xml:space="preserve">ral </w:t>
      </w:r>
      <w:r w:rsidR="00906597">
        <w:t>t</w:t>
      </w:r>
      <w:r w:rsidRPr="00707E19">
        <w:t>oxicity</w:t>
      </w:r>
    </w:p>
    <w:p w14:paraId="4AB6B0D2" w14:textId="77777777" w:rsidR="00FE247F" w:rsidRPr="00707E19" w:rsidRDefault="00FE247F" w:rsidP="00FE247F">
      <w:pPr>
        <w:pStyle w:val="SingleTxtG"/>
      </w:pPr>
      <w:r w:rsidRPr="00707E19">
        <w:t>Classification via application of criteria in GHS Table 3.1.1 is possible. The study used the preferred test species (</w:t>
      </w:r>
      <w:r>
        <w:t>i.e.,</w:t>
      </w:r>
      <w:r w:rsidRPr="00707E19">
        <w:t xml:space="preserve"> rat) as noted in paragraph 3.1.2.3 and the 2 Oral (rat) LD</w:t>
      </w:r>
      <w:r w:rsidRPr="00707E19">
        <w:rPr>
          <w:vertAlign w:val="subscript"/>
        </w:rPr>
        <w:t>50</w:t>
      </w:r>
      <w:r w:rsidRPr="00707E19">
        <w:t xml:space="preserve"> between 160 and 273 mg/kg are both within the Category 3 range of 50 &lt; ATE </w:t>
      </w:r>
      <w:r w:rsidRPr="00707E19">
        <w:sym w:font="Symbol" w:char="F0A3"/>
      </w:r>
      <w:r w:rsidRPr="00707E19">
        <w:t xml:space="preserve"> 300 resulting in a Category 3 classification via the oral route.  </w:t>
      </w:r>
    </w:p>
    <w:p w14:paraId="5DAA3371" w14:textId="77777777" w:rsidR="00FE247F" w:rsidRPr="00707E19" w:rsidRDefault="00FE247F" w:rsidP="00906597">
      <w:pPr>
        <w:pStyle w:val="H4G"/>
      </w:pPr>
      <w:r>
        <w:tab/>
      </w:r>
      <w:r w:rsidR="00906597">
        <w:t>(b)</w:t>
      </w:r>
      <w:r>
        <w:tab/>
      </w:r>
      <w:r w:rsidRPr="00707E19">
        <w:t xml:space="preserve">Acute </w:t>
      </w:r>
      <w:r w:rsidR="00906597">
        <w:t>d</w:t>
      </w:r>
      <w:r w:rsidRPr="00707E19">
        <w:t xml:space="preserve">ermal </w:t>
      </w:r>
      <w:r w:rsidR="00906597">
        <w:t>t</w:t>
      </w:r>
      <w:r w:rsidRPr="00707E19">
        <w:t>oxicity</w:t>
      </w:r>
    </w:p>
    <w:p w14:paraId="65845702" w14:textId="77777777" w:rsidR="00FE247F" w:rsidRPr="00707E19" w:rsidRDefault="00FE247F" w:rsidP="00FE247F">
      <w:pPr>
        <w:pStyle w:val="SingleTxtG"/>
      </w:pPr>
      <w:r w:rsidRPr="00707E19">
        <w:t>Classification via application of criteria in GHS Table 3.1.1 is possible. The study used a preferred test species (</w:t>
      </w:r>
      <w:r>
        <w:t>i.e.,</w:t>
      </w:r>
      <w:r w:rsidRPr="00707E19">
        <w:t xml:space="preserve"> rat or rabbit) as noted in paragraph 3.1.2.3 and the Dermal (Rat) LD</w:t>
      </w:r>
      <w:r w:rsidRPr="00707E19">
        <w:rPr>
          <w:vertAlign w:val="subscript"/>
        </w:rPr>
        <w:t>50</w:t>
      </w:r>
      <w:r w:rsidRPr="00707E19">
        <w:t xml:space="preserve"> of 404 mg/kg is within the Category 3 range of 200 &lt; ATE </w:t>
      </w:r>
      <w:r w:rsidRPr="00707E19">
        <w:sym w:font="Symbol" w:char="F0A3"/>
      </w:r>
      <w:r w:rsidRPr="00707E19">
        <w:t xml:space="preserve"> 1000 resulting in a Category 3 classification via the dermal route.  </w:t>
      </w:r>
    </w:p>
    <w:p w14:paraId="210AC337" w14:textId="77777777" w:rsidR="00FE247F" w:rsidRPr="00596592" w:rsidRDefault="00FE247F" w:rsidP="00906597">
      <w:pPr>
        <w:pStyle w:val="H4G"/>
      </w:pPr>
      <w:r>
        <w:tab/>
      </w:r>
      <w:r w:rsidR="00906597">
        <w:t>(c)</w:t>
      </w:r>
      <w:r>
        <w:tab/>
      </w:r>
      <w:r w:rsidRPr="00707E19">
        <w:t xml:space="preserve">Acute </w:t>
      </w:r>
      <w:r w:rsidR="00906597">
        <w:t>i</w:t>
      </w:r>
      <w:r w:rsidRPr="00707E19">
        <w:t xml:space="preserve">nhalation </w:t>
      </w:r>
      <w:r w:rsidR="00906597">
        <w:t>t</w:t>
      </w:r>
      <w:r w:rsidRPr="00707E19">
        <w:t>oxicity</w:t>
      </w:r>
    </w:p>
    <w:p w14:paraId="34EFE681" w14:textId="77777777" w:rsidR="00FE247F" w:rsidRPr="00707E19" w:rsidRDefault="00FE247F" w:rsidP="00FE247F">
      <w:pPr>
        <w:pStyle w:val="SingleTxtG"/>
      </w:pPr>
      <w:r w:rsidRPr="00707E19">
        <w:t>Classification via application of criteria in GHS Table 3.1.1 is possible. The study used the preferred test species (</w:t>
      </w:r>
      <w:r>
        <w:t>i.e.,</w:t>
      </w:r>
      <w:r w:rsidRPr="00707E19">
        <w:t xml:space="preserve"> rat) as noted in paragraph 3.1.2.3 and the two 4-hour </w:t>
      </w:r>
      <w:r w:rsidR="00906597">
        <w:t>i</w:t>
      </w:r>
      <w:r w:rsidRPr="00707E19">
        <w:t>nhalation (dust/mist) (Rat) LC</w:t>
      </w:r>
      <w:r w:rsidRPr="00707E19">
        <w:rPr>
          <w:vertAlign w:val="subscript"/>
        </w:rPr>
        <w:t>50</w:t>
      </w:r>
      <w:r w:rsidRPr="00707E19">
        <w:t xml:space="preserve"> values of </w:t>
      </w:r>
      <w:r w:rsidRPr="00707E19">
        <w:rPr>
          <w:rFonts w:eastAsia="Times New Roman"/>
          <w:color w:val="000000"/>
          <w:shd w:val="clear" w:color="auto" w:fill="FFFFFF"/>
        </w:rPr>
        <w:t>0.115 and 0.139 mg/L</w:t>
      </w:r>
      <w:r w:rsidRPr="00707E19">
        <w:t xml:space="preserve"> are within the Category 2 range of 0.05 &lt; ATE </w:t>
      </w:r>
      <w:r w:rsidRPr="00707E19">
        <w:sym w:font="Symbol" w:char="F0A3"/>
      </w:r>
      <w:r w:rsidRPr="00707E19">
        <w:t xml:space="preserve"> 0.5 resulting in a Category 2 classification via inhalation.  </w:t>
      </w:r>
    </w:p>
    <w:p w14:paraId="726AAE50" w14:textId="77777777" w:rsidR="00FE247F" w:rsidRPr="00707E19" w:rsidRDefault="00FE247F" w:rsidP="00906597">
      <w:pPr>
        <w:pStyle w:val="H4G"/>
      </w:pPr>
      <w:r>
        <w:lastRenderedPageBreak/>
        <w:tab/>
      </w:r>
      <w:r w:rsidR="00906597">
        <w:t>(d)</w:t>
      </w:r>
      <w:r>
        <w:tab/>
      </w: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Repeated </w:t>
      </w:r>
      <w:r w:rsidR="00906597">
        <w:t>e</w:t>
      </w:r>
      <w:r w:rsidRPr="00707E19">
        <w:t>xposure</w:t>
      </w:r>
    </w:p>
    <w:p w14:paraId="01AE2FE6" w14:textId="77777777" w:rsidR="00FE247F" w:rsidRPr="00707E19" w:rsidRDefault="00FE247F" w:rsidP="00906597">
      <w:pPr>
        <w:pStyle w:val="H56G"/>
      </w:pPr>
      <w:r>
        <w:tab/>
      </w:r>
      <w:r>
        <w:tab/>
      </w:r>
      <w:r w:rsidRPr="00707E19">
        <w:t xml:space="preserve">Oral </w:t>
      </w:r>
      <w:r w:rsidR="00906597">
        <w:t>r</w:t>
      </w:r>
      <w:r w:rsidRPr="00707E19">
        <w:t>oute</w:t>
      </w:r>
    </w:p>
    <w:p w14:paraId="12702F59" w14:textId="77777777" w:rsidR="00FE247F" w:rsidRPr="00707E19" w:rsidRDefault="00FE247F" w:rsidP="00FE247F">
      <w:pPr>
        <w:pStyle w:val="SingleTxtG"/>
      </w:pPr>
      <w:r w:rsidRPr="00707E19">
        <w:t xml:space="preserve">Together, </w:t>
      </w:r>
      <w:proofErr w:type="gramStart"/>
      <w:r w:rsidRPr="00707E19">
        <w:t>these two oral</w:t>
      </w:r>
      <w:proofErr w:type="gramEnd"/>
      <w:r w:rsidRPr="00707E19">
        <w:t xml:space="preserve"> 90-day studies indicate that the main target organ is the nervous system.  Deaths and severe neurological signs occurred from 6 mg/kg </w:t>
      </w:r>
      <w:proofErr w:type="spellStart"/>
      <w:r w:rsidRPr="00707E19">
        <w:t>bw</w:t>
      </w:r>
      <w:proofErr w:type="spellEnd"/>
      <w:r w:rsidRPr="00707E19">
        <w:t xml:space="preserve">/day in Study 1 and at 17 mg/kg </w:t>
      </w:r>
      <w:proofErr w:type="spellStart"/>
      <w:r w:rsidRPr="00707E19">
        <w:t>bw</w:t>
      </w:r>
      <w:proofErr w:type="spellEnd"/>
      <w:r w:rsidRPr="00707E19">
        <w:t xml:space="preserve">/day in Study 2.  </w:t>
      </w:r>
      <w:r>
        <w:t>I</w:t>
      </w:r>
      <w:r w:rsidRPr="00707E19">
        <w:t>n Study</w:t>
      </w:r>
      <w:r>
        <w:t xml:space="preserve"> </w:t>
      </w:r>
      <w:r w:rsidRPr="00707E19">
        <w:t>1</w:t>
      </w:r>
      <w:r>
        <w:t>,</w:t>
      </w:r>
      <w:r w:rsidRPr="00707E19">
        <w:t xml:space="preserve"> neuropathological lesions were observed from the lowest dose at 1.9 mg/kg </w:t>
      </w:r>
      <w:proofErr w:type="spellStart"/>
      <w:r w:rsidRPr="00707E19">
        <w:t>bw</w:t>
      </w:r>
      <w:proofErr w:type="spellEnd"/>
      <w:r w:rsidRPr="00707E19">
        <w:t xml:space="preserve">/day as evidenced by moderate vacuolization in the brain and spinal cord tissue </w:t>
      </w:r>
      <w:r>
        <w:t>as well as</w:t>
      </w:r>
      <w:r w:rsidRPr="00707E19">
        <w:t xml:space="preserve"> ventricular dilation </w:t>
      </w:r>
      <w:r>
        <w:t>and</w:t>
      </w:r>
      <w:r w:rsidRPr="00707E19">
        <w:t xml:space="preserve"> neuronal necrosis at </w:t>
      </w:r>
      <w:r>
        <w:t xml:space="preserve">the </w:t>
      </w:r>
      <w:r w:rsidRPr="00707E19">
        <w:t xml:space="preserve">highest dose (17.5 mg/kg </w:t>
      </w:r>
      <w:proofErr w:type="spellStart"/>
      <w:r w:rsidRPr="00707E19">
        <w:t>bw</w:t>
      </w:r>
      <w:proofErr w:type="spellEnd"/>
      <w:r w:rsidRPr="00707E19">
        <w:t xml:space="preserve">/day). </w:t>
      </w:r>
    </w:p>
    <w:p w14:paraId="74D523ED" w14:textId="77777777" w:rsidR="00FE247F" w:rsidRPr="00707E19" w:rsidRDefault="00FE247F" w:rsidP="00FE247F">
      <w:pPr>
        <w:pStyle w:val="SingleTxtG"/>
      </w:pPr>
      <w:r w:rsidRPr="00707E19">
        <w:t xml:space="preserve">The absolute and relative weights of the thymus were reduced in the 6 mg/kg </w:t>
      </w:r>
      <w:proofErr w:type="spellStart"/>
      <w:r w:rsidRPr="00707E19">
        <w:t>bw</w:t>
      </w:r>
      <w:proofErr w:type="spellEnd"/>
      <w:r w:rsidRPr="00707E19">
        <w:t>/day do</w:t>
      </w:r>
      <w:r>
        <w:t>se</w:t>
      </w:r>
      <w:r w:rsidRPr="00707E19">
        <w:t xml:space="preserve"> level in </w:t>
      </w:r>
      <w:r>
        <w:t>S</w:t>
      </w:r>
      <w:r w:rsidRPr="00707E19">
        <w:t xml:space="preserve">tudy 1 </w:t>
      </w:r>
      <w:r>
        <w:t>and there were</w:t>
      </w:r>
      <w:r w:rsidRPr="00707E19">
        <w:t xml:space="preserve"> indications of possible treatment-related lymphoid atrophy of the thymus.  In Study 2, females had an increased inciden</w:t>
      </w:r>
      <w:r>
        <w:t>ce</w:t>
      </w:r>
      <w:r w:rsidRPr="00707E19">
        <w:t xml:space="preserve"> of corticomedullary haemorrhage in the thymus and most of these high-dose females also showed cortical lymphoid depletion in the thymus at the 17.5 mg/kg </w:t>
      </w:r>
      <w:proofErr w:type="spellStart"/>
      <w:r w:rsidRPr="00707E19">
        <w:t>bw</w:t>
      </w:r>
      <w:proofErr w:type="spellEnd"/>
      <w:r w:rsidRPr="00707E19">
        <w:t xml:space="preserve">/day dose level.  Thus, both studies support including the immune system as a target organ. </w:t>
      </w:r>
    </w:p>
    <w:p w14:paraId="2FD02D97" w14:textId="77777777" w:rsidR="00FE247F" w:rsidRPr="00707E19" w:rsidRDefault="00FE247F" w:rsidP="00FE247F">
      <w:pPr>
        <w:pStyle w:val="SingleTxtG"/>
      </w:pPr>
      <w:r w:rsidRPr="00707E19">
        <w:t xml:space="preserve">Classification via application of criteria using the guidance values provided in GHS Tables 3.9.1 and 3.9.2 is possible for the nervous and immune system effects.  The guidance dose value for a Category 1 classification in an oral rat </w:t>
      </w:r>
      <w:proofErr w:type="gramStart"/>
      <w:r w:rsidRPr="00707E19">
        <w:t>90 day</w:t>
      </w:r>
      <w:proofErr w:type="gramEnd"/>
      <w:r w:rsidRPr="00707E19">
        <w:t xml:space="preserve"> study is ≤ 10 mg/kg </w:t>
      </w:r>
      <w:proofErr w:type="spellStart"/>
      <w:r w:rsidRPr="00707E19">
        <w:t>bw</w:t>
      </w:r>
      <w:proofErr w:type="spellEnd"/>
      <w:r w:rsidRPr="00707E19">
        <w:t>/day. The effects seen in the thymus (and to a lesser extent in the spleen) as well as in the nervous system in the two rat 90-day studies (</w:t>
      </w:r>
      <w:r>
        <w:t>i.e.,</w:t>
      </w:r>
      <w:r w:rsidRPr="00707E19">
        <w:t xml:space="preserve"> 6 mg/kg </w:t>
      </w:r>
      <w:proofErr w:type="spellStart"/>
      <w:r w:rsidRPr="00707E19">
        <w:t>bw</w:t>
      </w:r>
      <w:proofErr w:type="spellEnd"/>
      <w:r w:rsidRPr="00707E19">
        <w:t xml:space="preserve">/day) justify classification in STOT RE Category 1 according to the GHS criteria with the central nervous system and the immune system as the specific target organs/systems. </w:t>
      </w:r>
    </w:p>
    <w:p w14:paraId="6071C24F" w14:textId="77777777" w:rsidR="00FE247F" w:rsidRDefault="00FE247F" w:rsidP="00FE247F">
      <w:pPr>
        <w:pStyle w:val="SingleTxtG"/>
        <w:jc w:val="center"/>
      </w:pPr>
      <w:r w:rsidRPr="00AF12EA">
        <w:t>(En</w:t>
      </w:r>
      <w:r>
        <w:t xml:space="preserve">d of </w:t>
      </w:r>
      <w:r w:rsidR="00906597">
        <w:t>e</w:t>
      </w:r>
      <w:r>
        <w:t>xample 4)</w:t>
      </w:r>
    </w:p>
    <w:p w14:paraId="07384358" w14:textId="77777777" w:rsidR="00906597" w:rsidRDefault="00906597">
      <w:pPr>
        <w:suppressAutoHyphens w:val="0"/>
        <w:kinsoku/>
        <w:overflowPunct/>
        <w:autoSpaceDE/>
        <w:autoSpaceDN/>
        <w:adjustRightInd/>
        <w:snapToGrid/>
        <w:spacing w:after="200" w:line="276" w:lineRule="auto"/>
        <w:rPr>
          <w:b/>
        </w:rPr>
      </w:pPr>
      <w:r>
        <w:br w:type="page"/>
      </w:r>
    </w:p>
    <w:p w14:paraId="147C3700" w14:textId="77777777" w:rsidR="00FE247F" w:rsidRPr="00F51A63" w:rsidRDefault="00906597" w:rsidP="00807FB8">
      <w:pPr>
        <w:pStyle w:val="H1G"/>
      </w:pPr>
      <w:r>
        <w:lastRenderedPageBreak/>
        <w:tab/>
      </w:r>
      <w:r w:rsidR="00FE247F">
        <w:tab/>
      </w:r>
      <w:r w:rsidR="00FE247F" w:rsidRPr="00F51A63">
        <w:t>Example 5</w:t>
      </w:r>
    </w:p>
    <w:p w14:paraId="7C56BF08" w14:textId="77777777" w:rsidR="00FE247F" w:rsidRPr="00707E19" w:rsidRDefault="00FE247F" w:rsidP="00FE247F">
      <w:pPr>
        <w:pStyle w:val="SingleTxtG"/>
      </w:pPr>
      <w:r w:rsidRPr="00707E19">
        <w:t xml:space="preserve">This example illustrates the interpretation of the criteria in 3.9.1.1 and 3.9.1.6 and 3.8.1.1 and 3.8.1.6 regarding simultaneous classification into </w:t>
      </w:r>
      <w:r w:rsidR="00807FB8">
        <w:t>s</w:t>
      </w:r>
      <w:r>
        <w:t>pecific</w:t>
      </w:r>
      <w:r w:rsidRPr="00707E19">
        <w:t xml:space="preserve"> </w:t>
      </w:r>
      <w:r w:rsidR="00807FB8">
        <w:t>t</w:t>
      </w:r>
      <w:r w:rsidRPr="00707E19">
        <w:t xml:space="preserve">arget </w:t>
      </w:r>
      <w:r w:rsidR="00807FB8">
        <w:t>o</w:t>
      </w:r>
      <w:r w:rsidRPr="00707E19">
        <w:t xml:space="preserve">rgan </w:t>
      </w:r>
      <w:r w:rsidR="00807FB8">
        <w:t>t</w:t>
      </w:r>
      <w:r w:rsidRPr="00707E19">
        <w:t xml:space="preserve">oxicity – </w:t>
      </w:r>
      <w:r w:rsidR="00807FB8">
        <w:t>r</w:t>
      </w:r>
      <w:r w:rsidRPr="00707E19">
        <w:t xml:space="preserve">epeated </w:t>
      </w:r>
      <w:r w:rsidR="00807FB8">
        <w:t>e</w:t>
      </w:r>
      <w:r w:rsidRPr="00707E19">
        <w:t xml:space="preserve">xposure hazard class, </w:t>
      </w:r>
      <w:r w:rsidR="00807FB8">
        <w:t>s</w:t>
      </w:r>
      <w:r>
        <w:t>pecific</w:t>
      </w:r>
      <w:r w:rsidRPr="00707E19">
        <w:t xml:space="preserve"> </w:t>
      </w:r>
      <w:r w:rsidR="00807FB8">
        <w:t>t</w:t>
      </w:r>
      <w:r w:rsidRPr="00707E19">
        <w:t xml:space="preserve">arget </w:t>
      </w:r>
      <w:r w:rsidR="00807FB8">
        <w:t>o</w:t>
      </w:r>
      <w:r w:rsidRPr="00707E19">
        <w:t xml:space="preserve">rgan </w:t>
      </w:r>
      <w:r w:rsidR="00807FB8">
        <w:t>t</w:t>
      </w:r>
      <w:r w:rsidRPr="00707E19">
        <w:t xml:space="preserve">oxicity – </w:t>
      </w:r>
      <w:r w:rsidR="00807FB8">
        <w:t>s</w:t>
      </w:r>
      <w:r w:rsidRPr="00707E19">
        <w:t xml:space="preserve">ingle </w:t>
      </w:r>
      <w:r w:rsidR="00807FB8">
        <w:t>e</w:t>
      </w:r>
      <w:r w:rsidRPr="00707E19">
        <w:t xml:space="preserve">xposure hazard class and into the </w:t>
      </w:r>
      <w:r w:rsidR="00807FB8">
        <w:t>a</w:t>
      </w:r>
      <w:r w:rsidRPr="00707E19">
        <w:t xml:space="preserve">cute </w:t>
      </w:r>
      <w:r w:rsidR="00807FB8">
        <w:t>t</w:t>
      </w:r>
      <w:r w:rsidRPr="00707E19">
        <w:t xml:space="preserve">oxicity hazard class, for lethal effects or not.  </w:t>
      </w:r>
    </w:p>
    <w:p w14:paraId="26EB936A" w14:textId="77777777" w:rsidR="00FE247F" w:rsidRPr="00707E19" w:rsidRDefault="00FE247F" w:rsidP="00FE247F">
      <w:pPr>
        <w:pStyle w:val="H23G"/>
      </w:pPr>
      <w:r>
        <w:tab/>
      </w:r>
      <w:r>
        <w:tab/>
      </w:r>
      <w:r w:rsidRPr="00707E19">
        <w:t xml:space="preserve">Information on </w:t>
      </w:r>
      <w:r w:rsidR="00906597">
        <w:t>s</w:t>
      </w:r>
      <w:r w:rsidRPr="00707E19">
        <w:t xml:space="preserve">ubstance </w:t>
      </w:r>
      <w:r>
        <w:t>5</w:t>
      </w:r>
    </w:p>
    <w:p w14:paraId="36830693" w14:textId="77777777" w:rsidR="00FE247F" w:rsidRPr="00807FB8" w:rsidRDefault="00FE247F" w:rsidP="00906597">
      <w:pPr>
        <w:pStyle w:val="H4G"/>
        <w:rPr>
          <w:b/>
          <w:bCs/>
          <w:i w:val="0"/>
          <w:iCs/>
        </w:rPr>
      </w:pPr>
      <w:r w:rsidRPr="00807FB8">
        <w:rPr>
          <w:b/>
          <w:bCs/>
          <w:i w:val="0"/>
          <w:iCs/>
        </w:rPr>
        <w:tab/>
      </w:r>
      <w:r w:rsidRPr="00807FB8">
        <w:rPr>
          <w:b/>
          <w:bCs/>
          <w:i w:val="0"/>
          <w:iCs/>
        </w:rPr>
        <w:tab/>
        <w:t>Data</w:t>
      </w:r>
    </w:p>
    <w:p w14:paraId="5BA010AA" w14:textId="77777777" w:rsidR="00FE247F" w:rsidRPr="00807FB8" w:rsidRDefault="00FE247F" w:rsidP="00906597">
      <w:pPr>
        <w:pStyle w:val="H56G"/>
        <w:rPr>
          <w:i/>
          <w:iCs/>
          <w:shd w:val="clear" w:color="auto" w:fill="FFFFFF"/>
        </w:rPr>
      </w:pPr>
      <w:r w:rsidRPr="00807FB8">
        <w:rPr>
          <w:i/>
          <w:iCs/>
          <w:shd w:val="clear" w:color="auto" w:fill="FFFFFF"/>
        </w:rPr>
        <w:tab/>
      </w:r>
      <w:r w:rsidRPr="00807FB8">
        <w:rPr>
          <w:i/>
          <w:iCs/>
          <w:shd w:val="clear" w:color="auto" w:fill="FFFFFF"/>
        </w:rPr>
        <w:tab/>
        <w:t xml:space="preserve">Acute </w:t>
      </w:r>
      <w:r w:rsidR="00906597" w:rsidRPr="00807FB8">
        <w:rPr>
          <w:i/>
          <w:iCs/>
          <w:shd w:val="clear" w:color="auto" w:fill="FFFFFF"/>
        </w:rPr>
        <w:t>t</w:t>
      </w:r>
      <w:r w:rsidRPr="00807FB8">
        <w:rPr>
          <w:i/>
          <w:iCs/>
          <w:shd w:val="clear" w:color="auto" w:fill="FFFFFF"/>
        </w:rPr>
        <w:t xml:space="preserve">oxicity </w:t>
      </w:r>
      <w:r w:rsidR="00906597" w:rsidRPr="00807FB8">
        <w:rPr>
          <w:i/>
          <w:iCs/>
          <w:shd w:val="clear" w:color="auto" w:fill="FFFFFF"/>
        </w:rPr>
        <w:t>a</w:t>
      </w:r>
      <w:r w:rsidRPr="00807FB8">
        <w:rPr>
          <w:i/>
          <w:iCs/>
          <w:shd w:val="clear" w:color="auto" w:fill="FFFFFF"/>
        </w:rPr>
        <w:t xml:space="preserve">nimal </w:t>
      </w:r>
      <w:r w:rsidR="00906597" w:rsidRPr="00807FB8">
        <w:rPr>
          <w:i/>
          <w:iCs/>
          <w:shd w:val="clear" w:color="auto" w:fill="FFFFFF"/>
        </w:rPr>
        <w:t>d</w:t>
      </w:r>
      <w:r w:rsidRPr="00807FB8">
        <w:rPr>
          <w:i/>
          <w:iCs/>
          <w:shd w:val="clear" w:color="auto" w:fill="FFFFFF"/>
        </w:rPr>
        <w:t>ata</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27"/>
        <w:gridCol w:w="3685"/>
        <w:gridCol w:w="3260"/>
      </w:tblGrid>
      <w:tr w:rsidR="00FE247F" w:rsidRPr="00906597" w14:paraId="357690A0" w14:textId="77777777" w:rsidTr="00807FB8">
        <w:tc>
          <w:tcPr>
            <w:tcW w:w="1058" w:type="dxa"/>
            <w:shd w:val="clear" w:color="auto" w:fill="auto"/>
          </w:tcPr>
          <w:p w14:paraId="26AC2CBD" w14:textId="77777777" w:rsidR="00FE247F" w:rsidRPr="00906597" w:rsidRDefault="00FE247F" w:rsidP="00906597">
            <w:pPr>
              <w:spacing w:after="30" w:line="240" w:lineRule="auto"/>
              <w:jc w:val="center"/>
              <w:rPr>
                <w:rFonts w:eastAsia="Times New Roman"/>
                <w:b/>
                <w:color w:val="000000"/>
                <w:sz w:val="18"/>
                <w:szCs w:val="18"/>
                <w:shd w:val="clear" w:color="auto" w:fill="FFFFFF"/>
              </w:rPr>
            </w:pPr>
            <w:r w:rsidRPr="00906597">
              <w:rPr>
                <w:rFonts w:eastAsia="Times New Roman"/>
                <w:b/>
                <w:color w:val="000000"/>
                <w:sz w:val="18"/>
                <w:szCs w:val="18"/>
                <w:shd w:val="clear" w:color="auto" w:fill="FFFFFF"/>
              </w:rPr>
              <w:t>Route</w:t>
            </w:r>
          </w:p>
        </w:tc>
        <w:tc>
          <w:tcPr>
            <w:tcW w:w="927" w:type="dxa"/>
            <w:shd w:val="clear" w:color="auto" w:fill="auto"/>
          </w:tcPr>
          <w:p w14:paraId="363D267A" w14:textId="77777777" w:rsidR="00FE247F" w:rsidRPr="00906597" w:rsidRDefault="00FE247F" w:rsidP="00906597">
            <w:pPr>
              <w:spacing w:after="30" w:line="240" w:lineRule="auto"/>
              <w:jc w:val="center"/>
              <w:rPr>
                <w:rFonts w:eastAsia="Times New Roman"/>
                <w:b/>
                <w:color w:val="000000"/>
                <w:sz w:val="18"/>
                <w:szCs w:val="18"/>
                <w:shd w:val="clear" w:color="auto" w:fill="FFFFFF"/>
              </w:rPr>
            </w:pPr>
            <w:r w:rsidRPr="00906597">
              <w:rPr>
                <w:rFonts w:eastAsia="Times New Roman"/>
                <w:b/>
                <w:color w:val="000000"/>
                <w:sz w:val="18"/>
                <w:szCs w:val="18"/>
                <w:shd w:val="clear" w:color="auto" w:fill="FFFFFF"/>
              </w:rPr>
              <w:t>Species</w:t>
            </w:r>
          </w:p>
        </w:tc>
        <w:tc>
          <w:tcPr>
            <w:tcW w:w="3685" w:type="dxa"/>
            <w:shd w:val="clear" w:color="auto" w:fill="auto"/>
          </w:tcPr>
          <w:p w14:paraId="62F9EBA9" w14:textId="77777777" w:rsidR="00FE247F" w:rsidRPr="00906597" w:rsidRDefault="00FE247F" w:rsidP="00906597">
            <w:pPr>
              <w:spacing w:after="30" w:line="240" w:lineRule="auto"/>
              <w:jc w:val="center"/>
              <w:rPr>
                <w:rFonts w:eastAsia="Times New Roman"/>
                <w:b/>
                <w:color w:val="000000"/>
                <w:sz w:val="18"/>
                <w:szCs w:val="18"/>
                <w:shd w:val="clear" w:color="auto" w:fill="FFFFFF"/>
              </w:rPr>
            </w:pPr>
            <w:r w:rsidRPr="00906597">
              <w:rPr>
                <w:rFonts w:eastAsia="Times New Roman"/>
                <w:b/>
                <w:color w:val="000000"/>
                <w:sz w:val="18"/>
                <w:szCs w:val="18"/>
                <w:shd w:val="clear" w:color="auto" w:fill="FFFFFF"/>
              </w:rPr>
              <w:t>LD</w:t>
            </w:r>
            <w:r w:rsidRPr="00906597">
              <w:rPr>
                <w:rFonts w:eastAsia="Times New Roman"/>
                <w:b/>
                <w:color w:val="000000"/>
                <w:sz w:val="18"/>
                <w:szCs w:val="18"/>
                <w:shd w:val="clear" w:color="auto" w:fill="FFFFFF"/>
                <w:vertAlign w:val="subscript"/>
              </w:rPr>
              <w:t>50</w:t>
            </w:r>
            <w:r w:rsidRPr="00906597">
              <w:rPr>
                <w:rFonts w:eastAsia="Times New Roman"/>
                <w:b/>
                <w:color w:val="000000"/>
                <w:sz w:val="18"/>
                <w:szCs w:val="18"/>
                <w:shd w:val="clear" w:color="auto" w:fill="FFFFFF"/>
              </w:rPr>
              <w:t xml:space="preserve"> /LC</w:t>
            </w:r>
            <w:r w:rsidRPr="00906597">
              <w:rPr>
                <w:rFonts w:eastAsia="Times New Roman"/>
                <w:b/>
                <w:color w:val="000000"/>
                <w:sz w:val="18"/>
                <w:szCs w:val="18"/>
                <w:shd w:val="clear" w:color="auto" w:fill="FFFFFF"/>
                <w:vertAlign w:val="subscript"/>
              </w:rPr>
              <w:t xml:space="preserve">50 </w:t>
            </w:r>
            <w:r w:rsidRPr="00906597">
              <w:rPr>
                <w:rFonts w:eastAsia="Times New Roman"/>
                <w:b/>
                <w:color w:val="000000"/>
                <w:sz w:val="18"/>
                <w:szCs w:val="18"/>
                <w:shd w:val="clear" w:color="auto" w:fill="FFFFFF"/>
              </w:rPr>
              <w:t>Value</w:t>
            </w:r>
          </w:p>
        </w:tc>
        <w:tc>
          <w:tcPr>
            <w:tcW w:w="3260" w:type="dxa"/>
            <w:shd w:val="clear" w:color="auto" w:fill="auto"/>
          </w:tcPr>
          <w:p w14:paraId="28D2AE54" w14:textId="77777777" w:rsidR="00FE247F" w:rsidRPr="00906597" w:rsidRDefault="00FE247F" w:rsidP="00906597">
            <w:pPr>
              <w:spacing w:after="30" w:line="240" w:lineRule="auto"/>
              <w:jc w:val="center"/>
              <w:rPr>
                <w:sz w:val="18"/>
                <w:szCs w:val="18"/>
              </w:rPr>
            </w:pPr>
            <w:r w:rsidRPr="00906597">
              <w:rPr>
                <w:rFonts w:eastAsia="Times New Roman"/>
                <w:b/>
                <w:color w:val="000000"/>
                <w:sz w:val="18"/>
                <w:szCs w:val="18"/>
                <w:shd w:val="clear" w:color="auto" w:fill="FFFFFF"/>
              </w:rPr>
              <w:t>Observations</w:t>
            </w:r>
          </w:p>
        </w:tc>
      </w:tr>
      <w:tr w:rsidR="00FE247F" w:rsidRPr="00906597" w14:paraId="27610062" w14:textId="77777777" w:rsidTr="00807FB8">
        <w:trPr>
          <w:trHeight w:val="256"/>
        </w:trPr>
        <w:tc>
          <w:tcPr>
            <w:tcW w:w="1058" w:type="dxa"/>
            <w:vMerge w:val="restart"/>
            <w:shd w:val="clear" w:color="auto" w:fill="auto"/>
            <w:vAlign w:val="center"/>
          </w:tcPr>
          <w:p w14:paraId="2097283D" w14:textId="77777777" w:rsidR="00FE247F" w:rsidRPr="00906597" w:rsidRDefault="00FE247F" w:rsidP="00906597">
            <w:pPr>
              <w:spacing w:after="3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Oral</w:t>
            </w:r>
          </w:p>
        </w:tc>
        <w:tc>
          <w:tcPr>
            <w:tcW w:w="927" w:type="dxa"/>
            <w:shd w:val="clear" w:color="auto" w:fill="auto"/>
          </w:tcPr>
          <w:p w14:paraId="61EF6507" w14:textId="77777777" w:rsidR="00FE247F" w:rsidRPr="00906597" w:rsidRDefault="00FE247F" w:rsidP="00906597">
            <w:pPr>
              <w:spacing w:after="3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Rat</w:t>
            </w:r>
          </w:p>
        </w:tc>
        <w:tc>
          <w:tcPr>
            <w:tcW w:w="3685" w:type="dxa"/>
            <w:shd w:val="clear" w:color="auto" w:fill="auto"/>
          </w:tcPr>
          <w:p w14:paraId="3803B893"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 xml:space="preserve">Study 1 (OECD TG 401): 10% mortalities using undiluted substance at 2000 mg/kg </w:t>
            </w:r>
            <w:proofErr w:type="spellStart"/>
            <w:r w:rsidRPr="00906597">
              <w:rPr>
                <w:rFonts w:eastAsia="Times New Roman"/>
                <w:color w:val="000000"/>
                <w:sz w:val="18"/>
                <w:szCs w:val="18"/>
                <w:shd w:val="clear" w:color="auto" w:fill="FFFFFF"/>
              </w:rPr>
              <w:t>bw</w:t>
            </w:r>
            <w:proofErr w:type="spellEnd"/>
          </w:p>
        </w:tc>
        <w:tc>
          <w:tcPr>
            <w:tcW w:w="3260" w:type="dxa"/>
            <w:shd w:val="clear" w:color="auto" w:fill="auto"/>
          </w:tcPr>
          <w:p w14:paraId="01CCC2FC" w14:textId="77777777" w:rsidR="00FE247F" w:rsidRPr="00906597" w:rsidRDefault="00FC47E9" w:rsidP="00906597">
            <w:pPr>
              <w:pStyle w:val="Bullet1G"/>
              <w:numPr>
                <w:ilvl w:val="0"/>
                <w:numId w:val="0"/>
              </w:numPr>
              <w:spacing w:after="30" w:line="240" w:lineRule="auto"/>
              <w:ind w:left="193" w:right="172" w:hanging="193"/>
              <w:jc w:val="left"/>
              <w:rPr>
                <w:sz w:val="18"/>
                <w:szCs w:val="18"/>
                <w:shd w:val="clear" w:color="auto" w:fill="FFFFFF"/>
              </w:rPr>
            </w:pPr>
            <w:r w:rsidRPr="00906597">
              <w:rPr>
                <w:sz w:val="18"/>
                <w:szCs w:val="18"/>
              </w:rPr>
              <w:t>•</w:t>
            </w:r>
            <w:r w:rsidRPr="00906597">
              <w:rPr>
                <w:sz w:val="18"/>
                <w:szCs w:val="18"/>
              </w:rPr>
              <w:tab/>
            </w:r>
            <w:r w:rsidR="00FE247F" w:rsidRPr="00906597">
              <w:rPr>
                <w:sz w:val="18"/>
                <w:szCs w:val="18"/>
                <w:shd w:val="clear" w:color="auto" w:fill="FFFFFF"/>
              </w:rPr>
              <w:t>Clinical signs of neurotoxicity</w:t>
            </w:r>
          </w:p>
        </w:tc>
      </w:tr>
      <w:tr w:rsidR="00FE247F" w:rsidRPr="00906597" w14:paraId="4AC077A6" w14:textId="77777777" w:rsidTr="00807FB8">
        <w:trPr>
          <w:trHeight w:val="440"/>
        </w:trPr>
        <w:tc>
          <w:tcPr>
            <w:tcW w:w="1058" w:type="dxa"/>
            <w:vMerge/>
            <w:shd w:val="clear" w:color="auto" w:fill="auto"/>
          </w:tcPr>
          <w:p w14:paraId="4F588A57" w14:textId="77777777" w:rsidR="00FE247F" w:rsidRPr="00906597" w:rsidRDefault="00FE247F" w:rsidP="00906597">
            <w:pPr>
              <w:spacing w:after="30" w:line="240" w:lineRule="auto"/>
              <w:jc w:val="center"/>
              <w:rPr>
                <w:rFonts w:eastAsia="Times New Roman"/>
                <w:color w:val="000000"/>
                <w:sz w:val="18"/>
                <w:szCs w:val="18"/>
                <w:shd w:val="clear" w:color="auto" w:fill="FFFFFF"/>
              </w:rPr>
            </w:pPr>
          </w:p>
        </w:tc>
        <w:tc>
          <w:tcPr>
            <w:tcW w:w="927" w:type="dxa"/>
            <w:shd w:val="clear" w:color="auto" w:fill="auto"/>
          </w:tcPr>
          <w:p w14:paraId="12C01B2D" w14:textId="77777777" w:rsidR="00FE247F" w:rsidRPr="00906597" w:rsidRDefault="00FE247F" w:rsidP="00906597">
            <w:pPr>
              <w:spacing w:after="3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Rat</w:t>
            </w:r>
          </w:p>
        </w:tc>
        <w:tc>
          <w:tcPr>
            <w:tcW w:w="3685" w:type="dxa"/>
            <w:shd w:val="clear" w:color="auto" w:fill="auto"/>
          </w:tcPr>
          <w:p w14:paraId="6EDF5294"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 xml:space="preserve">Study 2 (Acute neurotoxicity OECD TG 424): 20% mortalities at 100 mg/kg </w:t>
            </w:r>
            <w:proofErr w:type="spellStart"/>
            <w:r w:rsidRPr="00906597">
              <w:rPr>
                <w:rFonts w:eastAsia="Times New Roman"/>
                <w:color w:val="000000"/>
                <w:sz w:val="18"/>
                <w:szCs w:val="18"/>
                <w:shd w:val="clear" w:color="auto" w:fill="FFFFFF"/>
              </w:rPr>
              <w:t>bw</w:t>
            </w:r>
            <w:proofErr w:type="spellEnd"/>
            <w:r w:rsidRPr="00906597">
              <w:rPr>
                <w:rFonts w:eastAsia="Times New Roman"/>
                <w:color w:val="000000"/>
                <w:sz w:val="18"/>
                <w:szCs w:val="18"/>
                <w:shd w:val="clear" w:color="auto" w:fill="FFFFFF"/>
              </w:rPr>
              <w:t xml:space="preserve"> using corn oil as vehicle, where the reason for mortality was neurotoxicity.</w:t>
            </w:r>
          </w:p>
        </w:tc>
        <w:tc>
          <w:tcPr>
            <w:tcW w:w="3260" w:type="dxa"/>
            <w:shd w:val="clear" w:color="auto" w:fill="auto"/>
          </w:tcPr>
          <w:p w14:paraId="086FF1AD" w14:textId="77777777" w:rsidR="00FE247F" w:rsidRPr="00906597" w:rsidRDefault="00FC47E9" w:rsidP="00906597">
            <w:pPr>
              <w:pStyle w:val="Bullet1G"/>
              <w:numPr>
                <w:ilvl w:val="0"/>
                <w:numId w:val="0"/>
              </w:numPr>
              <w:spacing w:after="30" w:line="240" w:lineRule="auto"/>
              <w:ind w:left="193" w:right="172" w:hanging="193"/>
              <w:jc w:val="left"/>
              <w:rPr>
                <w:rFonts w:eastAsia="Times New Roman"/>
                <w:color w:val="000000"/>
                <w:sz w:val="18"/>
                <w:szCs w:val="18"/>
                <w:shd w:val="clear" w:color="auto" w:fill="FFFFFF"/>
              </w:rPr>
            </w:pPr>
            <w:r w:rsidRPr="00906597">
              <w:rPr>
                <w:rFonts w:eastAsia="Times New Roman"/>
                <w:color w:val="000000"/>
                <w:sz w:val="18"/>
                <w:szCs w:val="18"/>
              </w:rPr>
              <w:t>•</w:t>
            </w:r>
            <w:r w:rsidRPr="00906597">
              <w:rPr>
                <w:rFonts w:eastAsia="Times New Roman"/>
                <w:color w:val="000000"/>
                <w:sz w:val="18"/>
                <w:szCs w:val="18"/>
              </w:rPr>
              <w:tab/>
            </w:r>
            <w:r w:rsidR="00FE247F" w:rsidRPr="00906597">
              <w:rPr>
                <w:rFonts w:eastAsia="Times New Roman"/>
                <w:color w:val="000000"/>
                <w:sz w:val="18"/>
                <w:szCs w:val="18"/>
                <w:shd w:val="clear" w:color="auto" w:fill="FFFFFF"/>
              </w:rPr>
              <w:t xml:space="preserve">100 </w:t>
            </w:r>
            <w:r w:rsidR="00FE247F" w:rsidRPr="00906597">
              <w:rPr>
                <w:sz w:val="18"/>
                <w:szCs w:val="18"/>
                <w:shd w:val="clear" w:color="auto" w:fill="FFFFFF"/>
              </w:rPr>
              <w:t>mg</w:t>
            </w:r>
            <w:r w:rsidR="00FE247F" w:rsidRPr="00906597">
              <w:rPr>
                <w:rFonts w:eastAsia="Times New Roman"/>
                <w:color w:val="000000"/>
                <w:sz w:val="18"/>
                <w:szCs w:val="18"/>
                <w:shd w:val="clear" w:color="auto" w:fill="FFFFFF"/>
              </w:rPr>
              <w:t xml:space="preserve">/kg </w:t>
            </w:r>
            <w:proofErr w:type="spellStart"/>
            <w:r w:rsidR="00FE247F" w:rsidRPr="00906597">
              <w:rPr>
                <w:rFonts w:eastAsia="Times New Roman"/>
                <w:color w:val="000000"/>
                <w:sz w:val="18"/>
                <w:szCs w:val="18"/>
                <w:shd w:val="clear" w:color="auto" w:fill="FFFFFF"/>
              </w:rPr>
              <w:t>bw</w:t>
            </w:r>
            <w:proofErr w:type="spellEnd"/>
            <w:r w:rsidR="00FE247F" w:rsidRPr="00906597">
              <w:rPr>
                <w:rFonts w:eastAsia="Times New Roman"/>
                <w:color w:val="000000"/>
                <w:sz w:val="18"/>
                <w:szCs w:val="18"/>
                <w:shd w:val="clear" w:color="auto" w:fill="FFFFFF"/>
              </w:rPr>
              <w:t>: clinical signs of neurotoxicity</w:t>
            </w:r>
          </w:p>
          <w:p w14:paraId="499741B4" w14:textId="77777777" w:rsidR="00FE247F" w:rsidRPr="00906597" w:rsidRDefault="00FC47E9" w:rsidP="00906597">
            <w:pPr>
              <w:pStyle w:val="Bullet1G"/>
              <w:numPr>
                <w:ilvl w:val="0"/>
                <w:numId w:val="0"/>
              </w:numPr>
              <w:spacing w:after="30" w:line="240" w:lineRule="auto"/>
              <w:ind w:left="193" w:right="172" w:hanging="193"/>
              <w:jc w:val="left"/>
              <w:rPr>
                <w:rFonts w:eastAsia="Times New Roman"/>
                <w:color w:val="000000"/>
                <w:sz w:val="18"/>
                <w:szCs w:val="18"/>
                <w:shd w:val="clear" w:color="auto" w:fill="FFFFFF"/>
              </w:rPr>
            </w:pPr>
            <w:r w:rsidRPr="00906597">
              <w:rPr>
                <w:rFonts w:eastAsia="Times New Roman"/>
                <w:color w:val="000000"/>
                <w:sz w:val="18"/>
                <w:szCs w:val="18"/>
              </w:rPr>
              <w:t>•</w:t>
            </w:r>
            <w:r w:rsidRPr="00906597">
              <w:rPr>
                <w:rFonts w:eastAsia="Times New Roman"/>
                <w:color w:val="000000"/>
                <w:sz w:val="18"/>
                <w:szCs w:val="18"/>
              </w:rPr>
              <w:tab/>
            </w:r>
            <w:r w:rsidR="00FE247F" w:rsidRPr="00906597">
              <w:rPr>
                <w:rFonts w:eastAsia="Times New Roman"/>
                <w:color w:val="000000"/>
                <w:sz w:val="18"/>
                <w:szCs w:val="18"/>
                <w:shd w:val="clear" w:color="auto" w:fill="FFFFFF"/>
              </w:rPr>
              <w:t xml:space="preserve">At the </w:t>
            </w:r>
            <w:r w:rsidR="00FE247F" w:rsidRPr="00906597">
              <w:rPr>
                <w:sz w:val="18"/>
                <w:szCs w:val="18"/>
                <w:shd w:val="clear" w:color="auto" w:fill="FFFFFF"/>
              </w:rPr>
              <w:t>lower</w:t>
            </w:r>
            <w:r w:rsidR="00FE247F" w:rsidRPr="00906597">
              <w:rPr>
                <w:rFonts w:eastAsia="Times New Roman"/>
                <w:color w:val="000000"/>
                <w:sz w:val="18"/>
                <w:szCs w:val="18"/>
                <w:shd w:val="clear" w:color="auto" w:fill="FFFFFF"/>
              </w:rPr>
              <w:t xml:space="preserve"> dose level of 50 mg/kg </w:t>
            </w:r>
            <w:proofErr w:type="spellStart"/>
            <w:r w:rsidR="00FE247F" w:rsidRPr="00906597">
              <w:rPr>
                <w:rFonts w:eastAsia="Times New Roman"/>
                <w:color w:val="000000"/>
                <w:sz w:val="18"/>
                <w:szCs w:val="18"/>
                <w:shd w:val="clear" w:color="auto" w:fill="FFFFFF"/>
              </w:rPr>
              <w:t>bw</w:t>
            </w:r>
            <w:proofErr w:type="spellEnd"/>
            <w:r w:rsidR="00FE247F" w:rsidRPr="00906597">
              <w:rPr>
                <w:rFonts w:eastAsia="Times New Roman"/>
                <w:color w:val="000000"/>
                <w:sz w:val="18"/>
                <w:szCs w:val="18"/>
                <w:shd w:val="clear" w:color="auto" w:fill="FFFFFF"/>
              </w:rPr>
              <w:t xml:space="preserve"> there was less severe neurological effects and only in some animals, no mortality</w:t>
            </w:r>
          </w:p>
        </w:tc>
      </w:tr>
      <w:tr w:rsidR="00FE247F" w:rsidRPr="00906597" w14:paraId="3F7B3D4D" w14:textId="77777777" w:rsidTr="00807FB8">
        <w:trPr>
          <w:trHeight w:val="440"/>
        </w:trPr>
        <w:tc>
          <w:tcPr>
            <w:tcW w:w="1058" w:type="dxa"/>
            <w:vMerge/>
            <w:shd w:val="clear" w:color="auto" w:fill="auto"/>
          </w:tcPr>
          <w:p w14:paraId="54BAEC4D" w14:textId="77777777" w:rsidR="00FE247F" w:rsidRPr="00906597" w:rsidRDefault="00FE247F" w:rsidP="00906597">
            <w:pPr>
              <w:spacing w:after="30" w:line="240" w:lineRule="auto"/>
              <w:jc w:val="center"/>
              <w:rPr>
                <w:rFonts w:eastAsia="Times New Roman"/>
                <w:color w:val="000000"/>
                <w:sz w:val="18"/>
                <w:szCs w:val="18"/>
                <w:shd w:val="clear" w:color="auto" w:fill="FFFFFF"/>
              </w:rPr>
            </w:pPr>
          </w:p>
        </w:tc>
        <w:tc>
          <w:tcPr>
            <w:tcW w:w="927" w:type="dxa"/>
            <w:shd w:val="clear" w:color="auto" w:fill="auto"/>
          </w:tcPr>
          <w:p w14:paraId="22082D60" w14:textId="77777777" w:rsidR="00FE247F" w:rsidRPr="00906597" w:rsidRDefault="00FE247F" w:rsidP="00906597">
            <w:pPr>
              <w:spacing w:after="3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Mouse</w:t>
            </w:r>
          </w:p>
        </w:tc>
        <w:tc>
          <w:tcPr>
            <w:tcW w:w="3685" w:type="dxa"/>
            <w:shd w:val="clear" w:color="auto" w:fill="auto"/>
          </w:tcPr>
          <w:p w14:paraId="2EC188D4"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 xml:space="preserve">Study 3 (Sighting study for micronucleus): 20% mortality at 60 mg/kg </w:t>
            </w:r>
            <w:proofErr w:type="spellStart"/>
            <w:r w:rsidRPr="00906597">
              <w:rPr>
                <w:rFonts w:eastAsia="Times New Roman"/>
                <w:color w:val="000000"/>
                <w:sz w:val="18"/>
                <w:szCs w:val="18"/>
                <w:shd w:val="clear" w:color="auto" w:fill="FFFFFF"/>
              </w:rPr>
              <w:t>bw</w:t>
            </w:r>
            <w:proofErr w:type="spellEnd"/>
            <w:r w:rsidRPr="00906597">
              <w:rPr>
                <w:rFonts w:eastAsia="Times New Roman"/>
                <w:color w:val="000000"/>
                <w:sz w:val="18"/>
                <w:szCs w:val="18"/>
                <w:shd w:val="clear" w:color="auto" w:fill="FFFFFF"/>
              </w:rPr>
              <w:t xml:space="preserve"> using corn oil as vehicle</w:t>
            </w:r>
          </w:p>
        </w:tc>
        <w:tc>
          <w:tcPr>
            <w:tcW w:w="3260" w:type="dxa"/>
            <w:shd w:val="clear" w:color="auto" w:fill="auto"/>
          </w:tcPr>
          <w:p w14:paraId="51AAF565" w14:textId="77777777" w:rsidR="00FE247F" w:rsidRPr="00906597" w:rsidRDefault="00FC47E9" w:rsidP="00906597">
            <w:pPr>
              <w:pStyle w:val="Bullet1G"/>
              <w:numPr>
                <w:ilvl w:val="0"/>
                <w:numId w:val="0"/>
              </w:numPr>
              <w:spacing w:after="30" w:line="240" w:lineRule="auto"/>
              <w:ind w:left="193" w:right="172" w:hanging="193"/>
              <w:jc w:val="left"/>
              <w:rPr>
                <w:rFonts w:eastAsia="Times New Roman"/>
                <w:color w:val="000000"/>
                <w:sz w:val="18"/>
                <w:szCs w:val="18"/>
                <w:shd w:val="clear" w:color="auto" w:fill="FFFFFF"/>
              </w:rPr>
            </w:pPr>
            <w:r w:rsidRPr="00906597">
              <w:rPr>
                <w:rFonts w:eastAsia="Times New Roman"/>
                <w:color w:val="000000"/>
                <w:sz w:val="18"/>
                <w:szCs w:val="18"/>
              </w:rPr>
              <w:t>•</w:t>
            </w:r>
            <w:r w:rsidRPr="00906597">
              <w:rPr>
                <w:rFonts w:eastAsia="Times New Roman"/>
                <w:color w:val="000000"/>
                <w:sz w:val="18"/>
                <w:szCs w:val="18"/>
              </w:rPr>
              <w:tab/>
            </w:r>
            <w:r w:rsidR="00FE247F" w:rsidRPr="00906597">
              <w:rPr>
                <w:rFonts w:eastAsia="Times New Roman"/>
                <w:color w:val="000000"/>
                <w:sz w:val="18"/>
                <w:szCs w:val="18"/>
                <w:shd w:val="clear" w:color="auto" w:fill="FFFFFF"/>
              </w:rPr>
              <w:t xml:space="preserve">60 mg/kg </w:t>
            </w:r>
            <w:proofErr w:type="spellStart"/>
            <w:r w:rsidR="00FE247F" w:rsidRPr="00906597">
              <w:rPr>
                <w:rFonts w:eastAsia="Times New Roman"/>
                <w:color w:val="000000"/>
                <w:sz w:val="18"/>
                <w:szCs w:val="18"/>
                <w:shd w:val="clear" w:color="auto" w:fill="FFFFFF"/>
              </w:rPr>
              <w:t>bw</w:t>
            </w:r>
            <w:proofErr w:type="spellEnd"/>
            <w:r w:rsidR="00FE247F" w:rsidRPr="00906597">
              <w:rPr>
                <w:rFonts w:eastAsia="Times New Roman"/>
                <w:color w:val="000000"/>
                <w:sz w:val="18"/>
                <w:szCs w:val="18"/>
                <w:shd w:val="clear" w:color="auto" w:fill="FFFFFF"/>
              </w:rPr>
              <w:t>: tremors</w:t>
            </w:r>
          </w:p>
          <w:p w14:paraId="26950F5E" w14:textId="77777777" w:rsidR="00FE247F" w:rsidRPr="00906597" w:rsidRDefault="00FC47E9" w:rsidP="00906597">
            <w:pPr>
              <w:pStyle w:val="Bullet1G"/>
              <w:numPr>
                <w:ilvl w:val="0"/>
                <w:numId w:val="0"/>
              </w:numPr>
              <w:spacing w:after="30" w:line="240" w:lineRule="auto"/>
              <w:ind w:left="193" w:right="172" w:hanging="193"/>
              <w:jc w:val="left"/>
              <w:rPr>
                <w:rFonts w:eastAsia="Times New Roman"/>
                <w:color w:val="000000"/>
                <w:sz w:val="18"/>
                <w:szCs w:val="18"/>
                <w:shd w:val="clear" w:color="auto" w:fill="FFFFFF"/>
              </w:rPr>
            </w:pPr>
            <w:r w:rsidRPr="00906597">
              <w:rPr>
                <w:rFonts w:eastAsia="Times New Roman"/>
                <w:color w:val="000000"/>
                <w:sz w:val="18"/>
                <w:szCs w:val="18"/>
              </w:rPr>
              <w:t>•</w:t>
            </w:r>
            <w:r w:rsidRPr="00906597">
              <w:rPr>
                <w:rFonts w:eastAsia="Times New Roman"/>
                <w:color w:val="000000"/>
                <w:sz w:val="18"/>
                <w:szCs w:val="18"/>
              </w:rPr>
              <w:tab/>
            </w:r>
            <w:r w:rsidR="00FE247F" w:rsidRPr="00906597">
              <w:rPr>
                <w:rFonts w:eastAsia="Times New Roman"/>
                <w:color w:val="000000"/>
                <w:sz w:val="18"/>
                <w:szCs w:val="18"/>
                <w:shd w:val="clear" w:color="auto" w:fill="FFFFFF"/>
              </w:rPr>
              <w:t xml:space="preserve">Lower </w:t>
            </w:r>
            <w:r w:rsidR="00FE247F" w:rsidRPr="00906597">
              <w:rPr>
                <w:sz w:val="18"/>
                <w:szCs w:val="18"/>
                <w:shd w:val="clear" w:color="auto" w:fill="FFFFFF"/>
              </w:rPr>
              <w:t>dose</w:t>
            </w:r>
            <w:r w:rsidR="00FE247F" w:rsidRPr="00906597">
              <w:rPr>
                <w:rFonts w:eastAsia="Times New Roman"/>
                <w:color w:val="000000"/>
                <w:sz w:val="18"/>
                <w:szCs w:val="18"/>
                <w:shd w:val="clear" w:color="auto" w:fill="FFFFFF"/>
              </w:rPr>
              <w:t xml:space="preserve"> levels: no clinical signs</w:t>
            </w:r>
          </w:p>
        </w:tc>
      </w:tr>
      <w:tr w:rsidR="00FE247F" w:rsidRPr="00906597" w14:paraId="3BFC1F73" w14:textId="77777777" w:rsidTr="00807FB8">
        <w:trPr>
          <w:trHeight w:val="440"/>
        </w:trPr>
        <w:tc>
          <w:tcPr>
            <w:tcW w:w="1058" w:type="dxa"/>
            <w:shd w:val="clear" w:color="auto" w:fill="auto"/>
            <w:vAlign w:val="center"/>
          </w:tcPr>
          <w:p w14:paraId="75EB76A1" w14:textId="77777777" w:rsidR="00FE247F" w:rsidRPr="00906597" w:rsidRDefault="00FE247F" w:rsidP="00906597">
            <w:pPr>
              <w:spacing w:after="3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Inhalation (Dust/Mist)</w:t>
            </w:r>
          </w:p>
        </w:tc>
        <w:tc>
          <w:tcPr>
            <w:tcW w:w="927" w:type="dxa"/>
            <w:shd w:val="clear" w:color="auto" w:fill="auto"/>
          </w:tcPr>
          <w:p w14:paraId="6532FF83" w14:textId="77777777" w:rsidR="00FE247F" w:rsidRPr="00906597" w:rsidRDefault="00FE247F" w:rsidP="00906597">
            <w:pPr>
              <w:spacing w:after="3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Rat</w:t>
            </w:r>
          </w:p>
        </w:tc>
        <w:tc>
          <w:tcPr>
            <w:tcW w:w="3685" w:type="dxa"/>
            <w:shd w:val="clear" w:color="auto" w:fill="auto"/>
          </w:tcPr>
          <w:p w14:paraId="70813CB2"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OECD TG 402 (4 hours using mist):</w:t>
            </w:r>
          </w:p>
          <w:p w14:paraId="29027F63"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0.5 mg/L: no mortality</w:t>
            </w:r>
          </w:p>
          <w:p w14:paraId="5FDDC338"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1.0 mg/L: no mortality</w:t>
            </w:r>
          </w:p>
          <w:p w14:paraId="59971568" w14:textId="77777777" w:rsidR="00FE247F" w:rsidRPr="00906597" w:rsidRDefault="00FE247F" w:rsidP="00906597">
            <w:pPr>
              <w:spacing w:after="30" w:line="240" w:lineRule="auto"/>
              <w:rPr>
                <w:rFonts w:eastAsia="Times New Roman"/>
                <w:color w:val="000000"/>
                <w:sz w:val="18"/>
                <w:szCs w:val="18"/>
                <w:shd w:val="clear" w:color="auto" w:fill="FFFFFF"/>
              </w:rPr>
            </w:pPr>
            <w:r w:rsidRPr="00906597">
              <w:rPr>
                <w:rFonts w:eastAsia="Times New Roman"/>
                <w:color w:val="000000"/>
                <w:sz w:val="18"/>
                <w:szCs w:val="18"/>
                <w:shd w:val="clear" w:color="auto" w:fill="FFFFFF"/>
              </w:rPr>
              <w:t>2.0 mg/L: 100% mortality</w:t>
            </w:r>
          </w:p>
        </w:tc>
        <w:tc>
          <w:tcPr>
            <w:tcW w:w="3260" w:type="dxa"/>
            <w:shd w:val="clear" w:color="auto" w:fill="auto"/>
          </w:tcPr>
          <w:p w14:paraId="141D1D5C" w14:textId="77777777" w:rsidR="00FE247F" w:rsidRPr="00906597" w:rsidRDefault="00FC47E9" w:rsidP="00906597">
            <w:pPr>
              <w:pStyle w:val="Bullet1G"/>
              <w:numPr>
                <w:ilvl w:val="0"/>
                <w:numId w:val="0"/>
              </w:numPr>
              <w:spacing w:after="30" w:line="240" w:lineRule="auto"/>
              <w:ind w:left="193" w:right="172" w:hanging="193"/>
              <w:jc w:val="left"/>
              <w:rPr>
                <w:rFonts w:eastAsia="Times New Roman"/>
                <w:color w:val="000000"/>
                <w:sz w:val="18"/>
                <w:szCs w:val="18"/>
                <w:shd w:val="clear" w:color="auto" w:fill="FFFFFF"/>
              </w:rPr>
            </w:pPr>
            <w:r w:rsidRPr="00906597">
              <w:rPr>
                <w:rFonts w:eastAsia="Times New Roman"/>
                <w:color w:val="000000"/>
                <w:sz w:val="18"/>
                <w:szCs w:val="18"/>
              </w:rPr>
              <w:t>•</w:t>
            </w:r>
            <w:r w:rsidRPr="00906597">
              <w:rPr>
                <w:rFonts w:eastAsia="Times New Roman"/>
                <w:color w:val="000000"/>
                <w:sz w:val="18"/>
                <w:szCs w:val="18"/>
              </w:rPr>
              <w:tab/>
            </w:r>
            <w:r w:rsidR="00FE247F" w:rsidRPr="00906597">
              <w:rPr>
                <w:rFonts w:eastAsia="Times New Roman"/>
                <w:color w:val="000000"/>
                <w:sz w:val="18"/>
                <w:szCs w:val="18"/>
                <w:shd w:val="clear" w:color="auto" w:fill="FFFFFF"/>
              </w:rPr>
              <w:t xml:space="preserve">0.5 mg/L and above: clinical signs of </w:t>
            </w:r>
            <w:r w:rsidR="00FE247F" w:rsidRPr="00906597">
              <w:rPr>
                <w:sz w:val="18"/>
                <w:szCs w:val="18"/>
                <w:shd w:val="clear" w:color="auto" w:fill="FFFFFF"/>
              </w:rPr>
              <w:t>neurotoxicity</w:t>
            </w:r>
          </w:p>
        </w:tc>
      </w:tr>
    </w:tbl>
    <w:p w14:paraId="524F4E20" w14:textId="77777777" w:rsidR="00BF05B8" w:rsidRPr="00807FB8" w:rsidRDefault="00BF05B8" w:rsidP="00906597">
      <w:pPr>
        <w:pStyle w:val="H56G"/>
        <w:rPr>
          <w:i/>
          <w:iCs/>
          <w:shd w:val="clear" w:color="auto" w:fill="FFFFFF"/>
        </w:rPr>
      </w:pPr>
      <w:r w:rsidRPr="00807FB8">
        <w:rPr>
          <w:i/>
          <w:iCs/>
          <w:shd w:val="clear" w:color="auto" w:fill="FFFFFF"/>
        </w:rPr>
        <w:tab/>
      </w:r>
      <w:r w:rsidRPr="00807FB8">
        <w:rPr>
          <w:i/>
          <w:iCs/>
          <w:shd w:val="clear" w:color="auto" w:fill="FFFFFF"/>
        </w:rPr>
        <w:tab/>
        <w:t>Repeated dose toxicity animal data</w:t>
      </w:r>
    </w:p>
    <w:p w14:paraId="4775092D" w14:textId="77777777" w:rsidR="00BF05B8" w:rsidRPr="00906597" w:rsidRDefault="00906597" w:rsidP="00906597">
      <w:pPr>
        <w:pStyle w:val="H23G"/>
        <w:spacing w:before="120"/>
        <w:ind w:left="1701" w:hanging="567"/>
        <w:rPr>
          <w:b w:val="0"/>
          <w:bCs/>
        </w:rPr>
      </w:pPr>
      <w:r w:rsidRPr="00906597">
        <w:rPr>
          <w:b w:val="0"/>
          <w:bCs/>
        </w:rPr>
        <w:t>(a)</w:t>
      </w:r>
      <w:r w:rsidR="00BF05B8" w:rsidRPr="00906597">
        <w:rPr>
          <w:b w:val="0"/>
          <w:bCs/>
        </w:rPr>
        <w:tab/>
        <w:t>Oral route of exposure</w:t>
      </w:r>
    </w:p>
    <w:p w14:paraId="6FEDDE3C" w14:textId="77777777" w:rsidR="00BF05B8" w:rsidRPr="00707E19" w:rsidRDefault="00BF05B8" w:rsidP="00906597">
      <w:pPr>
        <w:pStyle w:val="SingleTxtG"/>
        <w:ind w:left="1701"/>
      </w:pPr>
      <w:r w:rsidRPr="00707E19">
        <w:t xml:space="preserve">Several dietary studies in rats, mice and dogs are available with exposure durations ranging from 28-days to 2-years. The main finding at dose levels within the guidance values for classification for Specific Target Organ Toxicity – Repeated Exposure category 2 were tremors in rats (28-days study at 285/273 mg/kg </w:t>
      </w:r>
      <w:proofErr w:type="spellStart"/>
      <w:r w:rsidRPr="00707E19">
        <w:t>bw</w:t>
      </w:r>
      <w:proofErr w:type="spellEnd"/>
      <w:r w:rsidRPr="00707E19">
        <w:t xml:space="preserve">/day) and dogs (90-days study at 100 mg/kg </w:t>
      </w:r>
      <w:proofErr w:type="spellStart"/>
      <w:r w:rsidRPr="00707E19">
        <w:t>bw</w:t>
      </w:r>
      <w:proofErr w:type="spellEnd"/>
      <w:r w:rsidRPr="00707E19">
        <w:t>/day). However, although detailed information is not available on the timing of the onset of the effects, it was observed in all animals in the first week of the 26</w:t>
      </w:r>
      <w:r>
        <w:t>-</w:t>
      </w:r>
      <w:r w:rsidRPr="00707E19">
        <w:t xml:space="preserve">week study before declining until week 4 after which no effect was observed. A similar pattern was observed in the dog studies 2 to 6h after exposure. In addition, no histopathological findings in the nervous system after detailed examination and no functional findings in the </w:t>
      </w:r>
      <w:r>
        <w:t>Functional Observational Battery (</w:t>
      </w:r>
      <w:r w:rsidRPr="00707E19">
        <w:t>FOB</w:t>
      </w:r>
      <w:r>
        <w:t>)</w:t>
      </w:r>
      <w:r w:rsidRPr="00707E19">
        <w:t xml:space="preserve"> were reported.</w:t>
      </w:r>
    </w:p>
    <w:p w14:paraId="13738A4D" w14:textId="77777777" w:rsidR="00BF05B8" w:rsidRPr="00906597" w:rsidRDefault="00906597" w:rsidP="00906597">
      <w:pPr>
        <w:pStyle w:val="H23G"/>
        <w:spacing w:before="120"/>
        <w:ind w:left="1701" w:hanging="567"/>
        <w:rPr>
          <w:b w:val="0"/>
          <w:bCs/>
        </w:rPr>
      </w:pPr>
      <w:r>
        <w:rPr>
          <w:b w:val="0"/>
          <w:bCs/>
        </w:rPr>
        <w:t>(b)</w:t>
      </w:r>
      <w:r w:rsidR="00BF05B8" w:rsidRPr="00906597">
        <w:rPr>
          <w:b w:val="0"/>
          <w:bCs/>
        </w:rPr>
        <w:tab/>
      </w:r>
      <w:r w:rsidR="00BF05B8" w:rsidRPr="00906597">
        <w:rPr>
          <w:b w:val="0"/>
          <w:bCs/>
        </w:rPr>
        <w:tab/>
        <w:t>Inhalation route of exposure</w:t>
      </w:r>
    </w:p>
    <w:p w14:paraId="528D7208" w14:textId="77777777" w:rsidR="00BF05B8" w:rsidRPr="00707E19" w:rsidRDefault="00BF05B8" w:rsidP="00906597">
      <w:pPr>
        <w:pStyle w:val="SingleTxtG"/>
        <w:ind w:left="1701"/>
      </w:pPr>
      <w:r w:rsidRPr="00707E19">
        <w:t>28-day inhalation OECD TG 412 Study</w:t>
      </w:r>
    </w:p>
    <w:p w14:paraId="175C7061" w14:textId="77777777" w:rsidR="00BF05B8" w:rsidRPr="00707E19" w:rsidRDefault="00BF05B8" w:rsidP="00906597">
      <w:pPr>
        <w:pStyle w:val="SingleTxtG"/>
        <w:ind w:left="1701"/>
      </w:pPr>
      <w:r w:rsidRPr="00707E19">
        <w:t>20 S</w:t>
      </w:r>
      <w:r>
        <w:t xml:space="preserve">prague </w:t>
      </w:r>
      <w:r w:rsidRPr="00707E19">
        <w:t>D</w:t>
      </w:r>
      <w:r>
        <w:t>awley</w:t>
      </w:r>
      <w:r w:rsidRPr="00707E19">
        <w:t xml:space="preserve"> rats (10 male/10 female); mist concentrations 0, 0.01, 0.05, 0.1 and 0.2 mg/L for 6 hours per day</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695"/>
      </w:tblGrid>
      <w:tr w:rsidR="00BF05B8" w:rsidRPr="00906597" w14:paraId="52909744" w14:textId="77777777" w:rsidTr="00BF05B8">
        <w:tc>
          <w:tcPr>
            <w:tcW w:w="1526" w:type="dxa"/>
            <w:shd w:val="clear" w:color="auto" w:fill="auto"/>
          </w:tcPr>
          <w:p w14:paraId="504FFA0D" w14:textId="77777777" w:rsidR="00BF05B8" w:rsidRPr="00906597" w:rsidRDefault="00BF05B8" w:rsidP="00906597">
            <w:pPr>
              <w:spacing w:after="30" w:line="240" w:lineRule="auto"/>
              <w:jc w:val="center"/>
              <w:rPr>
                <w:sz w:val="18"/>
                <w:szCs w:val="18"/>
              </w:rPr>
            </w:pPr>
            <w:r w:rsidRPr="00906597">
              <w:rPr>
                <w:sz w:val="18"/>
                <w:szCs w:val="18"/>
              </w:rPr>
              <w:t>Concentration</w:t>
            </w:r>
          </w:p>
          <w:p w14:paraId="2738A322" w14:textId="77777777" w:rsidR="00BF05B8" w:rsidRPr="00906597" w:rsidRDefault="00BF05B8" w:rsidP="00906597">
            <w:pPr>
              <w:spacing w:after="30" w:line="240" w:lineRule="auto"/>
              <w:jc w:val="center"/>
              <w:rPr>
                <w:sz w:val="18"/>
                <w:szCs w:val="18"/>
              </w:rPr>
            </w:pPr>
            <w:r w:rsidRPr="00906597">
              <w:rPr>
                <w:sz w:val="18"/>
                <w:szCs w:val="18"/>
              </w:rPr>
              <w:t>(mg/L)</w:t>
            </w:r>
          </w:p>
        </w:tc>
        <w:tc>
          <w:tcPr>
            <w:tcW w:w="6695" w:type="dxa"/>
            <w:shd w:val="clear" w:color="auto" w:fill="auto"/>
          </w:tcPr>
          <w:p w14:paraId="42D72418" w14:textId="77777777" w:rsidR="00BF05B8" w:rsidRPr="00906597" w:rsidRDefault="00BF05B8" w:rsidP="00906597">
            <w:pPr>
              <w:spacing w:after="30" w:line="240" w:lineRule="auto"/>
              <w:jc w:val="center"/>
              <w:rPr>
                <w:sz w:val="18"/>
                <w:szCs w:val="18"/>
              </w:rPr>
            </w:pPr>
            <w:r w:rsidRPr="00906597">
              <w:rPr>
                <w:sz w:val="18"/>
                <w:szCs w:val="18"/>
              </w:rPr>
              <w:t>Result</w:t>
            </w:r>
          </w:p>
        </w:tc>
      </w:tr>
      <w:tr w:rsidR="00BF05B8" w:rsidRPr="00906597" w14:paraId="75F14DBA" w14:textId="77777777" w:rsidTr="00BF05B8">
        <w:tc>
          <w:tcPr>
            <w:tcW w:w="1526" w:type="dxa"/>
            <w:shd w:val="clear" w:color="auto" w:fill="auto"/>
            <w:vAlign w:val="center"/>
          </w:tcPr>
          <w:p w14:paraId="1007F0C9" w14:textId="77777777" w:rsidR="00BF05B8" w:rsidRPr="00906597" w:rsidRDefault="00BF05B8" w:rsidP="00906597">
            <w:pPr>
              <w:spacing w:after="30" w:line="240" w:lineRule="auto"/>
              <w:jc w:val="center"/>
              <w:rPr>
                <w:sz w:val="18"/>
                <w:szCs w:val="18"/>
              </w:rPr>
            </w:pPr>
            <w:r w:rsidRPr="00906597">
              <w:rPr>
                <w:sz w:val="18"/>
                <w:szCs w:val="18"/>
              </w:rPr>
              <w:t>0.2</w:t>
            </w:r>
          </w:p>
        </w:tc>
        <w:tc>
          <w:tcPr>
            <w:tcW w:w="6695" w:type="dxa"/>
            <w:shd w:val="clear" w:color="auto" w:fill="auto"/>
          </w:tcPr>
          <w:p w14:paraId="1BAD03C6" w14:textId="77777777" w:rsidR="00BF05B8" w:rsidRPr="00906597" w:rsidRDefault="00FC47E9" w:rsidP="00906597">
            <w:pPr>
              <w:pStyle w:val="Bullet1G"/>
              <w:numPr>
                <w:ilvl w:val="0"/>
                <w:numId w:val="0"/>
              </w:numPr>
              <w:spacing w:after="30" w:line="240" w:lineRule="auto"/>
              <w:ind w:left="346" w:right="173" w:hanging="283"/>
              <w:rPr>
                <w:sz w:val="18"/>
                <w:szCs w:val="18"/>
              </w:rPr>
            </w:pPr>
            <w:r w:rsidRPr="00906597">
              <w:rPr>
                <w:sz w:val="18"/>
                <w:szCs w:val="18"/>
              </w:rPr>
              <w:t>•</w:t>
            </w:r>
            <w:r w:rsidRPr="00906597">
              <w:rPr>
                <w:sz w:val="18"/>
                <w:szCs w:val="18"/>
              </w:rPr>
              <w:tab/>
            </w:r>
            <w:r w:rsidR="00BF05B8" w:rsidRPr="00906597">
              <w:rPr>
                <w:sz w:val="18"/>
                <w:szCs w:val="18"/>
              </w:rPr>
              <w:t xml:space="preserve">Treatment-related mortality (7 /10 males, 3/10 females). The 3 females died on days 3, 4 and 5 respectively.  The male deaths were distributed throughout the study with 3 on day 4 and 1 on each of days 9, 19, 25 and 27 respectively. </w:t>
            </w:r>
          </w:p>
          <w:p w14:paraId="5776719C" w14:textId="77777777" w:rsidR="00BF05B8" w:rsidRPr="00906597" w:rsidRDefault="00FC47E9" w:rsidP="00906597">
            <w:pPr>
              <w:pStyle w:val="Bullet1G"/>
              <w:numPr>
                <w:ilvl w:val="0"/>
                <w:numId w:val="0"/>
              </w:numPr>
              <w:spacing w:after="30" w:line="240" w:lineRule="auto"/>
              <w:ind w:left="346" w:right="173" w:hanging="283"/>
              <w:rPr>
                <w:sz w:val="18"/>
                <w:szCs w:val="18"/>
              </w:rPr>
            </w:pPr>
            <w:r w:rsidRPr="00906597">
              <w:rPr>
                <w:sz w:val="18"/>
                <w:szCs w:val="18"/>
              </w:rPr>
              <w:t>•</w:t>
            </w:r>
            <w:r w:rsidRPr="00906597">
              <w:rPr>
                <w:sz w:val="18"/>
                <w:szCs w:val="18"/>
              </w:rPr>
              <w:tab/>
            </w:r>
            <w:r w:rsidR="00BF05B8" w:rsidRPr="00906597">
              <w:rPr>
                <w:sz w:val="18"/>
                <w:szCs w:val="18"/>
              </w:rPr>
              <w:t>Tremors, observed during or immediately after exposure (5/10 males, 5/10 females)</w:t>
            </w:r>
          </w:p>
        </w:tc>
      </w:tr>
      <w:tr w:rsidR="00BF05B8" w:rsidRPr="00906597" w14:paraId="4A7BD9DC" w14:textId="77777777" w:rsidTr="00BF05B8">
        <w:tc>
          <w:tcPr>
            <w:tcW w:w="1526" w:type="dxa"/>
            <w:shd w:val="clear" w:color="auto" w:fill="auto"/>
            <w:vAlign w:val="center"/>
          </w:tcPr>
          <w:p w14:paraId="453FD387" w14:textId="77777777" w:rsidR="00BF05B8" w:rsidRPr="00906597" w:rsidRDefault="00BF05B8" w:rsidP="00906597">
            <w:pPr>
              <w:spacing w:after="30" w:line="240" w:lineRule="auto"/>
              <w:jc w:val="center"/>
              <w:rPr>
                <w:sz w:val="18"/>
                <w:szCs w:val="18"/>
              </w:rPr>
            </w:pPr>
            <w:r w:rsidRPr="00906597">
              <w:rPr>
                <w:sz w:val="18"/>
                <w:szCs w:val="18"/>
              </w:rPr>
              <w:t>0.1</w:t>
            </w:r>
          </w:p>
        </w:tc>
        <w:tc>
          <w:tcPr>
            <w:tcW w:w="6695" w:type="dxa"/>
            <w:shd w:val="clear" w:color="auto" w:fill="auto"/>
          </w:tcPr>
          <w:p w14:paraId="3CA2BEBB" w14:textId="77777777" w:rsidR="00BF05B8" w:rsidRPr="00906597" w:rsidRDefault="00FC47E9" w:rsidP="00906597">
            <w:pPr>
              <w:pStyle w:val="Bullet1G"/>
              <w:numPr>
                <w:ilvl w:val="0"/>
                <w:numId w:val="0"/>
              </w:numPr>
              <w:spacing w:after="30" w:line="240" w:lineRule="auto"/>
              <w:ind w:left="346" w:right="173" w:hanging="283"/>
              <w:rPr>
                <w:sz w:val="18"/>
                <w:szCs w:val="18"/>
              </w:rPr>
            </w:pPr>
            <w:r w:rsidRPr="00906597">
              <w:rPr>
                <w:sz w:val="18"/>
                <w:szCs w:val="18"/>
              </w:rPr>
              <w:t>•</w:t>
            </w:r>
            <w:r w:rsidRPr="00906597">
              <w:rPr>
                <w:sz w:val="18"/>
                <w:szCs w:val="18"/>
              </w:rPr>
              <w:tab/>
            </w:r>
            <w:r w:rsidR="00BF05B8" w:rsidRPr="00906597">
              <w:rPr>
                <w:sz w:val="18"/>
                <w:szCs w:val="18"/>
              </w:rPr>
              <w:t>No treatment related changes</w:t>
            </w:r>
          </w:p>
        </w:tc>
      </w:tr>
      <w:tr w:rsidR="00BF05B8" w:rsidRPr="00906597" w14:paraId="33E7983B" w14:textId="77777777" w:rsidTr="00BF05B8">
        <w:tc>
          <w:tcPr>
            <w:tcW w:w="1526" w:type="dxa"/>
            <w:shd w:val="clear" w:color="auto" w:fill="auto"/>
            <w:vAlign w:val="center"/>
          </w:tcPr>
          <w:p w14:paraId="0C61A32B" w14:textId="77777777" w:rsidR="00BF05B8" w:rsidRPr="00906597" w:rsidRDefault="00BF05B8" w:rsidP="00906597">
            <w:pPr>
              <w:spacing w:after="30" w:line="240" w:lineRule="auto"/>
              <w:jc w:val="center"/>
              <w:rPr>
                <w:sz w:val="18"/>
                <w:szCs w:val="18"/>
              </w:rPr>
            </w:pPr>
            <w:r w:rsidRPr="00906597">
              <w:rPr>
                <w:sz w:val="18"/>
                <w:szCs w:val="18"/>
              </w:rPr>
              <w:t>0.05</w:t>
            </w:r>
          </w:p>
        </w:tc>
        <w:tc>
          <w:tcPr>
            <w:tcW w:w="6695" w:type="dxa"/>
            <w:shd w:val="clear" w:color="auto" w:fill="auto"/>
          </w:tcPr>
          <w:p w14:paraId="18BD5EB9" w14:textId="77777777" w:rsidR="00BF05B8" w:rsidRPr="00906597" w:rsidRDefault="00FC47E9" w:rsidP="00906597">
            <w:pPr>
              <w:pStyle w:val="Bullet1G"/>
              <w:numPr>
                <w:ilvl w:val="0"/>
                <w:numId w:val="0"/>
              </w:numPr>
              <w:spacing w:after="30" w:line="240" w:lineRule="auto"/>
              <w:ind w:left="346" w:right="173" w:hanging="283"/>
              <w:rPr>
                <w:sz w:val="18"/>
                <w:szCs w:val="18"/>
              </w:rPr>
            </w:pPr>
            <w:r w:rsidRPr="00906597">
              <w:rPr>
                <w:sz w:val="18"/>
                <w:szCs w:val="18"/>
              </w:rPr>
              <w:t>•</w:t>
            </w:r>
            <w:r w:rsidRPr="00906597">
              <w:rPr>
                <w:sz w:val="18"/>
                <w:szCs w:val="18"/>
              </w:rPr>
              <w:tab/>
            </w:r>
            <w:r w:rsidR="00BF05B8" w:rsidRPr="00906597">
              <w:rPr>
                <w:sz w:val="18"/>
                <w:szCs w:val="18"/>
              </w:rPr>
              <w:t>No treatment related changes</w:t>
            </w:r>
          </w:p>
        </w:tc>
      </w:tr>
      <w:tr w:rsidR="00BF05B8" w:rsidRPr="00906597" w14:paraId="52980006" w14:textId="77777777" w:rsidTr="00BF05B8">
        <w:tc>
          <w:tcPr>
            <w:tcW w:w="1526" w:type="dxa"/>
            <w:shd w:val="clear" w:color="auto" w:fill="auto"/>
            <w:vAlign w:val="center"/>
          </w:tcPr>
          <w:p w14:paraId="56C7CBAD" w14:textId="77777777" w:rsidR="00BF05B8" w:rsidRPr="00906597" w:rsidRDefault="00BF05B8" w:rsidP="00906597">
            <w:pPr>
              <w:spacing w:after="30" w:line="240" w:lineRule="auto"/>
              <w:jc w:val="center"/>
              <w:rPr>
                <w:sz w:val="18"/>
                <w:szCs w:val="18"/>
              </w:rPr>
            </w:pPr>
            <w:r w:rsidRPr="00906597">
              <w:rPr>
                <w:sz w:val="18"/>
                <w:szCs w:val="18"/>
              </w:rPr>
              <w:t>0.01</w:t>
            </w:r>
          </w:p>
        </w:tc>
        <w:tc>
          <w:tcPr>
            <w:tcW w:w="6695" w:type="dxa"/>
            <w:shd w:val="clear" w:color="auto" w:fill="auto"/>
          </w:tcPr>
          <w:p w14:paraId="49DD872F" w14:textId="77777777" w:rsidR="00BF05B8" w:rsidRPr="00906597" w:rsidRDefault="00FC47E9" w:rsidP="00906597">
            <w:pPr>
              <w:pStyle w:val="Bullet1G"/>
              <w:numPr>
                <w:ilvl w:val="0"/>
                <w:numId w:val="0"/>
              </w:numPr>
              <w:spacing w:after="30" w:line="240" w:lineRule="auto"/>
              <w:ind w:left="346" w:right="173" w:hanging="283"/>
              <w:rPr>
                <w:sz w:val="18"/>
                <w:szCs w:val="18"/>
              </w:rPr>
            </w:pPr>
            <w:r w:rsidRPr="00906597">
              <w:rPr>
                <w:sz w:val="18"/>
                <w:szCs w:val="18"/>
              </w:rPr>
              <w:t>•</w:t>
            </w:r>
            <w:r w:rsidRPr="00906597">
              <w:rPr>
                <w:sz w:val="18"/>
                <w:szCs w:val="18"/>
              </w:rPr>
              <w:tab/>
            </w:r>
            <w:r w:rsidR="00BF05B8" w:rsidRPr="00906597">
              <w:rPr>
                <w:sz w:val="18"/>
                <w:szCs w:val="18"/>
              </w:rPr>
              <w:t>No treatment related changes</w:t>
            </w:r>
          </w:p>
        </w:tc>
      </w:tr>
    </w:tbl>
    <w:p w14:paraId="2C45B9E0" w14:textId="77777777" w:rsidR="00E90D0E" w:rsidRPr="00707E19" w:rsidRDefault="00E90D0E" w:rsidP="00E90D0E">
      <w:pPr>
        <w:pStyle w:val="H23G"/>
      </w:pPr>
      <w:r>
        <w:lastRenderedPageBreak/>
        <w:tab/>
      </w:r>
      <w:r>
        <w:tab/>
      </w:r>
      <w:r w:rsidRPr="00707E19">
        <w:t>Answer</w:t>
      </w:r>
    </w:p>
    <w:p w14:paraId="09F89C19" w14:textId="77777777" w:rsidR="00E90D0E" w:rsidRPr="00707E19" w:rsidRDefault="00E90D0E" w:rsidP="00E90D0E">
      <w:pPr>
        <w:pStyle w:val="SingleTxtG"/>
      </w:pPr>
      <w:r w:rsidRPr="00707E19">
        <w:t xml:space="preserve">Acute </w:t>
      </w:r>
      <w:r w:rsidR="00906597">
        <w:t>o</w:t>
      </w:r>
      <w:r w:rsidRPr="00707E19">
        <w:t xml:space="preserve">ral </w:t>
      </w:r>
      <w:r w:rsidR="00906597">
        <w:t>t</w:t>
      </w:r>
      <w:r w:rsidRPr="00707E19">
        <w:t>oxicity</w:t>
      </w:r>
      <w:r w:rsidR="00906597">
        <w:t xml:space="preserve">, </w:t>
      </w:r>
      <w:r w:rsidRPr="00707E19">
        <w:t>Category 3</w:t>
      </w:r>
    </w:p>
    <w:p w14:paraId="218916C4" w14:textId="77777777" w:rsidR="00E90D0E" w:rsidRPr="00707E19" w:rsidRDefault="00E90D0E" w:rsidP="00E90D0E">
      <w:pPr>
        <w:pStyle w:val="SingleTxtG"/>
      </w:pPr>
      <w:r w:rsidRPr="00707E19">
        <w:t xml:space="preserve">Acute </w:t>
      </w:r>
      <w:r w:rsidR="00906597">
        <w:t>i</w:t>
      </w:r>
      <w:r w:rsidRPr="00707E19">
        <w:t xml:space="preserve">nhalation </w:t>
      </w:r>
      <w:r w:rsidR="00906597">
        <w:t>t</w:t>
      </w:r>
      <w:r w:rsidRPr="00707E19">
        <w:t>oxicity</w:t>
      </w:r>
      <w:r w:rsidR="00906597">
        <w:t>, c</w:t>
      </w:r>
      <w:r w:rsidRPr="00707E19">
        <w:t>ategory 4</w:t>
      </w:r>
    </w:p>
    <w:p w14:paraId="233B3313" w14:textId="77777777" w:rsidR="00E90D0E" w:rsidRPr="00707E19" w:rsidRDefault="00E90D0E" w:rsidP="00E90D0E">
      <w:pPr>
        <w:pStyle w:val="SingleTxtG"/>
      </w:pP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Single </w:t>
      </w:r>
      <w:r w:rsidR="00906597">
        <w:t>e</w:t>
      </w:r>
      <w:r w:rsidRPr="00707E19">
        <w:t>xposure</w:t>
      </w:r>
      <w:r w:rsidR="00906597">
        <w:t xml:space="preserve">, </w:t>
      </w:r>
      <w:r w:rsidRPr="00707E19">
        <w:t>Category 1</w:t>
      </w:r>
      <w:r w:rsidR="00906597">
        <w:t xml:space="preserve">: </w:t>
      </w:r>
    </w:p>
    <w:p w14:paraId="31231986" w14:textId="77777777" w:rsidR="00E90D0E" w:rsidRPr="00707E19" w:rsidRDefault="00E90D0E" w:rsidP="00E90D0E">
      <w:pPr>
        <w:pStyle w:val="SingleTxtG"/>
      </w:pPr>
      <w:r w:rsidRPr="00707E19">
        <w:t xml:space="preserve">(Target </w:t>
      </w:r>
      <w:r w:rsidR="00906597">
        <w:t>o</w:t>
      </w:r>
      <w:r w:rsidRPr="00707E19">
        <w:t>rgans:  Nervous system)</w:t>
      </w:r>
    </w:p>
    <w:p w14:paraId="2A96F74F" w14:textId="77777777" w:rsidR="00E90D0E" w:rsidRPr="00707E19" w:rsidRDefault="00E90D0E" w:rsidP="00E90D0E">
      <w:pPr>
        <w:pStyle w:val="SingleTxtG"/>
      </w:pP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Repeated </w:t>
      </w:r>
      <w:r w:rsidR="00906597">
        <w:t>e</w:t>
      </w:r>
      <w:r w:rsidRPr="00707E19">
        <w:t>xposure</w:t>
      </w:r>
      <w:r w:rsidR="00906597">
        <w:t xml:space="preserve">, </w:t>
      </w:r>
      <w:r w:rsidRPr="00707E19">
        <w:t xml:space="preserve">Category 2 </w:t>
      </w:r>
    </w:p>
    <w:p w14:paraId="7C9A4C11" w14:textId="77777777" w:rsidR="00E90D0E" w:rsidRPr="00707E19" w:rsidRDefault="00E90D0E" w:rsidP="00E90D0E">
      <w:pPr>
        <w:pStyle w:val="SingleTxtG"/>
      </w:pPr>
      <w:r w:rsidRPr="00707E19">
        <w:t xml:space="preserve">(Target </w:t>
      </w:r>
      <w:r w:rsidR="00906597">
        <w:t>o</w:t>
      </w:r>
      <w:r w:rsidRPr="00707E19">
        <w:t>rgans:  not specified)</w:t>
      </w:r>
    </w:p>
    <w:p w14:paraId="4665151F" w14:textId="77777777" w:rsidR="00E90D0E" w:rsidRPr="00707E19" w:rsidRDefault="00E90D0E" w:rsidP="00E90D0E">
      <w:pPr>
        <w:pStyle w:val="H23G"/>
      </w:pPr>
      <w:r>
        <w:tab/>
      </w:r>
      <w:r>
        <w:tab/>
      </w:r>
      <w:r w:rsidRPr="00707E19">
        <w:t>Rationale</w:t>
      </w:r>
    </w:p>
    <w:p w14:paraId="2EE8244C" w14:textId="77777777" w:rsidR="00E90D0E" w:rsidRPr="00707E19" w:rsidRDefault="00E90D0E" w:rsidP="00906597">
      <w:pPr>
        <w:pStyle w:val="H4G"/>
      </w:pPr>
      <w:r>
        <w:tab/>
      </w:r>
      <w:r w:rsidR="00906597">
        <w:t>(a)</w:t>
      </w:r>
      <w:r>
        <w:tab/>
      </w:r>
      <w:r w:rsidRPr="00707E19">
        <w:t xml:space="preserve">Acute </w:t>
      </w:r>
      <w:r w:rsidR="00906597">
        <w:t>o</w:t>
      </w:r>
      <w:r w:rsidRPr="00707E19">
        <w:t xml:space="preserve">ral </w:t>
      </w:r>
      <w:r w:rsidR="00906597">
        <w:t>t</w:t>
      </w:r>
      <w:r w:rsidRPr="00707E19">
        <w:t>oxicity:</w:t>
      </w:r>
    </w:p>
    <w:p w14:paraId="1AC54FE1" w14:textId="77777777" w:rsidR="00E90D0E" w:rsidRPr="00707E19" w:rsidRDefault="00E90D0E" w:rsidP="00E90D0E">
      <w:pPr>
        <w:pStyle w:val="SingleTxtG"/>
      </w:pPr>
      <w:r w:rsidRPr="009665D6">
        <w:t xml:space="preserve">Classification via application of criteria in GHS Table 3.1.1 is possible. The results using the vehicle corn oil are </w:t>
      </w:r>
      <w:proofErr w:type="gramStart"/>
      <w:r w:rsidRPr="009665D6">
        <w:t>taken into account</w:t>
      </w:r>
      <w:proofErr w:type="gramEnd"/>
      <w:r w:rsidRPr="009665D6">
        <w:t xml:space="preserve"> as corn oil is a relevant vehicle for lipophilic substances. The study used the preferred test species (</w:t>
      </w:r>
      <w:r>
        <w:t>i.e.,</w:t>
      </w:r>
      <w:r w:rsidRPr="009665D6">
        <w:t xml:space="preserve"> rat) as noted in paragraph 3.1.2.3</w:t>
      </w:r>
      <w:r>
        <w:t xml:space="preserve"> and</w:t>
      </w:r>
      <w:r w:rsidRPr="009665D6">
        <w:t xml:space="preserve"> other test species (mice) do not indicate a different acute toxicity</w:t>
      </w:r>
      <w:r>
        <w:t>.  T</w:t>
      </w:r>
      <w:r w:rsidRPr="009665D6">
        <w:t>he Oral (rat) LD</w:t>
      </w:r>
      <w:r w:rsidRPr="009665D6">
        <w:rPr>
          <w:vertAlign w:val="subscript"/>
        </w:rPr>
        <w:t>50</w:t>
      </w:r>
      <w:r w:rsidRPr="009665D6">
        <w:t xml:space="preserve"> is estimated to be within the Category 3 range of 50 &lt; ATE </w:t>
      </w:r>
      <w:r w:rsidRPr="00707E19">
        <w:sym w:font="Symbol" w:char="F0A3"/>
      </w:r>
      <w:r w:rsidRPr="009665D6">
        <w:t xml:space="preserve"> 300, based on 20% mortality at 100 mg/kg </w:t>
      </w:r>
      <w:proofErr w:type="spellStart"/>
      <w:r w:rsidRPr="009665D6">
        <w:t>bw</w:t>
      </w:r>
      <w:proofErr w:type="spellEnd"/>
      <w:r w:rsidRPr="009665D6">
        <w:t xml:space="preserve"> (study 2)</w:t>
      </w:r>
      <w:r>
        <w:t xml:space="preserve">.  It can be rationalized that the cause of </w:t>
      </w:r>
      <w:r w:rsidRPr="009665D6">
        <w:t xml:space="preserve">mortality </w:t>
      </w:r>
      <w:r>
        <w:t xml:space="preserve">via the oral route is similar to the inhalation route and therefore the dose response relationship </w:t>
      </w:r>
      <w:r w:rsidRPr="009665D6">
        <w:t>is likely to follow a steep slope</w:t>
      </w:r>
      <w:r>
        <w:t xml:space="preserve"> similar to</w:t>
      </w:r>
      <w:r w:rsidRPr="009665D6">
        <w:t xml:space="preserve"> acute toxicity by inhalation showing </w:t>
      </w:r>
      <w:r>
        <w:t>no</w:t>
      </w:r>
      <w:r w:rsidRPr="009665D6">
        <w:t xml:space="preserve"> mortality (assumed to be secondary to systemic effects) at 1 mg/L and 100% at the next higher dose of 2 mg/L</w:t>
      </w:r>
      <w:r>
        <w:t xml:space="preserve">, </w:t>
      </w:r>
      <w:r w:rsidRPr="009665D6">
        <w:t>resul</w:t>
      </w:r>
      <w:r>
        <w:t>ting</w:t>
      </w:r>
      <w:r w:rsidRPr="009665D6">
        <w:t xml:space="preserve"> in a Category 3 classification for the oral route.</w:t>
      </w:r>
    </w:p>
    <w:p w14:paraId="1E961D2B" w14:textId="77777777" w:rsidR="00E90D0E" w:rsidRPr="009665D6" w:rsidRDefault="00E90D0E" w:rsidP="00906597">
      <w:pPr>
        <w:pStyle w:val="H4G"/>
      </w:pPr>
      <w:r>
        <w:tab/>
      </w:r>
      <w:r w:rsidR="00906597">
        <w:t>(b)</w:t>
      </w:r>
      <w:r>
        <w:tab/>
      </w:r>
      <w:r w:rsidRPr="009665D6">
        <w:t xml:space="preserve">Acute </w:t>
      </w:r>
      <w:r w:rsidR="00906597">
        <w:t>i</w:t>
      </w:r>
      <w:r w:rsidRPr="009665D6">
        <w:t xml:space="preserve">nhalation </w:t>
      </w:r>
      <w:r w:rsidR="00906597">
        <w:t>t</w:t>
      </w:r>
      <w:r w:rsidRPr="009665D6">
        <w:t>oxicity</w:t>
      </w:r>
    </w:p>
    <w:p w14:paraId="7FE9B776" w14:textId="77777777" w:rsidR="00E90D0E" w:rsidRPr="00707E19" w:rsidRDefault="00E90D0E" w:rsidP="00E90D0E">
      <w:pPr>
        <w:pStyle w:val="SingleTxtG"/>
      </w:pPr>
      <w:r w:rsidRPr="00707E19">
        <w:t>Classification via application of criteria in GHS Table 3.1.1 is possible. The study used the preferred test species (</w:t>
      </w:r>
      <w:r>
        <w:t>i.e.,</w:t>
      </w:r>
      <w:r w:rsidRPr="00707E19">
        <w:t xml:space="preserve"> rat) as noted in paragraph 3.1.2.3 and the 4-hour Inhalation (mist) LC</w:t>
      </w:r>
      <w:r w:rsidRPr="00707E19">
        <w:rPr>
          <w:vertAlign w:val="subscript"/>
        </w:rPr>
        <w:t>50</w:t>
      </w:r>
      <w:r w:rsidRPr="00707E19">
        <w:t xml:space="preserve"> value is between </w:t>
      </w:r>
      <w:r w:rsidRPr="00707E19">
        <w:rPr>
          <w:rFonts w:eastAsia="Times New Roman"/>
          <w:color w:val="000000"/>
          <w:shd w:val="clear" w:color="auto" w:fill="FFFFFF"/>
        </w:rPr>
        <w:t>1.0 and 2.0 mg/L</w:t>
      </w:r>
      <w:r w:rsidRPr="00707E19">
        <w:t xml:space="preserve"> which is within the Category range of 1.0 &lt; ATE </w:t>
      </w:r>
      <w:r w:rsidRPr="00707E19">
        <w:sym w:font="Symbol" w:char="F0A3"/>
      </w:r>
      <w:r w:rsidRPr="00707E19">
        <w:t xml:space="preserve"> 5.0 resulting in a Category 4 classification for the inhalation route.  </w:t>
      </w:r>
    </w:p>
    <w:p w14:paraId="44301697" w14:textId="77777777" w:rsidR="00E90D0E" w:rsidRPr="00707E19" w:rsidRDefault="00E90D0E" w:rsidP="00906597">
      <w:pPr>
        <w:pStyle w:val="H4G"/>
      </w:pPr>
      <w:r>
        <w:tab/>
      </w:r>
      <w:r w:rsidR="00906597">
        <w:t>(c)</w:t>
      </w:r>
      <w:r>
        <w:tab/>
      </w: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Single </w:t>
      </w:r>
      <w:r w:rsidR="00906597">
        <w:t>e</w:t>
      </w:r>
      <w:r w:rsidRPr="00707E19">
        <w:t>xposure (oral route)</w:t>
      </w:r>
    </w:p>
    <w:p w14:paraId="03DF67EA" w14:textId="77777777" w:rsidR="00E90D0E" w:rsidRPr="00707E19" w:rsidRDefault="00E90D0E" w:rsidP="00E90D0E">
      <w:pPr>
        <w:pStyle w:val="SingleTxtG"/>
      </w:pPr>
      <w:r w:rsidRPr="00707E19">
        <w:t xml:space="preserve">Acute oral exposure induces clinical signs of neurotoxicity at a dose level of 100 mg/kg </w:t>
      </w:r>
      <w:proofErr w:type="spellStart"/>
      <w:r w:rsidRPr="00707E19">
        <w:t>bw</w:t>
      </w:r>
      <w:proofErr w:type="spellEnd"/>
      <w:r w:rsidRPr="00707E19">
        <w:t xml:space="preserve"> </w:t>
      </w:r>
      <w:r>
        <w:t xml:space="preserve">and lower </w:t>
      </w:r>
      <w:r w:rsidRPr="00707E19">
        <w:t xml:space="preserve">warranting classification in category 1 according to the guidance values in </w:t>
      </w:r>
      <w:r>
        <w:t>GHS T</w:t>
      </w:r>
      <w:r w:rsidRPr="00707E19">
        <w:t>able 3.</w:t>
      </w:r>
      <w:r>
        <w:t>8</w:t>
      </w:r>
      <w:r w:rsidRPr="00707E19">
        <w:t xml:space="preserve">.2. </w:t>
      </w:r>
      <w:r>
        <w:t>However, t</w:t>
      </w:r>
      <w:r w:rsidRPr="00707E19">
        <w:t xml:space="preserve">hese acute neurological effects were </w:t>
      </w:r>
      <w:r>
        <w:t xml:space="preserve">generally </w:t>
      </w:r>
      <w:r w:rsidRPr="00707E19">
        <w:t>observed at a dose level that also caused mortality</w:t>
      </w:r>
      <w:r>
        <w:t xml:space="preserve"> </w:t>
      </w:r>
      <w:r w:rsidRPr="00D5192A">
        <w:t>after</w:t>
      </w:r>
      <w:r>
        <w:t xml:space="preserve"> single exposure at a level justifying classification for </w:t>
      </w:r>
      <w:r w:rsidR="00906597">
        <w:t>a</w:t>
      </w:r>
      <w:r>
        <w:t xml:space="preserve">cute </w:t>
      </w:r>
      <w:r w:rsidR="00906597">
        <w:t>t</w:t>
      </w:r>
      <w:r>
        <w:t>oxicity</w:t>
      </w:r>
      <w:r w:rsidRPr="00707E19">
        <w:t xml:space="preserve">. Classification for </w:t>
      </w:r>
      <w:r w:rsidR="00906597">
        <w:t>s</w:t>
      </w:r>
      <w:r w:rsidRPr="00707E19">
        <w:t xml:space="preserve">pecific </w:t>
      </w:r>
      <w:r w:rsidR="00906597">
        <w:t>t</w:t>
      </w:r>
      <w:r w:rsidRPr="00707E19">
        <w:t xml:space="preserve">arget </w:t>
      </w:r>
      <w:r w:rsidR="00906597">
        <w:t>o</w:t>
      </w:r>
      <w:r w:rsidRPr="00707E19">
        <w:t xml:space="preserve">rgan </w:t>
      </w:r>
      <w:r w:rsidR="00906597">
        <w:t>t</w:t>
      </w:r>
      <w:r w:rsidRPr="00707E19">
        <w:t xml:space="preserve">oxicity – Single </w:t>
      </w:r>
      <w:r w:rsidR="00906597">
        <w:t>e</w:t>
      </w:r>
      <w:r w:rsidRPr="00707E19">
        <w:t>xposure by the oral route is therefore not appropriate.</w:t>
      </w:r>
    </w:p>
    <w:p w14:paraId="2CA2334E" w14:textId="77777777" w:rsidR="00E90D0E" w:rsidRPr="00707E19" w:rsidRDefault="00E90D0E" w:rsidP="00906597">
      <w:pPr>
        <w:pStyle w:val="H4G"/>
      </w:pPr>
      <w:r>
        <w:tab/>
      </w:r>
      <w:r w:rsidR="00906597">
        <w:t>(d)</w:t>
      </w:r>
      <w:r>
        <w:tab/>
      </w: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Single </w:t>
      </w:r>
      <w:r w:rsidR="00906597">
        <w:t>e</w:t>
      </w:r>
      <w:r w:rsidRPr="00707E19">
        <w:t>xposure (inhalation route)</w:t>
      </w:r>
    </w:p>
    <w:p w14:paraId="6597131F" w14:textId="77777777" w:rsidR="00E90D0E" w:rsidRPr="00707E19" w:rsidRDefault="00E90D0E" w:rsidP="00E90D0E">
      <w:pPr>
        <w:pStyle w:val="SingleTxtG"/>
      </w:pPr>
      <w:r w:rsidRPr="00707E19">
        <w:t>Acute inhalation exposure induces clinical signs of neurotoxicity at concentrations of 0.5</w:t>
      </w:r>
      <w:r w:rsidR="00906597">
        <w:t> </w:t>
      </w:r>
      <w:r w:rsidRPr="00707E19">
        <w:t xml:space="preserve">mg/L and above warranting classification in category 1 according to the guidance values in </w:t>
      </w:r>
      <w:r>
        <w:t>GHS T</w:t>
      </w:r>
      <w:r w:rsidRPr="00707E19">
        <w:t>able 3.</w:t>
      </w:r>
      <w:r>
        <w:t>8</w:t>
      </w:r>
      <w:r w:rsidRPr="00707E19">
        <w:t>.</w:t>
      </w:r>
      <w:r>
        <w:t>1</w:t>
      </w:r>
      <w:r w:rsidRPr="00707E19">
        <w:t xml:space="preserve"> for mists. No mortality was observed at the concentration of 0.5 mg/L that induced clinical signs of neurotoxicity</w:t>
      </w:r>
      <w:r>
        <w:t xml:space="preserve"> and the LC</w:t>
      </w:r>
      <w:r w:rsidRPr="00906597">
        <w:rPr>
          <w:vertAlign w:val="subscript"/>
        </w:rPr>
        <w:t>50</w:t>
      </w:r>
      <w:r>
        <w:t xml:space="preserve"> was estimated to be significantly higher than </w:t>
      </w:r>
      <w:r w:rsidRPr="00707E19">
        <w:t>0.5 mg/L</w:t>
      </w:r>
      <w:r>
        <w:t xml:space="preserve"> which induced neurotoxicity</w:t>
      </w:r>
      <w:r w:rsidRPr="00707E19">
        <w:t xml:space="preserve">. Therefore, classification as </w:t>
      </w:r>
      <w:r w:rsidR="00906597">
        <w:t>s</w:t>
      </w:r>
      <w:r w:rsidRPr="00707E19">
        <w:t xml:space="preserve">pecific </w:t>
      </w:r>
      <w:r w:rsidR="00906597">
        <w:t>t</w:t>
      </w:r>
      <w:r w:rsidRPr="00707E19">
        <w:t xml:space="preserve">arget </w:t>
      </w:r>
      <w:r w:rsidR="00906597">
        <w:t>o</w:t>
      </w:r>
      <w:r w:rsidRPr="00707E19">
        <w:t xml:space="preserve">rgan </w:t>
      </w:r>
      <w:r w:rsidR="00906597">
        <w:t>t</w:t>
      </w:r>
      <w:r w:rsidRPr="00707E19">
        <w:t xml:space="preserve">oxicity – Single </w:t>
      </w:r>
      <w:r w:rsidR="00906597">
        <w:t>e</w:t>
      </w:r>
      <w:r w:rsidRPr="00707E19">
        <w:t xml:space="preserve">xposure by the inhalation route in </w:t>
      </w:r>
      <w:r w:rsidR="00906597">
        <w:t>C</w:t>
      </w:r>
      <w:r w:rsidRPr="00707E19">
        <w:t>ategory 1 is justified.</w:t>
      </w:r>
    </w:p>
    <w:p w14:paraId="6FC579A8" w14:textId="77777777" w:rsidR="00E90D0E" w:rsidRPr="00707E19" w:rsidRDefault="00E90D0E" w:rsidP="00906597">
      <w:pPr>
        <w:pStyle w:val="H4G"/>
      </w:pPr>
      <w:r>
        <w:tab/>
      </w:r>
      <w:r w:rsidR="00906597">
        <w:t>(e)</w:t>
      </w:r>
      <w:r>
        <w:tab/>
      </w:r>
      <w:r w:rsidRPr="00707E19">
        <w:t xml:space="preserve">Specific </w:t>
      </w:r>
      <w:r w:rsidR="00906597">
        <w:t>t</w:t>
      </w:r>
      <w:r w:rsidRPr="00707E19">
        <w:t xml:space="preserve">arget </w:t>
      </w:r>
      <w:r w:rsidR="00906597">
        <w:t>o</w:t>
      </w:r>
      <w:r w:rsidRPr="00707E19">
        <w:t xml:space="preserve">rgan </w:t>
      </w:r>
      <w:r w:rsidR="00906597">
        <w:t>t</w:t>
      </w:r>
      <w:r w:rsidRPr="00707E19">
        <w:t xml:space="preserve">oxicity – Repeated </w:t>
      </w:r>
      <w:r w:rsidR="00906597">
        <w:t>e</w:t>
      </w:r>
      <w:r w:rsidRPr="00707E19">
        <w:t>xposure (oral route)</w:t>
      </w:r>
    </w:p>
    <w:p w14:paraId="05D9035E" w14:textId="77777777" w:rsidR="00E90D0E" w:rsidRPr="00707E19" w:rsidRDefault="00E90D0E" w:rsidP="00E90D0E">
      <w:pPr>
        <w:pStyle w:val="SingleTxtG"/>
      </w:pPr>
      <w:r w:rsidRPr="00707E19">
        <w:t xml:space="preserve">Repeated oral exposure induces clinical signs of neurotoxicity at a dose level of 100 mg/kg </w:t>
      </w:r>
      <w:proofErr w:type="spellStart"/>
      <w:r w:rsidRPr="00707E19">
        <w:t>bw</w:t>
      </w:r>
      <w:proofErr w:type="spellEnd"/>
      <w:r w:rsidRPr="00707E19">
        <w:t xml:space="preserve"> </w:t>
      </w:r>
      <w:r>
        <w:t xml:space="preserve">consistent with criteria for </w:t>
      </w:r>
      <w:r w:rsidRPr="00707E19">
        <w:t xml:space="preserve">category </w:t>
      </w:r>
      <w:r>
        <w:t>2</w:t>
      </w:r>
      <w:r w:rsidRPr="00707E19">
        <w:t xml:space="preserve"> according to the guidance values in </w:t>
      </w:r>
      <w:r>
        <w:t>GHS T</w:t>
      </w:r>
      <w:r w:rsidRPr="00707E19">
        <w:t>able</w:t>
      </w:r>
      <w:r w:rsidR="00906597">
        <w:t> </w:t>
      </w:r>
      <w:r w:rsidRPr="00707E19">
        <w:t>3.</w:t>
      </w:r>
      <w:r>
        <w:t>9</w:t>
      </w:r>
      <w:r w:rsidRPr="00707E19">
        <w:t>.</w:t>
      </w:r>
      <w:r>
        <w:t>1</w:t>
      </w:r>
      <w:r w:rsidRPr="00707E19">
        <w:t xml:space="preserve">. However, these acute neurological effects were observed during or immediately after exposures. </w:t>
      </w:r>
      <w:r>
        <w:t xml:space="preserve">Additionally, no histopathological findings in the nervous system after detailed examination and no functional findings in the FOB were reported.  Taken together, the information indicates an acute neurotoxic effect </w:t>
      </w:r>
      <w:r w:rsidRPr="00707E19">
        <w:t xml:space="preserve">relevant for </w:t>
      </w:r>
      <w:r w:rsidR="00807FB8">
        <w:t>s</w:t>
      </w:r>
      <w:r w:rsidRPr="00707E19">
        <w:t xml:space="preserve">pecific </w:t>
      </w:r>
      <w:r w:rsidR="00807FB8">
        <w:t>t</w:t>
      </w:r>
      <w:r w:rsidRPr="00707E19">
        <w:t xml:space="preserve">arget </w:t>
      </w:r>
      <w:r w:rsidR="00807FB8">
        <w:t>o</w:t>
      </w:r>
      <w:r w:rsidRPr="00707E19">
        <w:t xml:space="preserve">rgan </w:t>
      </w:r>
      <w:r w:rsidR="00807FB8">
        <w:t>t</w:t>
      </w:r>
      <w:r w:rsidRPr="00707E19">
        <w:t xml:space="preserve">oxicity – Single </w:t>
      </w:r>
      <w:r w:rsidR="00807FB8">
        <w:t>e</w:t>
      </w:r>
      <w:r w:rsidRPr="00707E19">
        <w:t xml:space="preserve">xposure consideration but not </w:t>
      </w:r>
      <w:r w:rsidR="00807FB8">
        <w:t>s</w:t>
      </w:r>
      <w:r w:rsidRPr="00707E19">
        <w:t xml:space="preserve">pecific </w:t>
      </w:r>
      <w:r w:rsidR="00807FB8">
        <w:t>t</w:t>
      </w:r>
      <w:r w:rsidRPr="00707E19">
        <w:t xml:space="preserve">arget </w:t>
      </w:r>
      <w:r w:rsidR="00807FB8">
        <w:t>o</w:t>
      </w:r>
      <w:r w:rsidRPr="00707E19">
        <w:t xml:space="preserve">rgan </w:t>
      </w:r>
      <w:r w:rsidR="00807FB8">
        <w:t>t</w:t>
      </w:r>
      <w:r w:rsidRPr="00707E19">
        <w:t xml:space="preserve">oxicity – Repeated </w:t>
      </w:r>
      <w:r w:rsidR="00807FB8">
        <w:t>e</w:t>
      </w:r>
      <w:r w:rsidRPr="00707E19">
        <w:t xml:space="preserve">xposure. </w:t>
      </w:r>
      <w:r>
        <w:lastRenderedPageBreak/>
        <w:t>Therefore, c</w:t>
      </w:r>
      <w:r w:rsidRPr="00707E19">
        <w:t xml:space="preserve">lassification for </w:t>
      </w:r>
      <w:r w:rsidR="00807FB8">
        <w:t>s</w:t>
      </w:r>
      <w:r w:rsidRPr="00707E19">
        <w:t xml:space="preserve">pecific </w:t>
      </w:r>
      <w:r w:rsidR="00807FB8">
        <w:t>t</w:t>
      </w:r>
      <w:r w:rsidRPr="00707E19">
        <w:t xml:space="preserve">arget </w:t>
      </w:r>
      <w:r w:rsidR="00807FB8">
        <w:t>o</w:t>
      </w:r>
      <w:r w:rsidRPr="00707E19">
        <w:t xml:space="preserve">rgan </w:t>
      </w:r>
      <w:r w:rsidR="00807FB8">
        <w:t>t</w:t>
      </w:r>
      <w:r w:rsidRPr="00707E19">
        <w:t xml:space="preserve">oxicity – </w:t>
      </w:r>
      <w:r w:rsidR="00807FB8">
        <w:t>r</w:t>
      </w:r>
      <w:r w:rsidRPr="00707E19">
        <w:t xml:space="preserve">epeated </w:t>
      </w:r>
      <w:r w:rsidR="00807FB8">
        <w:t>e</w:t>
      </w:r>
      <w:r w:rsidRPr="00707E19">
        <w:t>xposure by the oral route is not appropriate.</w:t>
      </w:r>
    </w:p>
    <w:p w14:paraId="7162DED3" w14:textId="77777777" w:rsidR="00E90D0E" w:rsidRPr="00707E19" w:rsidRDefault="00E90D0E" w:rsidP="00807FB8">
      <w:pPr>
        <w:pStyle w:val="H4G"/>
      </w:pPr>
      <w:r>
        <w:tab/>
      </w:r>
      <w:r w:rsidR="00807FB8">
        <w:t>(f)</w:t>
      </w:r>
      <w:r>
        <w:tab/>
      </w:r>
      <w:r w:rsidRPr="00707E19">
        <w:t xml:space="preserve">Specific </w:t>
      </w:r>
      <w:r w:rsidR="00807FB8">
        <w:t>t</w:t>
      </w:r>
      <w:r w:rsidRPr="00707E19">
        <w:t xml:space="preserve">arget </w:t>
      </w:r>
      <w:r w:rsidR="00807FB8">
        <w:t>o</w:t>
      </w:r>
      <w:r w:rsidRPr="00707E19">
        <w:t xml:space="preserve">rgan </w:t>
      </w:r>
      <w:r w:rsidR="00807FB8">
        <w:t>t</w:t>
      </w:r>
      <w:r w:rsidRPr="00707E19">
        <w:t xml:space="preserve">oxicity – Repeated </w:t>
      </w:r>
      <w:r w:rsidR="00807FB8">
        <w:t>e</w:t>
      </w:r>
      <w:r w:rsidRPr="00707E19">
        <w:t>xposure (inhalation route)</w:t>
      </w:r>
    </w:p>
    <w:p w14:paraId="790B2EE6" w14:textId="77777777" w:rsidR="00E90D0E" w:rsidRPr="00707E19" w:rsidRDefault="00E90D0E" w:rsidP="00E90D0E">
      <w:pPr>
        <w:pStyle w:val="SingleTxtG"/>
      </w:pPr>
      <w:r w:rsidRPr="00707E19">
        <w:t>Repeated inhalation</w:t>
      </w:r>
      <w:r>
        <w:t xml:space="preserve"> in rats</w:t>
      </w:r>
      <w:r w:rsidRPr="00707E19">
        <w:t xml:space="preserve"> induces clinical signs of neurotoxicity at a</w:t>
      </w:r>
      <w:r>
        <w:t xml:space="preserve"> </w:t>
      </w:r>
      <w:r w:rsidRPr="00707E19">
        <w:t>concentration of 0.2</w:t>
      </w:r>
      <w:r w:rsidR="00807FB8">
        <w:t> </w:t>
      </w:r>
      <w:r w:rsidRPr="00707E19">
        <w:t xml:space="preserve">mg/L warranting classification in category 2 according to the guidance values in </w:t>
      </w:r>
      <w:r>
        <w:t>GHS T</w:t>
      </w:r>
      <w:r w:rsidRPr="00707E19">
        <w:t xml:space="preserve">able 3.9.2 for mists after correction for the 28-day exposure duration. However, </w:t>
      </w:r>
      <w:r>
        <w:t xml:space="preserve">in the same study, </w:t>
      </w:r>
      <w:r w:rsidRPr="00707E19">
        <w:t>rats died at th</w:t>
      </w:r>
      <w:r>
        <w:t>e</w:t>
      </w:r>
      <w:r w:rsidRPr="00707E19">
        <w:t xml:space="preserve"> concentration of 0.2 mg/L without observation of local or systemic histopathological changes. This effective dose is </w:t>
      </w:r>
      <w:r>
        <w:t xml:space="preserve">also </w:t>
      </w:r>
      <w:r w:rsidRPr="00707E19">
        <w:t>relevant for classification STOT RE 2 (range of 0.06-0.6 mg/L/6 h/d for a 28</w:t>
      </w:r>
      <w:r>
        <w:t>-</w:t>
      </w:r>
      <w:r w:rsidRPr="00707E19">
        <w:t xml:space="preserve">day study). After acute exposure, the lowest dose that induced mortality was </w:t>
      </w:r>
      <w:r>
        <w:t>2</w:t>
      </w:r>
      <w:r w:rsidRPr="00707E19">
        <w:t xml:space="preserve"> mg/L whereas no deaths were reported at 0.5 mg/L. Deaths after repeated exposure therefore occur</w:t>
      </w:r>
      <w:r>
        <w:t>red</w:t>
      </w:r>
      <w:r w:rsidRPr="00707E19">
        <w:t xml:space="preserve"> at </w:t>
      </w:r>
      <w:r>
        <w:t xml:space="preserve">much </w:t>
      </w:r>
      <w:r w:rsidRPr="00707E19">
        <w:t xml:space="preserve">lower levels. </w:t>
      </w:r>
      <w:r>
        <w:t>Furthermore</w:t>
      </w:r>
      <w:r w:rsidRPr="00707E19">
        <w:t>, deaths are distributed throughout the study and are therefore considered distinct from the acute lethal effect. Therefore</w:t>
      </w:r>
      <w:r>
        <w:t>,</w:t>
      </w:r>
      <w:r w:rsidRPr="00707E19">
        <w:t xml:space="preserve"> classification as </w:t>
      </w:r>
      <w:r w:rsidR="00807FB8">
        <w:t>s</w:t>
      </w:r>
      <w:r w:rsidRPr="00707E19">
        <w:t xml:space="preserve">pecific </w:t>
      </w:r>
      <w:r w:rsidR="00807FB8">
        <w:t>t</w:t>
      </w:r>
      <w:r w:rsidRPr="00707E19">
        <w:t xml:space="preserve">arget </w:t>
      </w:r>
      <w:r w:rsidR="00807FB8">
        <w:t>o</w:t>
      </w:r>
      <w:r w:rsidRPr="00707E19">
        <w:t xml:space="preserve">rgan </w:t>
      </w:r>
      <w:r w:rsidR="00807FB8">
        <w:t>t</w:t>
      </w:r>
      <w:r w:rsidRPr="00707E19">
        <w:t xml:space="preserve">oxicity – </w:t>
      </w:r>
      <w:r w:rsidR="00807FB8">
        <w:t>r</w:t>
      </w:r>
      <w:r w:rsidRPr="00707E19">
        <w:t xml:space="preserve">epeated </w:t>
      </w:r>
      <w:r w:rsidR="00807FB8">
        <w:t>e</w:t>
      </w:r>
      <w:r w:rsidRPr="00707E19">
        <w:t>xposure by the inhalation route in category 2 is justified without specifying the target organ.</w:t>
      </w:r>
    </w:p>
    <w:p w14:paraId="3D131D46" w14:textId="77777777" w:rsidR="00E90D0E" w:rsidRDefault="00E90D0E" w:rsidP="00E90D0E">
      <w:pPr>
        <w:pStyle w:val="SingleTxtG"/>
        <w:jc w:val="center"/>
      </w:pPr>
      <w:r w:rsidRPr="00AF12EA">
        <w:t>(En</w:t>
      </w:r>
      <w:r>
        <w:t xml:space="preserve">d of </w:t>
      </w:r>
      <w:r w:rsidR="00807FB8">
        <w:t>e</w:t>
      </w:r>
      <w:r>
        <w:t>xample 5)</w:t>
      </w:r>
    </w:p>
    <w:p w14:paraId="2156D9AD" w14:textId="77777777" w:rsidR="00FE247F" w:rsidRPr="00E90D0E" w:rsidRDefault="00E90D0E" w:rsidP="00E90D0E">
      <w:pPr>
        <w:spacing w:before="240"/>
        <w:jc w:val="center"/>
        <w:rPr>
          <w:u w:val="single"/>
        </w:rPr>
      </w:pPr>
      <w:r>
        <w:rPr>
          <w:u w:val="single"/>
        </w:rPr>
        <w:tab/>
      </w:r>
      <w:r>
        <w:rPr>
          <w:u w:val="single"/>
        </w:rPr>
        <w:tab/>
      </w:r>
      <w:r>
        <w:rPr>
          <w:u w:val="single"/>
        </w:rPr>
        <w:tab/>
      </w:r>
    </w:p>
    <w:p w14:paraId="1BE9941F" w14:textId="77777777" w:rsidR="00E90D0E" w:rsidRDefault="00E90D0E" w:rsidP="00FE247F">
      <w:pPr>
        <w:pStyle w:val="SingleTxtG"/>
      </w:pPr>
    </w:p>
    <w:p w14:paraId="6AE42DAB" w14:textId="77777777" w:rsidR="00E90D0E" w:rsidRPr="00043A28" w:rsidRDefault="00E90D0E" w:rsidP="00FE247F">
      <w:pPr>
        <w:pStyle w:val="SingleTxtG"/>
      </w:pPr>
    </w:p>
    <w:sectPr w:rsidR="00E90D0E" w:rsidRPr="00043A28" w:rsidSect="00043A2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EE9F" w14:textId="77777777" w:rsidR="00FC47E9" w:rsidRPr="00C47B2E" w:rsidRDefault="00FC47E9" w:rsidP="00C47B2E">
      <w:pPr>
        <w:pStyle w:val="Footer"/>
      </w:pPr>
    </w:p>
  </w:endnote>
  <w:endnote w:type="continuationSeparator" w:id="0">
    <w:p w14:paraId="63C18084" w14:textId="77777777" w:rsidR="00FC47E9" w:rsidRPr="00C47B2E" w:rsidRDefault="00FC47E9" w:rsidP="00C47B2E">
      <w:pPr>
        <w:pStyle w:val="Footer"/>
      </w:pPr>
    </w:p>
  </w:endnote>
  <w:endnote w:type="continuationNotice" w:id="1">
    <w:p w14:paraId="7C423B73" w14:textId="77777777" w:rsidR="00FC47E9" w:rsidRPr="00C47B2E" w:rsidRDefault="00FC47E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080B" w14:textId="77777777" w:rsidR="00FC47E9" w:rsidRPr="00043A28" w:rsidRDefault="00FC47E9" w:rsidP="00043A28">
    <w:pPr>
      <w:pStyle w:val="Footer"/>
      <w:tabs>
        <w:tab w:val="right" w:pos="9598"/>
        <w:tab w:val="right" w:pos="9638"/>
      </w:tabs>
      <w:rPr>
        <w:sz w:val="18"/>
      </w:rPr>
    </w:pPr>
    <w:r w:rsidRPr="00043A28">
      <w:rPr>
        <w:b/>
        <w:sz w:val="18"/>
      </w:rPr>
      <w:fldChar w:fldCharType="begin"/>
    </w:r>
    <w:r w:rsidRPr="00043A28">
      <w:rPr>
        <w:b/>
        <w:sz w:val="18"/>
      </w:rPr>
      <w:instrText xml:space="preserve"> PAGE  \* MERGEFORMAT </w:instrText>
    </w:r>
    <w:r w:rsidRPr="00043A28">
      <w:rPr>
        <w:b/>
        <w:sz w:val="18"/>
      </w:rPr>
      <w:fldChar w:fldCharType="separate"/>
    </w:r>
    <w:r w:rsidRPr="00043A28">
      <w:rPr>
        <w:b/>
        <w:noProof/>
        <w:sz w:val="18"/>
      </w:rPr>
      <w:t>2</w:t>
    </w:r>
    <w:r w:rsidRPr="00043A2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B926" w14:textId="77777777" w:rsidR="00FC47E9" w:rsidRPr="00E90D0E" w:rsidRDefault="00FC47E9" w:rsidP="00E90D0E">
    <w:pPr>
      <w:pStyle w:val="Footer"/>
      <w:tabs>
        <w:tab w:val="left" w:pos="5775"/>
        <w:tab w:val="right" w:pos="9598"/>
        <w:tab w:val="right" w:pos="9638"/>
      </w:tabs>
      <w:jc w:val="right"/>
      <w:rPr>
        <w:b/>
        <w:bCs/>
        <w:sz w:val="18"/>
      </w:rPr>
    </w:pPr>
    <w:r w:rsidRPr="00E90D0E">
      <w:rPr>
        <w:b/>
        <w:bCs/>
        <w:sz w:val="18"/>
      </w:rPr>
      <w:tab/>
    </w:r>
    <w:r w:rsidRPr="00E90D0E">
      <w:rPr>
        <w:b/>
        <w:bCs/>
        <w:sz w:val="18"/>
      </w:rPr>
      <w:fldChar w:fldCharType="begin"/>
    </w:r>
    <w:r w:rsidRPr="00E90D0E">
      <w:rPr>
        <w:b/>
        <w:bCs/>
        <w:sz w:val="18"/>
      </w:rPr>
      <w:instrText xml:space="preserve"> PAGE  \* MERGEFORMAT </w:instrText>
    </w:r>
    <w:r w:rsidRPr="00E90D0E">
      <w:rPr>
        <w:b/>
        <w:bCs/>
        <w:sz w:val="18"/>
      </w:rPr>
      <w:fldChar w:fldCharType="separate"/>
    </w:r>
    <w:r w:rsidRPr="00E90D0E">
      <w:rPr>
        <w:b/>
        <w:bCs/>
        <w:noProof/>
        <w:sz w:val="18"/>
      </w:rPr>
      <w:t>3</w:t>
    </w:r>
    <w:r w:rsidRPr="00E90D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51D2" w14:textId="77777777" w:rsidR="00FC47E9" w:rsidRPr="00043A28" w:rsidRDefault="00FC47E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A0896B1" wp14:editId="4689EE5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F165" w14:textId="77777777" w:rsidR="00FC47E9" w:rsidRPr="00C47B2E" w:rsidRDefault="00FC47E9" w:rsidP="00C47B2E">
      <w:pPr>
        <w:tabs>
          <w:tab w:val="right" w:pos="2155"/>
        </w:tabs>
        <w:spacing w:after="80" w:line="240" w:lineRule="auto"/>
        <w:ind w:left="680"/>
      </w:pPr>
      <w:r>
        <w:rPr>
          <w:u w:val="single"/>
        </w:rPr>
        <w:tab/>
      </w:r>
    </w:p>
  </w:footnote>
  <w:footnote w:type="continuationSeparator" w:id="0">
    <w:p w14:paraId="25F6099D" w14:textId="77777777" w:rsidR="00FC47E9" w:rsidRPr="00C47B2E" w:rsidRDefault="00FC47E9" w:rsidP="005E716E">
      <w:pPr>
        <w:tabs>
          <w:tab w:val="right" w:pos="2155"/>
        </w:tabs>
        <w:spacing w:after="80" w:line="240" w:lineRule="auto"/>
        <w:ind w:left="680"/>
      </w:pPr>
      <w:r>
        <w:rPr>
          <w:u w:val="single"/>
        </w:rPr>
        <w:tab/>
      </w:r>
    </w:p>
  </w:footnote>
  <w:footnote w:type="continuationNotice" w:id="1">
    <w:p w14:paraId="02782D9A" w14:textId="77777777" w:rsidR="00FC47E9" w:rsidRPr="00C47B2E" w:rsidRDefault="00FC47E9" w:rsidP="00C47B2E">
      <w:pPr>
        <w:pStyle w:val="Footer"/>
      </w:pPr>
    </w:p>
  </w:footnote>
  <w:footnote w:id="2">
    <w:p w14:paraId="3488C0D1" w14:textId="77777777" w:rsidR="00FC47E9" w:rsidRPr="009720AC" w:rsidRDefault="00FC47E9" w:rsidP="009720AC">
      <w:pPr>
        <w:pStyle w:val="FootnoteText"/>
        <w:ind w:firstLine="0"/>
        <w:rPr>
          <w:lang w:val="fr-CH"/>
        </w:rPr>
      </w:pPr>
      <w:r>
        <w:rPr>
          <w:rStyle w:val="FootnoteReference"/>
        </w:rPr>
        <w:t>*</w:t>
      </w:r>
      <w:r>
        <w:t xml:space="preserve"> </w:t>
      </w:r>
      <w:r w:rsidRPr="00493B59">
        <w:rPr>
          <w:lang w:val="en-US"/>
        </w:rPr>
        <w:t>2020 (A/74/6 (Sect.20) and Supplementary</w:t>
      </w:r>
      <w:r>
        <w:rPr>
          <w:lang w:val="en-US"/>
        </w:rPr>
        <w:t>)</w:t>
      </w:r>
      <w:r w:rsidRPr="00493B59">
        <w:rPr>
          <w:lang w:val="en-US"/>
        </w:rPr>
        <w:t xml:space="preserve">, </w:t>
      </w:r>
      <w:proofErr w:type="spellStart"/>
      <w:r w:rsidRPr="00493B59">
        <w:rPr>
          <w:lang w:val="en-US"/>
        </w:rPr>
        <w:t>Subprogramme</w:t>
      </w:r>
      <w:proofErr w:type="spellEnd"/>
      <w:r w:rsidRPr="00493B59">
        <w:rPr>
          <w:lang w:val="en-US"/>
        </w:rPr>
        <w:t xml:space="preserve"> 2</w:t>
      </w:r>
      <w:r>
        <w:rPr>
          <w:lang w:val="en-US"/>
        </w:rPr>
        <w:t>.</w:t>
      </w:r>
    </w:p>
  </w:footnote>
  <w:footnote w:id="3">
    <w:p w14:paraId="7D59E385" w14:textId="77777777" w:rsidR="00FC47E9" w:rsidRPr="009720AC" w:rsidRDefault="00FC47E9" w:rsidP="009720AC">
      <w:pPr>
        <w:pStyle w:val="FootnoteText"/>
        <w:ind w:firstLine="0"/>
        <w:rPr>
          <w:lang w:val="fr-CH"/>
        </w:rPr>
      </w:pPr>
      <w:r>
        <w:rPr>
          <w:rStyle w:val="FootnoteReference"/>
        </w:rPr>
        <w:t>1</w:t>
      </w:r>
      <w:r>
        <w:t xml:space="preserve"> </w:t>
      </w:r>
      <w:r w:rsidRPr="0086261F">
        <w:rPr>
          <w:color w:val="000000"/>
          <w:lang w:eastAsia="en-GB"/>
        </w:rPr>
        <w:t xml:space="preserve">In accordance with the programme of work of the Sub-Committee </w:t>
      </w:r>
      <w:r w:rsidRPr="0086261F">
        <w:t xml:space="preserve">approved at its </w:t>
      </w:r>
      <w:r>
        <w:t>28th</w:t>
      </w:r>
      <w:r w:rsidRPr="0086261F">
        <w:t xml:space="preserve"> session (</w:t>
      </w:r>
      <w:r>
        <w:t>informal document INF.32</w:t>
      </w:r>
      <w:r w:rsidRPr="0086261F">
        <w:t>)</w:t>
      </w:r>
      <w:r>
        <w:t xml:space="preserve"> and again at its thirty-second session (informal document INF.39) and thirty-sixth session (informal document INF.39/Rev.1)</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FB04" w14:textId="0CEB4D2A" w:rsidR="00FC47E9" w:rsidRPr="00043A28" w:rsidRDefault="00F53EED">
    <w:pPr>
      <w:pStyle w:val="Header"/>
    </w:pPr>
    <w:fldSimple w:instr=" TITLE  \* MERGEFORMAT ">
      <w:r w:rsidR="00B30F89">
        <w:t>ST/SG/AC.10/C.4/2020/14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A495" w14:textId="14F3BB19" w:rsidR="00FC47E9" w:rsidRPr="00043A28" w:rsidRDefault="00F53EED" w:rsidP="00043A28">
    <w:pPr>
      <w:pStyle w:val="Header"/>
      <w:jc w:val="right"/>
    </w:pPr>
    <w:fldSimple w:instr=" TITLE  \* MERGEFORMAT ">
      <w:r w:rsidR="00B30F89">
        <w:t>ST/SG/AC.10/C.4/2020/14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62CC"/>
    <w:multiLevelType w:val="hybridMultilevel"/>
    <w:tmpl w:val="DDFC9752"/>
    <w:lvl w:ilvl="0" w:tplc="08090003">
      <w:start w:val="1"/>
      <w:numFmt w:val="bullet"/>
      <w:lvlText w:val="o"/>
      <w:lvlJc w:val="left"/>
      <w:pPr>
        <w:ind w:left="1062" w:hanging="360"/>
      </w:pPr>
      <w:rPr>
        <w:rFonts w:ascii="Courier New" w:hAnsi="Courier New" w:cs="Courier New"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527317A"/>
    <w:multiLevelType w:val="hybridMultilevel"/>
    <w:tmpl w:val="A364A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B2418"/>
    <w:multiLevelType w:val="hybridMultilevel"/>
    <w:tmpl w:val="0E1A3C7E"/>
    <w:lvl w:ilvl="0" w:tplc="FFFFFFFF">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01F7731"/>
    <w:multiLevelType w:val="hybridMultilevel"/>
    <w:tmpl w:val="D5A4A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29947BC"/>
    <w:multiLevelType w:val="hybridMultilevel"/>
    <w:tmpl w:val="5F3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C5355"/>
    <w:multiLevelType w:val="hybridMultilevel"/>
    <w:tmpl w:val="3286B61E"/>
    <w:lvl w:ilvl="0" w:tplc="08090003">
      <w:start w:val="1"/>
      <w:numFmt w:val="bullet"/>
      <w:lvlText w:val="o"/>
      <w:lvlJc w:val="left"/>
      <w:pPr>
        <w:tabs>
          <w:tab w:val="num" w:pos="2268"/>
        </w:tabs>
        <w:ind w:left="2268" w:hanging="170"/>
      </w:pPr>
      <w:rPr>
        <w:rFonts w:ascii="Courier New" w:hAnsi="Courier New" w:cs="Courier New"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C51BA"/>
    <w:multiLevelType w:val="hybridMultilevel"/>
    <w:tmpl w:val="4FAE3AC0"/>
    <w:lvl w:ilvl="0" w:tplc="A3301B86">
      <w:start w:val="1"/>
      <w:numFmt w:val="lowerLetter"/>
      <w:lvlText w:val="(%1)"/>
      <w:lvlJc w:val="left"/>
      <w:pPr>
        <w:ind w:left="360" w:hanging="360"/>
      </w:pPr>
      <w:rPr>
        <w:rFonts w:hint="default"/>
      </w:rPr>
    </w:lvl>
    <w:lvl w:ilvl="1" w:tplc="4B3C9B58" w:tentative="1">
      <w:start w:val="1"/>
      <w:numFmt w:val="lowerLetter"/>
      <w:lvlText w:val="%2."/>
      <w:lvlJc w:val="left"/>
      <w:pPr>
        <w:ind w:left="1080" w:hanging="360"/>
      </w:pPr>
    </w:lvl>
    <w:lvl w:ilvl="2" w:tplc="1716EAE8" w:tentative="1">
      <w:start w:val="1"/>
      <w:numFmt w:val="lowerRoman"/>
      <w:lvlText w:val="%3."/>
      <w:lvlJc w:val="right"/>
      <w:pPr>
        <w:ind w:left="1800" w:hanging="180"/>
      </w:pPr>
    </w:lvl>
    <w:lvl w:ilvl="3" w:tplc="89865324" w:tentative="1">
      <w:start w:val="1"/>
      <w:numFmt w:val="decimal"/>
      <w:lvlText w:val="%4."/>
      <w:lvlJc w:val="left"/>
      <w:pPr>
        <w:ind w:left="2520" w:hanging="360"/>
      </w:pPr>
    </w:lvl>
    <w:lvl w:ilvl="4" w:tplc="06982E8E" w:tentative="1">
      <w:start w:val="1"/>
      <w:numFmt w:val="lowerLetter"/>
      <w:lvlText w:val="%5."/>
      <w:lvlJc w:val="left"/>
      <w:pPr>
        <w:ind w:left="3240" w:hanging="360"/>
      </w:pPr>
    </w:lvl>
    <w:lvl w:ilvl="5" w:tplc="89EA7484" w:tentative="1">
      <w:start w:val="1"/>
      <w:numFmt w:val="lowerRoman"/>
      <w:lvlText w:val="%6."/>
      <w:lvlJc w:val="right"/>
      <w:pPr>
        <w:ind w:left="3960" w:hanging="180"/>
      </w:pPr>
    </w:lvl>
    <w:lvl w:ilvl="6" w:tplc="8EE4240C" w:tentative="1">
      <w:start w:val="1"/>
      <w:numFmt w:val="decimal"/>
      <w:lvlText w:val="%7."/>
      <w:lvlJc w:val="left"/>
      <w:pPr>
        <w:ind w:left="4680" w:hanging="360"/>
      </w:pPr>
    </w:lvl>
    <w:lvl w:ilvl="7" w:tplc="3D5E9AD0" w:tentative="1">
      <w:start w:val="1"/>
      <w:numFmt w:val="lowerLetter"/>
      <w:lvlText w:val="%8."/>
      <w:lvlJc w:val="left"/>
      <w:pPr>
        <w:ind w:left="5400" w:hanging="360"/>
      </w:pPr>
    </w:lvl>
    <w:lvl w:ilvl="8" w:tplc="91E447A8" w:tentative="1">
      <w:start w:val="1"/>
      <w:numFmt w:val="lowerRoman"/>
      <w:lvlText w:val="%9."/>
      <w:lvlJc w:val="right"/>
      <w:pPr>
        <w:ind w:left="612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0"/>
  </w:num>
  <w:num w:numId="4">
    <w:abstractNumId w:val="9"/>
  </w:num>
  <w:num w:numId="5">
    <w:abstractNumId w:val="2"/>
  </w:num>
  <w:num w:numId="6">
    <w:abstractNumId w:val="7"/>
  </w:num>
  <w:num w:numId="7">
    <w:abstractNumId w:val="10"/>
  </w:num>
  <w:num w:numId="8">
    <w:abstractNumId w:val="3"/>
  </w:num>
  <w:num w:numId="9">
    <w:abstractNumId w:val="0"/>
  </w:num>
  <w:num w:numId="10">
    <w:abstractNumId w:val="0"/>
  </w:num>
  <w:num w:numId="11">
    <w:abstractNumId w:val="0"/>
  </w:num>
  <w:num w:numId="12">
    <w:abstractNumId w:val="0"/>
  </w:num>
  <w:num w:numId="13">
    <w:abstractNumId w:val="0"/>
  </w:num>
  <w:num w:numId="14">
    <w:abstractNumId w:val="5"/>
  </w:num>
  <w:num w:numId="15">
    <w:abstractNumId w:val="0"/>
  </w:num>
  <w:num w:numId="16">
    <w:abstractNumId w:val="0"/>
  </w:num>
  <w:num w:numId="17">
    <w:abstractNumId w:val="0"/>
  </w:num>
  <w:num w:numId="18">
    <w:abstractNumId w:val="0"/>
  </w:num>
  <w:num w:numId="19">
    <w:abstractNumId w:val="4"/>
  </w:num>
  <w:num w:numId="20">
    <w:abstractNumId w:val="8"/>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28"/>
    <w:rsid w:val="00043A28"/>
    <w:rsid w:val="00046E92"/>
    <w:rsid w:val="00063C90"/>
    <w:rsid w:val="00077E5E"/>
    <w:rsid w:val="00101B98"/>
    <w:rsid w:val="0011765E"/>
    <w:rsid w:val="001514D1"/>
    <w:rsid w:val="001A6F18"/>
    <w:rsid w:val="00247E2C"/>
    <w:rsid w:val="00254E50"/>
    <w:rsid w:val="002A32CB"/>
    <w:rsid w:val="002C4C42"/>
    <w:rsid w:val="002D5B2C"/>
    <w:rsid w:val="002D6C53"/>
    <w:rsid w:val="002F5595"/>
    <w:rsid w:val="002F74BD"/>
    <w:rsid w:val="00334F6A"/>
    <w:rsid w:val="00342AC8"/>
    <w:rsid w:val="00343302"/>
    <w:rsid w:val="003979DE"/>
    <w:rsid w:val="003B4550"/>
    <w:rsid w:val="003C5CE0"/>
    <w:rsid w:val="003D2A18"/>
    <w:rsid w:val="003D2F45"/>
    <w:rsid w:val="00413386"/>
    <w:rsid w:val="00431836"/>
    <w:rsid w:val="00461253"/>
    <w:rsid w:val="00467DD7"/>
    <w:rsid w:val="004858F5"/>
    <w:rsid w:val="004A2814"/>
    <w:rsid w:val="004C0622"/>
    <w:rsid w:val="005042C2"/>
    <w:rsid w:val="005E716E"/>
    <w:rsid w:val="005F7D2C"/>
    <w:rsid w:val="006476E1"/>
    <w:rsid w:val="006604DF"/>
    <w:rsid w:val="00671529"/>
    <w:rsid w:val="00703D5E"/>
    <w:rsid w:val="0070489D"/>
    <w:rsid w:val="007268F9"/>
    <w:rsid w:val="00750282"/>
    <w:rsid w:val="00752AFE"/>
    <w:rsid w:val="00764440"/>
    <w:rsid w:val="0077101B"/>
    <w:rsid w:val="007911B7"/>
    <w:rsid w:val="007C52B0"/>
    <w:rsid w:val="007C6033"/>
    <w:rsid w:val="00807FB8"/>
    <w:rsid w:val="008147C8"/>
    <w:rsid w:val="0081753A"/>
    <w:rsid w:val="00857D23"/>
    <w:rsid w:val="00906597"/>
    <w:rsid w:val="009411B4"/>
    <w:rsid w:val="00946F1D"/>
    <w:rsid w:val="009720AC"/>
    <w:rsid w:val="009A7198"/>
    <w:rsid w:val="009D0139"/>
    <w:rsid w:val="009D717D"/>
    <w:rsid w:val="009D7FBF"/>
    <w:rsid w:val="009E69DC"/>
    <w:rsid w:val="009F5CDC"/>
    <w:rsid w:val="00A072D7"/>
    <w:rsid w:val="00A55858"/>
    <w:rsid w:val="00A775CF"/>
    <w:rsid w:val="00A85D98"/>
    <w:rsid w:val="00AD1A9C"/>
    <w:rsid w:val="00AE7B60"/>
    <w:rsid w:val="00AF5DE1"/>
    <w:rsid w:val="00B06045"/>
    <w:rsid w:val="00B206DD"/>
    <w:rsid w:val="00B30F89"/>
    <w:rsid w:val="00B52EF4"/>
    <w:rsid w:val="00B777AD"/>
    <w:rsid w:val="00BB7790"/>
    <w:rsid w:val="00BF05B8"/>
    <w:rsid w:val="00C03015"/>
    <w:rsid w:val="00C0358D"/>
    <w:rsid w:val="00C35A27"/>
    <w:rsid w:val="00C47B2E"/>
    <w:rsid w:val="00C77843"/>
    <w:rsid w:val="00CD14F1"/>
    <w:rsid w:val="00D63CD2"/>
    <w:rsid w:val="00D87DC2"/>
    <w:rsid w:val="00D94B05"/>
    <w:rsid w:val="00E02C2B"/>
    <w:rsid w:val="00E21C27"/>
    <w:rsid w:val="00E26BCF"/>
    <w:rsid w:val="00E31D83"/>
    <w:rsid w:val="00E52109"/>
    <w:rsid w:val="00E63838"/>
    <w:rsid w:val="00E75317"/>
    <w:rsid w:val="00E90D0E"/>
    <w:rsid w:val="00EA0C88"/>
    <w:rsid w:val="00EA290D"/>
    <w:rsid w:val="00EC0CE6"/>
    <w:rsid w:val="00EC7C1D"/>
    <w:rsid w:val="00ED6C48"/>
    <w:rsid w:val="00EE1504"/>
    <w:rsid w:val="00EE3045"/>
    <w:rsid w:val="00EE6F29"/>
    <w:rsid w:val="00F526BD"/>
    <w:rsid w:val="00F53EED"/>
    <w:rsid w:val="00F65F5D"/>
    <w:rsid w:val="00F86A3A"/>
    <w:rsid w:val="00FC47E9"/>
    <w:rsid w:val="00FE247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18033"/>
  <w15:docId w15:val="{D071CABA-16FB-4352-8B06-A6B2DBE1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3"/>
      </w:numPr>
      <w:spacing w:after="120"/>
      <w:ind w:right="1134"/>
      <w:jc w:val="both"/>
    </w:pPr>
  </w:style>
  <w:style w:type="paragraph" w:customStyle="1" w:styleId="Bullet2G">
    <w:name w:val="_Bullet 2_G"/>
    <w:basedOn w:val="Normal"/>
    <w:qFormat/>
    <w:rsid w:val="004A2814"/>
    <w:pPr>
      <w:numPr>
        <w:numId w:val="4"/>
      </w:numPr>
      <w:spacing w:after="120"/>
      <w:ind w:right="1134"/>
      <w:jc w:val="both"/>
    </w:pPr>
  </w:style>
  <w:style w:type="paragraph" w:customStyle="1" w:styleId="ParNoG">
    <w:name w:val="_ParNo_G"/>
    <w:basedOn w:val="SingleTxtG"/>
    <w:qFormat/>
    <w:rsid w:val="00B206DD"/>
    <w:pPr>
      <w:numPr>
        <w:numId w:val="5"/>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1"/>
      </w:numPr>
    </w:pPr>
  </w:style>
  <w:style w:type="numbering" w:styleId="1ai">
    <w:name w:val="Outline List 1"/>
    <w:basedOn w:val="NoList"/>
    <w:semiHidden/>
    <w:rsid w:val="007268F9"/>
    <w:pPr>
      <w:numPr>
        <w:numId w:val="2"/>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720AC"/>
    <w:rPr>
      <w:b/>
      <w:sz w:val="28"/>
    </w:rPr>
  </w:style>
  <w:style w:type="character" w:customStyle="1" w:styleId="SingleTxtGChar">
    <w:name w:val="_ Single Txt_G Char"/>
    <w:link w:val="SingleTxtG"/>
    <w:qFormat/>
    <w:rsid w:val="009720AC"/>
  </w:style>
  <w:style w:type="paragraph" w:styleId="ListParagraph">
    <w:name w:val="List Paragraph"/>
    <w:basedOn w:val="Normal"/>
    <w:uiPriority w:val="34"/>
    <w:semiHidden/>
    <w:rsid w:val="0090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87CE-BDBA-494B-BBB4-F68EBE67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171</TotalTime>
  <Pages>12</Pages>
  <Words>3872</Words>
  <Characters>21010</Characters>
  <Application>Microsoft Office Word</Application>
  <DocSecurity>0</DocSecurity>
  <Lines>512</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ST/SG/AC.10/C.4/2020/14</vt: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ST/SG/AC.10/C.4/2020/14</dc:title>
  <dc:subject/>
  <dc:creator>Editorial</dc:creator>
  <cp:lastModifiedBy>Laurence Berthet</cp:lastModifiedBy>
  <cp:revision>27</cp:revision>
  <cp:lastPrinted>2020-04-20T12:52:00Z</cp:lastPrinted>
  <dcterms:created xsi:type="dcterms:W3CDTF">2020-04-14T07:01:00Z</dcterms:created>
  <dcterms:modified xsi:type="dcterms:W3CDTF">2020-04-20T12:55:00Z</dcterms:modified>
</cp:coreProperties>
</file>