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43485334" w14:textId="77777777" w:rsidTr="00904ADC">
        <w:trPr>
          <w:trHeight w:val="851"/>
        </w:trPr>
        <w:tc>
          <w:tcPr>
            <w:tcW w:w="1259" w:type="dxa"/>
            <w:tcBorders>
              <w:top w:val="nil"/>
              <w:left w:val="nil"/>
              <w:bottom w:val="single" w:sz="4" w:space="0" w:color="auto"/>
              <w:right w:val="nil"/>
            </w:tcBorders>
          </w:tcPr>
          <w:p w14:paraId="77018C8C" w14:textId="77777777" w:rsidR="00E52109" w:rsidRPr="002A32CB" w:rsidRDefault="00E52109" w:rsidP="004858F5">
            <w:bookmarkStart w:id="0" w:name="_GoBack"/>
            <w:bookmarkEnd w:id="0"/>
          </w:p>
        </w:tc>
        <w:tc>
          <w:tcPr>
            <w:tcW w:w="2236" w:type="dxa"/>
            <w:tcBorders>
              <w:top w:val="nil"/>
              <w:left w:val="nil"/>
              <w:bottom w:val="single" w:sz="4" w:space="0" w:color="auto"/>
              <w:right w:val="nil"/>
            </w:tcBorders>
            <w:vAlign w:val="bottom"/>
          </w:tcPr>
          <w:p w14:paraId="1179D68A" w14:textId="77777777" w:rsidR="00E52109" w:rsidRDefault="00E52109" w:rsidP="006476E1">
            <w:pPr>
              <w:spacing w:after="80" w:line="300" w:lineRule="exact"/>
              <w:rPr>
                <w:sz w:val="28"/>
                <w:szCs w:val="28"/>
              </w:rPr>
            </w:pPr>
            <w:r>
              <w:rPr>
                <w:sz w:val="28"/>
                <w:szCs w:val="28"/>
              </w:rPr>
              <w:t xml:space="preserve">United </w:t>
            </w:r>
            <w:r w:rsidRPr="001D0646">
              <w:rPr>
                <w:sz w:val="28"/>
                <w:szCs w:val="28"/>
              </w:rPr>
              <w:t>Nations</w:t>
            </w:r>
          </w:p>
        </w:tc>
        <w:tc>
          <w:tcPr>
            <w:tcW w:w="6144" w:type="dxa"/>
            <w:gridSpan w:val="2"/>
            <w:tcBorders>
              <w:top w:val="nil"/>
              <w:left w:val="nil"/>
              <w:bottom w:val="single" w:sz="4" w:space="0" w:color="auto"/>
              <w:right w:val="nil"/>
            </w:tcBorders>
            <w:vAlign w:val="bottom"/>
          </w:tcPr>
          <w:p w14:paraId="0A283365" w14:textId="77777777" w:rsidR="00892C35" w:rsidRDefault="00892C35" w:rsidP="00892C35">
            <w:pPr>
              <w:suppressAutoHyphens w:val="0"/>
              <w:jc w:val="right"/>
            </w:pPr>
            <w:r w:rsidRPr="00892C35">
              <w:rPr>
                <w:sz w:val="40"/>
              </w:rPr>
              <w:t>ST</w:t>
            </w:r>
            <w:r>
              <w:t>/SG/AC.10/C.3/2020/3−</w:t>
            </w:r>
            <w:r w:rsidRPr="00892C35">
              <w:rPr>
                <w:sz w:val="40"/>
              </w:rPr>
              <w:t>ST</w:t>
            </w:r>
            <w:r>
              <w:t>/SG/AC.10/C.4/2020/</w:t>
            </w:r>
            <w:r w:rsidR="00904ADC">
              <w:t>4</w:t>
            </w:r>
          </w:p>
        </w:tc>
      </w:tr>
      <w:tr w:rsidR="00E52109" w14:paraId="2CFE201C" w14:textId="77777777" w:rsidTr="00904ADC">
        <w:trPr>
          <w:trHeight w:val="2835"/>
        </w:trPr>
        <w:tc>
          <w:tcPr>
            <w:tcW w:w="1259" w:type="dxa"/>
            <w:tcBorders>
              <w:top w:val="single" w:sz="4" w:space="0" w:color="auto"/>
              <w:left w:val="nil"/>
              <w:bottom w:val="single" w:sz="12" w:space="0" w:color="auto"/>
              <w:right w:val="nil"/>
            </w:tcBorders>
          </w:tcPr>
          <w:p w14:paraId="48ACBD7E" w14:textId="77777777" w:rsidR="00E52109" w:rsidRDefault="00E52109" w:rsidP="006476E1">
            <w:pPr>
              <w:spacing w:before="120"/>
              <w:jc w:val="center"/>
            </w:pPr>
            <w:r>
              <w:rPr>
                <w:noProof/>
                <w:lang w:val="fr-CH" w:eastAsia="fr-CH"/>
              </w:rPr>
              <w:drawing>
                <wp:inline distT="0" distB="0" distL="0" distR="0" wp14:anchorId="423C901B" wp14:editId="28713D4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25EE6F2E"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472BFA79" w14:textId="77777777" w:rsidR="00D94B05" w:rsidRDefault="00892C35" w:rsidP="00892C35">
            <w:pPr>
              <w:suppressAutoHyphens w:val="0"/>
              <w:spacing w:before="240" w:line="240" w:lineRule="exact"/>
            </w:pPr>
            <w:r>
              <w:t>Distr.: General</w:t>
            </w:r>
          </w:p>
          <w:p w14:paraId="7D34C7B9" w14:textId="77777777" w:rsidR="00892C35" w:rsidRDefault="00904ADC" w:rsidP="00892C35">
            <w:pPr>
              <w:suppressAutoHyphens w:val="0"/>
              <w:spacing w:line="240" w:lineRule="exact"/>
            </w:pPr>
            <w:r w:rsidRPr="00904ADC">
              <w:t>30</w:t>
            </w:r>
            <w:r w:rsidR="00892C35" w:rsidRPr="00904ADC">
              <w:t xml:space="preserve"> March 2020</w:t>
            </w:r>
          </w:p>
          <w:p w14:paraId="6CDF0741" w14:textId="77777777" w:rsidR="00892C35" w:rsidRDefault="00892C35" w:rsidP="00892C35">
            <w:pPr>
              <w:suppressAutoHyphens w:val="0"/>
              <w:spacing w:line="240" w:lineRule="exact"/>
            </w:pPr>
          </w:p>
          <w:p w14:paraId="43263CFA" w14:textId="77777777" w:rsidR="00892C35" w:rsidRDefault="00892C35" w:rsidP="00892C35">
            <w:pPr>
              <w:suppressAutoHyphens w:val="0"/>
              <w:spacing w:line="240" w:lineRule="exact"/>
            </w:pPr>
            <w:r>
              <w:t>Original: English</w:t>
            </w:r>
          </w:p>
        </w:tc>
      </w:tr>
    </w:tbl>
    <w:p w14:paraId="2C228B1E" w14:textId="77777777" w:rsidR="00892C35" w:rsidRPr="006500BA" w:rsidRDefault="00892C35"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tbl>
      <w:tblPr>
        <w:tblW w:w="9639" w:type="dxa"/>
        <w:tblLayout w:type="fixed"/>
        <w:tblCellMar>
          <w:left w:w="0" w:type="dxa"/>
          <w:right w:w="0" w:type="dxa"/>
        </w:tblCellMar>
        <w:tblLook w:val="01E0" w:firstRow="1" w:lastRow="1" w:firstColumn="1" w:lastColumn="1" w:noHBand="0" w:noVBand="0"/>
      </w:tblPr>
      <w:tblGrid>
        <w:gridCol w:w="4593"/>
        <w:gridCol w:w="5046"/>
      </w:tblGrid>
      <w:tr w:rsidR="00892C35" w:rsidRPr="00302456" w14:paraId="0BD866A6" w14:textId="77777777" w:rsidTr="00095AB4">
        <w:tc>
          <w:tcPr>
            <w:tcW w:w="4644" w:type="dxa"/>
            <w:shd w:val="clear" w:color="auto" w:fill="auto"/>
          </w:tcPr>
          <w:p w14:paraId="443FD989" w14:textId="77777777" w:rsidR="00892C35" w:rsidRPr="00302456" w:rsidRDefault="00892C35" w:rsidP="00095AB4">
            <w:pPr>
              <w:spacing w:before="120"/>
              <w:rPr>
                <w:b/>
              </w:rPr>
            </w:pPr>
            <w:r w:rsidRPr="00302456">
              <w:rPr>
                <w:b/>
              </w:rPr>
              <w:t xml:space="preserve">Sub-Committee of Experts on the Transport </w:t>
            </w:r>
            <w:r w:rsidRPr="00302456">
              <w:rPr>
                <w:b/>
              </w:rPr>
              <w:br/>
              <w:t xml:space="preserve">of Dangerous Goods </w:t>
            </w:r>
          </w:p>
        </w:tc>
        <w:tc>
          <w:tcPr>
            <w:tcW w:w="5103" w:type="dxa"/>
            <w:shd w:val="clear" w:color="auto" w:fill="auto"/>
          </w:tcPr>
          <w:p w14:paraId="60893C3A" w14:textId="77777777" w:rsidR="00892C35" w:rsidRPr="00302456" w:rsidRDefault="00892C35" w:rsidP="00095AB4">
            <w:pPr>
              <w:spacing w:before="120"/>
              <w:rPr>
                <w:b/>
              </w:rPr>
            </w:pPr>
            <w:r w:rsidRPr="00302456">
              <w:rPr>
                <w:b/>
              </w:rPr>
              <w:t xml:space="preserve">Sub-Committee of Experts on the Globally Harmonized System of Classification and Labelling of Chemicals </w:t>
            </w:r>
          </w:p>
        </w:tc>
      </w:tr>
      <w:tr w:rsidR="00892C35" w:rsidRPr="00302456" w14:paraId="57F1C0BB" w14:textId="77777777" w:rsidTr="00095AB4">
        <w:tc>
          <w:tcPr>
            <w:tcW w:w="4644" w:type="dxa"/>
            <w:shd w:val="clear" w:color="auto" w:fill="auto"/>
          </w:tcPr>
          <w:p w14:paraId="07E69F29" w14:textId="77777777" w:rsidR="00892C35" w:rsidRPr="00F30201" w:rsidRDefault="007C608F" w:rsidP="00095AB4">
            <w:pPr>
              <w:spacing w:before="120"/>
              <w:rPr>
                <w:b/>
              </w:rPr>
            </w:pPr>
            <w:r w:rsidRPr="00F30201">
              <w:rPr>
                <w:b/>
              </w:rPr>
              <w:t>Fifty-seventh</w:t>
            </w:r>
            <w:r w:rsidR="00892C35" w:rsidRPr="00F30201">
              <w:rPr>
                <w:b/>
              </w:rPr>
              <w:t xml:space="preserve"> session</w:t>
            </w:r>
          </w:p>
        </w:tc>
        <w:tc>
          <w:tcPr>
            <w:tcW w:w="5103" w:type="dxa"/>
            <w:shd w:val="clear" w:color="auto" w:fill="auto"/>
          </w:tcPr>
          <w:p w14:paraId="3574ABDB" w14:textId="77777777" w:rsidR="00892C35" w:rsidRPr="00302456" w:rsidRDefault="007C608F" w:rsidP="00095AB4">
            <w:pPr>
              <w:spacing w:before="120"/>
              <w:rPr>
                <w:b/>
              </w:rPr>
            </w:pPr>
            <w:r>
              <w:rPr>
                <w:b/>
              </w:rPr>
              <w:t>Thirty-ninth</w:t>
            </w:r>
            <w:r w:rsidR="00892C35" w:rsidRPr="00302456">
              <w:rPr>
                <w:b/>
              </w:rPr>
              <w:t xml:space="preserve"> session</w:t>
            </w:r>
          </w:p>
        </w:tc>
      </w:tr>
      <w:tr w:rsidR="00892C35" w:rsidRPr="00302456" w14:paraId="64A3756F" w14:textId="77777777" w:rsidTr="00095AB4">
        <w:tc>
          <w:tcPr>
            <w:tcW w:w="4644" w:type="dxa"/>
            <w:shd w:val="clear" w:color="auto" w:fill="auto"/>
          </w:tcPr>
          <w:p w14:paraId="707BAD68" w14:textId="77777777" w:rsidR="00892C35" w:rsidRPr="00F30201" w:rsidRDefault="00892C35" w:rsidP="00095AB4">
            <w:pPr>
              <w:rPr>
                <w:b/>
              </w:rPr>
            </w:pPr>
            <w:r w:rsidRPr="00F30201">
              <w:t xml:space="preserve">Geneva, </w:t>
            </w:r>
            <w:r w:rsidR="007C608F" w:rsidRPr="00F30201">
              <w:t>29 June-8 July 2020</w:t>
            </w:r>
            <w:r w:rsidRPr="00F30201">
              <w:t xml:space="preserve"> </w:t>
            </w:r>
          </w:p>
        </w:tc>
        <w:tc>
          <w:tcPr>
            <w:tcW w:w="5103" w:type="dxa"/>
            <w:shd w:val="clear" w:color="auto" w:fill="auto"/>
          </w:tcPr>
          <w:p w14:paraId="53B86910" w14:textId="77777777" w:rsidR="00892C35" w:rsidRPr="00302456" w:rsidRDefault="00892C35" w:rsidP="00095AB4">
            <w:pPr>
              <w:rPr>
                <w:b/>
              </w:rPr>
            </w:pPr>
            <w:r>
              <w:t xml:space="preserve">Geneva, </w:t>
            </w:r>
            <w:r w:rsidR="007C608F">
              <w:t>8-10 July 2020</w:t>
            </w:r>
          </w:p>
        </w:tc>
      </w:tr>
      <w:tr w:rsidR="00892C35" w:rsidRPr="00302456" w14:paraId="1ECDBC8C" w14:textId="77777777" w:rsidTr="00095AB4">
        <w:tc>
          <w:tcPr>
            <w:tcW w:w="4644" w:type="dxa"/>
            <w:shd w:val="clear" w:color="auto" w:fill="auto"/>
          </w:tcPr>
          <w:p w14:paraId="6DDD0F5E" w14:textId="77777777" w:rsidR="00892C35" w:rsidRPr="00F30201" w:rsidRDefault="00892C35" w:rsidP="00095AB4">
            <w:r w:rsidRPr="00F30201">
              <w:t xml:space="preserve">Item </w:t>
            </w:r>
            <w:r w:rsidR="007C608F" w:rsidRPr="00F30201">
              <w:t>2 (c)</w:t>
            </w:r>
            <w:r w:rsidRPr="00F30201">
              <w:t xml:space="preserve"> of the provisional agenda</w:t>
            </w:r>
          </w:p>
          <w:p w14:paraId="54A38681" w14:textId="77777777" w:rsidR="007C608F" w:rsidRPr="00F30201" w:rsidRDefault="001B7407" w:rsidP="00095AB4">
            <w:pPr>
              <w:rPr>
                <w:b/>
                <w:bCs/>
              </w:rPr>
            </w:pPr>
            <w:r w:rsidRPr="001B7407">
              <w:rPr>
                <w:b/>
                <w:bCs/>
              </w:rPr>
              <w:t>Explosives and related matters:</w:t>
            </w:r>
            <w:r>
              <w:t xml:space="preserve"> r</w:t>
            </w:r>
            <w:r w:rsidR="00F30201" w:rsidRPr="00F30201">
              <w:rPr>
                <w:b/>
                <w:bCs/>
              </w:rPr>
              <w:t xml:space="preserve">eview of tests in parts I, II and III of the Manual of Tests </w:t>
            </w:r>
            <w:r>
              <w:rPr>
                <w:b/>
                <w:bCs/>
              </w:rPr>
              <w:br/>
            </w:r>
            <w:r w:rsidR="00F30201" w:rsidRPr="00F30201">
              <w:rPr>
                <w:b/>
                <w:bCs/>
              </w:rPr>
              <w:t>and Criteria</w:t>
            </w:r>
          </w:p>
        </w:tc>
        <w:tc>
          <w:tcPr>
            <w:tcW w:w="5103" w:type="dxa"/>
            <w:shd w:val="clear" w:color="auto" w:fill="auto"/>
          </w:tcPr>
          <w:p w14:paraId="206BD85C" w14:textId="77777777" w:rsidR="00892C35" w:rsidRPr="00F30201" w:rsidRDefault="00892C35" w:rsidP="00095AB4">
            <w:r w:rsidRPr="00F30201">
              <w:t xml:space="preserve">Item </w:t>
            </w:r>
            <w:r w:rsidR="007C608F" w:rsidRPr="00F30201">
              <w:t>2 (a)</w:t>
            </w:r>
            <w:r w:rsidRPr="00F30201">
              <w:t xml:space="preserve"> of the provisional agenda</w:t>
            </w:r>
          </w:p>
          <w:p w14:paraId="6457FE90" w14:textId="77777777" w:rsidR="007C608F" w:rsidRPr="007C608F" w:rsidRDefault="007C608F" w:rsidP="00095AB4">
            <w:pPr>
              <w:rPr>
                <w:b/>
                <w:bCs/>
              </w:rPr>
            </w:pPr>
            <w:r w:rsidRPr="00F30201">
              <w:rPr>
                <w:b/>
                <w:bCs/>
              </w:rPr>
              <w:t>Classification and labelling criteria and related hazard communication: work of the Sub-Committee of Experts on the Transport of Dangerous Goods (TDG) on matters of interest to the GHS Sub-Committee</w:t>
            </w:r>
          </w:p>
        </w:tc>
      </w:tr>
      <w:tr w:rsidR="00892C35" w:rsidRPr="00E66746" w14:paraId="66784F12" w14:textId="77777777" w:rsidTr="00095AB4">
        <w:tc>
          <w:tcPr>
            <w:tcW w:w="4644" w:type="dxa"/>
            <w:shd w:val="clear" w:color="auto" w:fill="auto"/>
          </w:tcPr>
          <w:p w14:paraId="55C6FF5B" w14:textId="77777777" w:rsidR="00892C35" w:rsidRPr="00E66746" w:rsidRDefault="00892C35" w:rsidP="00095AB4">
            <w:pPr>
              <w:rPr>
                <w:b/>
              </w:rPr>
            </w:pPr>
          </w:p>
        </w:tc>
        <w:tc>
          <w:tcPr>
            <w:tcW w:w="5103" w:type="dxa"/>
            <w:shd w:val="clear" w:color="auto" w:fill="auto"/>
          </w:tcPr>
          <w:p w14:paraId="4E3F1E40" w14:textId="77777777" w:rsidR="00892C35" w:rsidRPr="00E66746" w:rsidRDefault="00892C35" w:rsidP="00095AB4">
            <w:pPr>
              <w:rPr>
                <w:b/>
              </w:rPr>
            </w:pPr>
          </w:p>
        </w:tc>
      </w:tr>
    </w:tbl>
    <w:p w14:paraId="307E4CDE" w14:textId="77777777" w:rsidR="007C608F" w:rsidRPr="005E1B1D" w:rsidRDefault="007C608F" w:rsidP="007C608F">
      <w:pPr>
        <w:pStyle w:val="HChG"/>
        <w:rPr>
          <w:szCs w:val="28"/>
        </w:rPr>
      </w:pPr>
      <w:r>
        <w:rPr>
          <w:szCs w:val="28"/>
        </w:rPr>
        <w:tab/>
      </w:r>
      <w:r>
        <w:rPr>
          <w:szCs w:val="28"/>
        </w:rPr>
        <w:tab/>
      </w:r>
      <w:r w:rsidRPr="005E1B1D">
        <w:rPr>
          <w:szCs w:val="28"/>
        </w:rPr>
        <w:t xml:space="preserve">Manual of Tests and Criteria, </w:t>
      </w:r>
      <w:r w:rsidR="00A2289E">
        <w:rPr>
          <w:szCs w:val="28"/>
        </w:rPr>
        <w:t>review of</w:t>
      </w:r>
      <w:r w:rsidRPr="005E1B1D">
        <w:rPr>
          <w:szCs w:val="28"/>
        </w:rPr>
        <w:t xml:space="preserve"> Test Series H: </w:t>
      </w:r>
      <w:r>
        <w:rPr>
          <w:szCs w:val="28"/>
        </w:rPr>
        <w:t>d</w:t>
      </w:r>
      <w:r w:rsidRPr="005E1B1D">
        <w:rPr>
          <w:szCs w:val="28"/>
        </w:rPr>
        <w:t xml:space="preserve">etermination of </w:t>
      </w:r>
      <w:r>
        <w:rPr>
          <w:szCs w:val="28"/>
        </w:rPr>
        <w:t>s</w:t>
      </w:r>
      <w:r w:rsidRPr="005E1B1D">
        <w:rPr>
          <w:szCs w:val="28"/>
        </w:rPr>
        <w:t>elf-</w:t>
      </w:r>
      <w:r>
        <w:rPr>
          <w:szCs w:val="28"/>
        </w:rPr>
        <w:t>a</w:t>
      </w:r>
      <w:r w:rsidRPr="005E1B1D">
        <w:rPr>
          <w:szCs w:val="28"/>
        </w:rPr>
        <w:t xml:space="preserve">ccelerating </w:t>
      </w:r>
      <w:r>
        <w:rPr>
          <w:szCs w:val="28"/>
        </w:rPr>
        <w:t>d</w:t>
      </w:r>
      <w:r w:rsidRPr="005E1B1D">
        <w:rPr>
          <w:szCs w:val="28"/>
        </w:rPr>
        <w:t xml:space="preserve">ecomposition </w:t>
      </w:r>
      <w:r>
        <w:rPr>
          <w:szCs w:val="28"/>
        </w:rPr>
        <w:t>t</w:t>
      </w:r>
      <w:r w:rsidRPr="005E1B1D">
        <w:rPr>
          <w:szCs w:val="28"/>
        </w:rPr>
        <w:t>emperature</w:t>
      </w:r>
    </w:p>
    <w:p w14:paraId="7857A6A1" w14:textId="77777777" w:rsidR="007C608F" w:rsidRPr="008B33E5" w:rsidRDefault="007C608F" w:rsidP="007C608F">
      <w:pPr>
        <w:pStyle w:val="H1G"/>
        <w:rPr>
          <w:szCs w:val="24"/>
        </w:rPr>
      </w:pPr>
      <w:r w:rsidRPr="008B33E5">
        <w:rPr>
          <w:szCs w:val="24"/>
        </w:rPr>
        <w:tab/>
      </w:r>
      <w:r w:rsidRPr="008B33E5">
        <w:rPr>
          <w:szCs w:val="24"/>
        </w:rPr>
        <w:tab/>
        <w:t>Transmitted by the Chairman of the Working Group on Explosives</w:t>
      </w:r>
      <w:r w:rsidR="008E3E3E" w:rsidRPr="008B33E5">
        <w:rPr>
          <w:rStyle w:val="FootnoteReference"/>
          <w:sz w:val="24"/>
          <w:szCs w:val="24"/>
          <w:vertAlign w:val="baseline"/>
        </w:rPr>
        <w:footnoteReference w:customMarkFollows="1" w:id="2"/>
        <w:t>*</w:t>
      </w:r>
    </w:p>
    <w:p w14:paraId="55A0615A" w14:textId="77777777" w:rsidR="00095AB4" w:rsidRPr="00095AB4" w:rsidRDefault="00095AB4" w:rsidP="00095AB4">
      <w:pPr>
        <w:pStyle w:val="HChG"/>
      </w:pPr>
      <w:r>
        <w:tab/>
      </w:r>
      <w:r>
        <w:tab/>
        <w:t>Introduction</w:t>
      </w:r>
    </w:p>
    <w:p w14:paraId="04C3A512" w14:textId="77777777" w:rsidR="007C608F" w:rsidRPr="00AD2AA5" w:rsidRDefault="007C608F" w:rsidP="007C608F">
      <w:pPr>
        <w:pStyle w:val="SingleTxtG"/>
        <w:tabs>
          <w:tab w:val="left" w:pos="1701"/>
        </w:tabs>
      </w:pPr>
      <w:r>
        <w:t>1.</w:t>
      </w:r>
      <w:r>
        <w:tab/>
      </w:r>
      <w:r w:rsidRPr="00EA5BA3">
        <w:t xml:space="preserve">This </w:t>
      </w:r>
      <w:r>
        <w:t xml:space="preserve">document </w:t>
      </w:r>
      <w:r w:rsidRPr="00AD2AA5">
        <w:t xml:space="preserve">contains the outcome of the work of </w:t>
      </w:r>
      <w:r>
        <w:t xml:space="preserve">the </w:t>
      </w:r>
      <w:r w:rsidRPr="00AD2AA5">
        <w:t xml:space="preserve">International Group of Experts on the Unstable and Energetic Substances (IGUS), working group </w:t>
      </w:r>
      <w:r w:rsidRPr="008D245A">
        <w:t>Energetic</w:t>
      </w:r>
      <w:r w:rsidRPr="00AD2AA5">
        <w:t xml:space="preserve"> and Oxidizing Substances (EOS), ad-hoc working group on revision of </w:t>
      </w:r>
      <w:r w:rsidRPr="00EA6261">
        <w:t xml:space="preserve">test series H. The information in this </w:t>
      </w:r>
      <w:r>
        <w:t>document</w:t>
      </w:r>
      <w:r w:rsidRPr="00EA6261">
        <w:t xml:space="preserve"> was presented earlier in </w:t>
      </w:r>
      <w:r>
        <w:t xml:space="preserve">informal </w:t>
      </w:r>
      <w:r w:rsidRPr="00EA6261">
        <w:t>document</w:t>
      </w:r>
      <w:r>
        <w:t>s</w:t>
      </w:r>
      <w:r w:rsidRPr="00EA6261">
        <w:t xml:space="preserve"> </w:t>
      </w:r>
      <w:r w:rsidRPr="008C7D84">
        <w:rPr>
          <w:bCs/>
          <w:color w:val="4C4845"/>
          <w:spacing w:val="-4"/>
        </w:rPr>
        <w:t>INF.31</w:t>
      </w:r>
      <w:r>
        <w:rPr>
          <w:bCs/>
          <w:color w:val="4C4845"/>
          <w:spacing w:val="-4"/>
        </w:rPr>
        <w:t xml:space="preserve"> (fifty-sixth session) and </w:t>
      </w:r>
      <w:r w:rsidRPr="008C7D84">
        <w:rPr>
          <w:bCs/>
          <w:color w:val="4C4845"/>
          <w:spacing w:val="-4"/>
        </w:rPr>
        <w:t>INF.15</w:t>
      </w:r>
      <w:r>
        <w:rPr>
          <w:bCs/>
          <w:color w:val="4C4845"/>
          <w:spacing w:val="-4"/>
        </w:rPr>
        <w:t xml:space="preserve"> (thirty-eighth session).</w:t>
      </w:r>
    </w:p>
    <w:p w14:paraId="60A0622D" w14:textId="77777777" w:rsidR="007C608F" w:rsidRPr="00AD2AA5" w:rsidRDefault="007C608F" w:rsidP="007C608F">
      <w:pPr>
        <w:pStyle w:val="SingleTxtG"/>
        <w:tabs>
          <w:tab w:val="left" w:pos="1701"/>
        </w:tabs>
      </w:pPr>
      <w:r w:rsidRPr="004B2805">
        <w:t>2.</w:t>
      </w:r>
      <w:r w:rsidRPr="004B2805">
        <w:tab/>
      </w:r>
      <w:r>
        <w:t>The</w:t>
      </w:r>
      <w:r w:rsidRPr="004B2805">
        <w:t xml:space="preserve"> program of work of the Working Group of Explosives </w:t>
      </w:r>
      <w:r>
        <w:t>includes</w:t>
      </w:r>
      <w:r w:rsidR="00123C9D">
        <w:t>, among others,</w:t>
      </w:r>
      <w:r w:rsidRPr="004B2805">
        <w:t xml:space="preserve"> a </w:t>
      </w:r>
      <w:r w:rsidRPr="008D245A">
        <w:t>longstanding</w:t>
      </w:r>
      <w:r w:rsidRPr="004B2805">
        <w:t xml:space="preserve"> </w:t>
      </w:r>
      <w:r>
        <w:t>item</w:t>
      </w:r>
      <w:r w:rsidRPr="004B2805">
        <w:t xml:space="preserve"> </w:t>
      </w:r>
      <w:r w:rsidR="00123C9D">
        <w:t>“</w:t>
      </w:r>
      <w:r w:rsidRPr="004B2805">
        <w:t>Review of tests in parts I, II and III of the Manual of Tests and Criteria</w:t>
      </w:r>
      <w:r>
        <w:t>”</w:t>
      </w:r>
      <w:r w:rsidRPr="004B2805">
        <w:t xml:space="preserve"> aimed at removing unnecessary detailed description and over</w:t>
      </w:r>
      <w:r>
        <w:t>-</w:t>
      </w:r>
      <w:r w:rsidRPr="004B2805">
        <w:t xml:space="preserve"> specification of non-critical materials. Test Series 1, 2, A, C and E have </w:t>
      </w:r>
      <w:r>
        <w:t xml:space="preserve">already </w:t>
      </w:r>
      <w:r w:rsidRPr="004B2805">
        <w:t>been reviewed in this light</w:t>
      </w:r>
      <w:r>
        <w:t xml:space="preserve"> in the past</w:t>
      </w:r>
      <w:r w:rsidRPr="004B2805">
        <w:t>. Test Series H has been under review</w:t>
      </w:r>
      <w:r>
        <w:t xml:space="preserve"> during the past two biennia</w:t>
      </w:r>
      <w:r w:rsidRPr="004B2805">
        <w:t>.</w:t>
      </w:r>
    </w:p>
    <w:p w14:paraId="03E352DC" w14:textId="77777777" w:rsidR="007C608F" w:rsidRPr="00AD2AA5" w:rsidRDefault="007C608F" w:rsidP="007C608F">
      <w:pPr>
        <w:pStyle w:val="SingleTxtG"/>
        <w:tabs>
          <w:tab w:val="left" w:pos="1701"/>
        </w:tabs>
      </w:pPr>
      <w:r>
        <w:t>3.</w:t>
      </w:r>
      <w:r>
        <w:tab/>
      </w:r>
      <w:r w:rsidR="00F81A22">
        <w:t xml:space="preserve">The Working Group on Explosives discussed briefly </w:t>
      </w:r>
      <w:r w:rsidRPr="00AD2AA5">
        <w:t xml:space="preserve">Test series H </w:t>
      </w:r>
      <w:r w:rsidR="00F81A22">
        <w:t>in the previous biennium</w:t>
      </w:r>
      <w:r w:rsidRPr="00AD2AA5">
        <w:t xml:space="preserve">. </w:t>
      </w:r>
      <w:r w:rsidR="00F81A22">
        <w:t>At that time, o</w:t>
      </w:r>
      <w:r w:rsidRPr="00AD2AA5">
        <w:t>nly polymerizing substances</w:t>
      </w:r>
      <w:r w:rsidR="00F81A22">
        <w:t xml:space="preserve"> and s</w:t>
      </w:r>
      <w:r w:rsidR="00F81A22" w:rsidRPr="00AD2AA5">
        <w:t>elf</w:t>
      </w:r>
      <w:r w:rsidRPr="00AD2AA5">
        <w:t>-</w:t>
      </w:r>
      <w:r w:rsidR="00F81A22">
        <w:t>a</w:t>
      </w:r>
      <w:r w:rsidR="00F81A22" w:rsidRPr="00AD2AA5">
        <w:t xml:space="preserve">ccelerating </w:t>
      </w:r>
      <w:r w:rsidR="00F81A22">
        <w:t>p</w:t>
      </w:r>
      <w:r w:rsidRPr="00AD2AA5">
        <w:t xml:space="preserve">olymerization </w:t>
      </w:r>
      <w:r w:rsidR="00F81A22">
        <w:t>t</w:t>
      </w:r>
      <w:r w:rsidRPr="00AD2AA5">
        <w:t xml:space="preserve">emperature (SAPT) were </w:t>
      </w:r>
      <w:r w:rsidR="00F81A22">
        <w:t>addressed,</w:t>
      </w:r>
      <w:r w:rsidR="00F81A22" w:rsidRPr="00AD2AA5">
        <w:t xml:space="preserve"> </w:t>
      </w:r>
      <w:r w:rsidRPr="00AD2AA5">
        <w:t xml:space="preserve">as well as </w:t>
      </w:r>
      <w:r w:rsidR="00F81A22">
        <w:t xml:space="preserve">amendments to the </w:t>
      </w:r>
      <w:r w:rsidRPr="00AD2AA5">
        <w:t xml:space="preserve">text </w:t>
      </w:r>
      <w:r w:rsidR="00F81A22">
        <w:t xml:space="preserve">of the Manual </w:t>
      </w:r>
      <w:r w:rsidR="00C22D7B">
        <w:t xml:space="preserve">of Tests and Criteria </w:t>
      </w:r>
      <w:r w:rsidRPr="00AD2AA5">
        <w:t xml:space="preserve">where there was a need to make </w:t>
      </w:r>
      <w:r w:rsidR="00F81A22">
        <w:t xml:space="preserve">it </w:t>
      </w:r>
      <w:r w:rsidRPr="00AD2AA5">
        <w:t xml:space="preserve">fit </w:t>
      </w:r>
      <w:r w:rsidR="00F81A22">
        <w:t xml:space="preserve">both </w:t>
      </w:r>
      <w:r w:rsidRPr="00AD2AA5">
        <w:t xml:space="preserve">for transport and </w:t>
      </w:r>
      <w:r w:rsidR="00C22D7B">
        <w:t xml:space="preserve">for </w:t>
      </w:r>
      <w:r w:rsidR="00F81A22">
        <w:t>non-transport sectors addressed by the GHS.</w:t>
      </w:r>
    </w:p>
    <w:p w14:paraId="42EE74B9" w14:textId="77777777" w:rsidR="001B7407" w:rsidRDefault="001B7407">
      <w:pPr>
        <w:suppressAutoHyphens w:val="0"/>
        <w:kinsoku/>
        <w:overflowPunct/>
        <w:autoSpaceDE/>
        <w:autoSpaceDN/>
        <w:adjustRightInd/>
        <w:snapToGrid/>
        <w:spacing w:after="200" w:line="276" w:lineRule="auto"/>
      </w:pPr>
      <w:r>
        <w:br w:type="page"/>
      </w:r>
    </w:p>
    <w:p w14:paraId="5100BCE4" w14:textId="77777777" w:rsidR="00F81A22" w:rsidRDefault="007C608F" w:rsidP="00F81A22">
      <w:pPr>
        <w:pStyle w:val="SingleTxtG"/>
        <w:tabs>
          <w:tab w:val="left" w:pos="1701"/>
        </w:tabs>
      </w:pPr>
      <w:r>
        <w:lastRenderedPageBreak/>
        <w:t>4.</w:t>
      </w:r>
      <w:r>
        <w:tab/>
      </w:r>
      <w:r w:rsidRPr="00AD2AA5">
        <w:t>In parallel, for a couple of years, an IGUS-EOS ad-hoc working group discussed the update of test series H.</w:t>
      </w:r>
      <w:r w:rsidR="00F81A22">
        <w:t xml:space="preserve"> </w:t>
      </w:r>
      <w:r w:rsidRPr="00AD2AA5">
        <w:t xml:space="preserve">The following aspects were discussed: </w:t>
      </w:r>
    </w:p>
    <w:p w14:paraId="245B4EF2" w14:textId="77777777" w:rsidR="007C608F" w:rsidRPr="00AD2AA5" w:rsidRDefault="00F81A22" w:rsidP="001F085A">
      <w:pPr>
        <w:pStyle w:val="Bullet1G"/>
        <w:numPr>
          <w:ilvl w:val="0"/>
          <w:numId w:val="0"/>
        </w:numPr>
        <w:ind w:left="2268" w:hanging="567"/>
      </w:pPr>
      <w:r>
        <w:t>(a)</w:t>
      </w:r>
      <w:r>
        <w:tab/>
        <w:t>Updating of</w:t>
      </w:r>
      <w:r w:rsidR="007C608F" w:rsidRPr="00AD2AA5">
        <w:t xml:space="preserve"> the current test descriptions and </w:t>
      </w:r>
      <w:r>
        <w:t xml:space="preserve">deletion of </w:t>
      </w:r>
      <w:r w:rsidR="007C608F" w:rsidRPr="00AD2AA5">
        <w:t>over-specification</w:t>
      </w:r>
      <w:r>
        <w:t>s;</w:t>
      </w:r>
    </w:p>
    <w:p w14:paraId="5DF064C4" w14:textId="77777777" w:rsidR="007C608F" w:rsidRPr="00AD2AA5" w:rsidRDefault="00F81A22" w:rsidP="001F085A">
      <w:pPr>
        <w:pStyle w:val="Bullet1G"/>
        <w:numPr>
          <w:ilvl w:val="0"/>
          <w:numId w:val="0"/>
        </w:numPr>
        <w:kinsoku/>
        <w:overflowPunct/>
        <w:autoSpaceDE/>
        <w:autoSpaceDN/>
        <w:adjustRightInd/>
        <w:snapToGrid/>
        <w:ind w:left="2268" w:hanging="567"/>
      </w:pPr>
      <w:r>
        <w:t>(b)</w:t>
      </w:r>
      <w:r>
        <w:tab/>
      </w:r>
      <w:r w:rsidR="007C608F" w:rsidRPr="00AD2AA5">
        <w:t xml:space="preserve">On test series H.2 Adiabatic Storage Test (AST):  </w:t>
      </w:r>
      <w:r>
        <w:t>Making</w:t>
      </w:r>
      <w:r w:rsidR="007C608F" w:rsidRPr="00AD2AA5">
        <w:t xml:space="preserve"> the test description and </w:t>
      </w:r>
      <w:r>
        <w:t xml:space="preserve">the </w:t>
      </w:r>
      <w:r w:rsidR="007C608F" w:rsidRPr="00AD2AA5">
        <w:t xml:space="preserve">description of the equipment to be used more general and </w:t>
      </w:r>
      <w:r>
        <w:t>introducing</w:t>
      </w:r>
      <w:r w:rsidR="007C608F" w:rsidRPr="00AD2AA5">
        <w:t xml:space="preserve"> </w:t>
      </w:r>
      <w:r>
        <w:t xml:space="preserve">a </w:t>
      </w:r>
      <w:r w:rsidR="007C608F" w:rsidRPr="00AD2AA5">
        <w:t>pressure adiabatic storage test (closed system)</w:t>
      </w:r>
      <w:r>
        <w:t>;</w:t>
      </w:r>
    </w:p>
    <w:p w14:paraId="6A569EA6" w14:textId="77777777" w:rsidR="007C608F" w:rsidRPr="00AD2AA5" w:rsidRDefault="00F81A22" w:rsidP="001F085A">
      <w:pPr>
        <w:pStyle w:val="Bullet1G"/>
        <w:numPr>
          <w:ilvl w:val="0"/>
          <w:numId w:val="0"/>
        </w:numPr>
        <w:kinsoku/>
        <w:overflowPunct/>
        <w:autoSpaceDE/>
        <w:autoSpaceDN/>
        <w:adjustRightInd/>
        <w:snapToGrid/>
        <w:ind w:left="2268" w:hanging="567"/>
      </w:pPr>
      <w:r>
        <w:t>(c)</w:t>
      </w:r>
      <w:r>
        <w:tab/>
      </w:r>
      <w:r w:rsidR="007C608F" w:rsidRPr="00AD2AA5">
        <w:t>On test series H.3 Isothermal Storage Test (IST)</w:t>
      </w:r>
      <w:r>
        <w:t>:</w:t>
      </w:r>
      <w:r w:rsidR="007C608F" w:rsidRPr="00AD2AA5">
        <w:t xml:space="preserve"> </w:t>
      </w:r>
      <w:r w:rsidR="00C22D7B">
        <w:t>Making</w:t>
      </w:r>
      <w:r w:rsidR="007C608F" w:rsidRPr="00AD2AA5">
        <w:t xml:space="preserve"> the test description and description of the equipment to be used more general</w:t>
      </w:r>
    </w:p>
    <w:p w14:paraId="18113247" w14:textId="77777777" w:rsidR="00F81A22" w:rsidRPr="00AD2AA5" w:rsidRDefault="00F81A22" w:rsidP="001F085A">
      <w:pPr>
        <w:pStyle w:val="Bullet1G"/>
        <w:numPr>
          <w:ilvl w:val="0"/>
          <w:numId w:val="0"/>
        </w:numPr>
        <w:kinsoku/>
        <w:overflowPunct/>
        <w:autoSpaceDE/>
        <w:autoSpaceDN/>
        <w:adjustRightInd/>
        <w:snapToGrid/>
        <w:ind w:left="2268" w:hanging="567"/>
      </w:pPr>
      <w:r>
        <w:t>(d)</w:t>
      </w:r>
      <w:r>
        <w:tab/>
      </w:r>
      <w:r w:rsidR="00C22D7B">
        <w:t>Introduction</w:t>
      </w:r>
      <w:r w:rsidR="007C608F" w:rsidRPr="00AD2AA5">
        <w:t xml:space="preserve"> of standard heat-loss values, where possible (otherwise to be determined for the specific configuration), for </w:t>
      </w:r>
      <w:proofErr w:type="spellStart"/>
      <w:r w:rsidR="007C608F" w:rsidRPr="00AD2AA5">
        <w:t>packaging</w:t>
      </w:r>
      <w:r w:rsidR="00C22D7B">
        <w:t>s</w:t>
      </w:r>
      <w:proofErr w:type="spellEnd"/>
      <w:r w:rsidR="007C608F" w:rsidRPr="00AD2AA5">
        <w:t xml:space="preserve"> and IBCs.</w:t>
      </w:r>
    </w:p>
    <w:p w14:paraId="66C29DD0" w14:textId="77777777" w:rsidR="007C608F" w:rsidRDefault="00095AB4" w:rsidP="007C608F">
      <w:pPr>
        <w:pStyle w:val="SingleTxtG"/>
        <w:tabs>
          <w:tab w:val="left" w:pos="1701"/>
        </w:tabs>
      </w:pPr>
      <w:bookmarkStart w:id="1" w:name="_Hlk35351793"/>
      <w:r>
        <w:t>5</w:t>
      </w:r>
      <w:r w:rsidR="00F81A22">
        <w:t>.</w:t>
      </w:r>
      <w:r w:rsidR="00F81A22">
        <w:tab/>
      </w:r>
      <w:r w:rsidR="007C608F" w:rsidRPr="00904ADC">
        <w:t xml:space="preserve">The </w:t>
      </w:r>
      <w:r w:rsidR="00F81A22">
        <w:t xml:space="preserve">list of </w:t>
      </w:r>
      <w:r w:rsidR="007C608F" w:rsidRPr="00904ADC">
        <w:t xml:space="preserve">proposed amendments to the </w:t>
      </w:r>
      <w:r w:rsidR="00C22D7B">
        <w:t>seventh</w:t>
      </w:r>
      <w:r w:rsidR="00C22D7B" w:rsidRPr="00904ADC">
        <w:t xml:space="preserve"> </w:t>
      </w:r>
      <w:r w:rsidR="007C608F" w:rsidRPr="00904ADC">
        <w:t xml:space="preserve">revised edition of the </w:t>
      </w:r>
      <w:r w:rsidR="00F81A22">
        <w:t>Manual of Tests and Criteria</w:t>
      </w:r>
      <w:r w:rsidR="007C608F" w:rsidRPr="00904ADC">
        <w:t xml:space="preserve"> </w:t>
      </w:r>
      <w:r w:rsidR="00C22D7B">
        <w:t xml:space="preserve">resulting from these discussions </w:t>
      </w:r>
      <w:r w:rsidR="007C608F" w:rsidRPr="00904ADC">
        <w:t xml:space="preserve">are given in </w:t>
      </w:r>
      <w:r>
        <w:t xml:space="preserve">the proposal in </w:t>
      </w:r>
      <w:r w:rsidR="007C608F" w:rsidRPr="00904ADC">
        <w:t xml:space="preserve">this document. </w:t>
      </w:r>
      <w:r w:rsidR="00617857">
        <w:t xml:space="preserve">A marked-up version of the full text of Section 28 of the Manual is </w:t>
      </w:r>
      <w:r w:rsidR="00C22D7B">
        <w:t xml:space="preserve">circulated separately </w:t>
      </w:r>
      <w:r w:rsidR="00617857">
        <w:t xml:space="preserve">in information </w:t>
      </w:r>
      <w:r w:rsidR="00617857" w:rsidRPr="00F30201">
        <w:t>document INF.</w:t>
      </w:r>
      <w:r w:rsidR="00F30201" w:rsidRPr="00904ADC">
        <w:t>4 (TDG, fifty-seventh session) – INF.3</w:t>
      </w:r>
      <w:r w:rsidR="00E45148">
        <w:t xml:space="preserve"> </w:t>
      </w:r>
      <w:r w:rsidR="00F30201" w:rsidRPr="00904ADC">
        <w:t>(GHS, thirty-ninth session)</w:t>
      </w:r>
      <w:r w:rsidR="00617857" w:rsidRPr="00F30201">
        <w:t>.</w:t>
      </w:r>
      <w:r w:rsidR="00D871EC">
        <w:t xml:space="preserve"> </w:t>
      </w:r>
      <w:r w:rsidR="00617857">
        <w:t>The TDG and GHS s</w:t>
      </w:r>
      <w:r w:rsidR="007C608F" w:rsidRPr="004B2805">
        <w:t>ub-</w:t>
      </w:r>
      <w:r w:rsidR="00617857">
        <w:t>c</w:t>
      </w:r>
      <w:r w:rsidR="007C608F" w:rsidRPr="004B2805">
        <w:t xml:space="preserve">ommittees are invited to </w:t>
      </w:r>
      <w:r w:rsidR="00617857">
        <w:t>consider the</w:t>
      </w:r>
      <w:r>
        <w:t xml:space="preserve"> proposed</w:t>
      </w:r>
      <w:r w:rsidR="00617857">
        <w:t xml:space="preserve"> amendments for adoption. </w:t>
      </w:r>
    </w:p>
    <w:bookmarkEnd w:id="1"/>
    <w:p w14:paraId="532D3477" w14:textId="77777777" w:rsidR="00095AB4" w:rsidRDefault="00095AB4" w:rsidP="00904ADC">
      <w:pPr>
        <w:pStyle w:val="HChG"/>
      </w:pPr>
      <w:r>
        <w:tab/>
      </w:r>
      <w:r>
        <w:tab/>
        <w:t>Proposal</w:t>
      </w:r>
    </w:p>
    <w:p w14:paraId="08429565" w14:textId="77777777" w:rsidR="00095AB4" w:rsidRPr="00741695" w:rsidRDefault="00095AB4" w:rsidP="00921EAE">
      <w:pPr>
        <w:pStyle w:val="SingleTxtG"/>
        <w:tabs>
          <w:tab w:val="left" w:pos="1985"/>
        </w:tabs>
      </w:pPr>
      <w:r>
        <w:t>6.</w:t>
      </w:r>
      <w:r>
        <w:tab/>
      </w:r>
      <w:r w:rsidR="00921EAE">
        <w:tab/>
      </w:r>
      <w:r w:rsidRPr="00741695">
        <w:t xml:space="preserve">Amend Section 28 </w:t>
      </w:r>
      <w:r>
        <w:t xml:space="preserve">of the Manual of Tests and Criteria </w:t>
      </w:r>
      <w:r w:rsidRPr="00741695">
        <w:t>as follows:</w:t>
      </w:r>
    </w:p>
    <w:p w14:paraId="7D6A0733" w14:textId="77777777" w:rsidR="00095AB4" w:rsidRPr="00741695" w:rsidRDefault="00095AB4" w:rsidP="00921EAE">
      <w:pPr>
        <w:pStyle w:val="SingleTxtG"/>
        <w:tabs>
          <w:tab w:val="left" w:pos="2268"/>
        </w:tabs>
        <w:ind w:left="2268" w:hanging="1134"/>
      </w:pPr>
      <w:r w:rsidRPr="00741695">
        <w:t>28.1</w:t>
      </w:r>
      <w:r w:rsidRPr="00741695">
        <w:tab/>
        <w:t>Renumber the first paragraph under 28.1 as 28.1.1 and amend as follows:</w:t>
      </w:r>
    </w:p>
    <w:p w14:paraId="67A3229D" w14:textId="77777777" w:rsidR="00095AB4" w:rsidRPr="00741695" w:rsidRDefault="00921EAE" w:rsidP="00921EAE">
      <w:pPr>
        <w:pStyle w:val="SingleTxtG"/>
        <w:tabs>
          <w:tab w:val="left" w:pos="2268"/>
        </w:tabs>
        <w:ind w:left="2268" w:hanging="1134"/>
      </w:pPr>
      <w:r>
        <w:tab/>
      </w:r>
      <w:r w:rsidR="00095AB4" w:rsidRPr="00741695">
        <w:t>Amend the last sentence before the current sub-paragraphs (a) to (c) to read: “To assist in interpreting the results, the following models can be used</w:t>
      </w:r>
      <w:r w:rsidR="001D0646">
        <w:rPr>
          <w:vertAlign w:val="superscript"/>
        </w:rPr>
        <w:t>1</w:t>
      </w:r>
      <w:r w:rsidR="00095AB4" w:rsidRPr="00741695">
        <w:t>:”</w:t>
      </w:r>
    </w:p>
    <w:p w14:paraId="7873E13C" w14:textId="77777777" w:rsidR="00095AB4" w:rsidRPr="00741695" w:rsidRDefault="00095AB4" w:rsidP="00921EAE">
      <w:pPr>
        <w:pStyle w:val="SingleTxtG"/>
        <w:ind w:left="2268"/>
      </w:pPr>
      <w:r w:rsidRPr="00741695">
        <w:t>Replace current sub-paragraphs (a) to (c) with the following:</w:t>
      </w:r>
    </w:p>
    <w:p w14:paraId="1094B2D6" w14:textId="77777777" w:rsidR="00095AB4" w:rsidRPr="00741695" w:rsidRDefault="00095AB4" w:rsidP="00921EAE">
      <w:pPr>
        <w:pStyle w:val="SingleTxtG"/>
        <w:ind w:left="2835" w:hanging="567"/>
      </w:pPr>
      <w:r w:rsidRPr="00741695">
        <w:t>“(a)</w:t>
      </w:r>
      <w:r w:rsidRPr="00741695">
        <w:tab/>
        <w:t xml:space="preserve">Semenov model, in which the main resistance to heat flow is at the boundary (i.e. packaging). This model is generally applicable to homogeneous liquids but can also be applied to solids in </w:t>
      </w:r>
      <w:proofErr w:type="spellStart"/>
      <w:r w:rsidRPr="00741695">
        <w:t>packagings</w:t>
      </w:r>
      <w:proofErr w:type="spellEnd"/>
      <w:r w:rsidRPr="00741695">
        <w:t xml:space="preserve"> (excluding IBC</w:t>
      </w:r>
      <w:r w:rsidRPr="00741695">
        <w:rPr>
          <w:strike/>
        </w:rPr>
        <w:t>’</w:t>
      </w:r>
      <w:r w:rsidRPr="00741695">
        <w:t>s);</w:t>
      </w:r>
    </w:p>
    <w:p w14:paraId="339D6EEB" w14:textId="77777777" w:rsidR="00095AB4" w:rsidRPr="00741695" w:rsidRDefault="00095AB4" w:rsidP="00921EAE">
      <w:pPr>
        <w:pStyle w:val="SingleTxtG"/>
        <w:ind w:left="2835" w:hanging="567"/>
      </w:pPr>
      <w:r w:rsidRPr="00741695">
        <w:t>(b)</w:t>
      </w:r>
      <w:r w:rsidRPr="00741695">
        <w:tab/>
        <w:t>Frank-</w:t>
      </w:r>
      <w:proofErr w:type="spellStart"/>
      <w:r w:rsidRPr="00741695">
        <w:t>Kamenetskii</w:t>
      </w:r>
      <w:proofErr w:type="spellEnd"/>
      <w:r w:rsidRPr="00741695">
        <w:t xml:space="preserve"> model, in which the main resistance to heat flow is within the substance.  This model is generally applicable to solids in larger </w:t>
      </w:r>
      <w:proofErr w:type="spellStart"/>
      <w:r w:rsidRPr="00741695">
        <w:t>packagings</w:t>
      </w:r>
      <w:proofErr w:type="spellEnd"/>
      <w:r w:rsidRPr="00741695">
        <w:t>, IBCs or tanks;</w:t>
      </w:r>
    </w:p>
    <w:p w14:paraId="39B50989" w14:textId="77777777" w:rsidR="00095AB4" w:rsidRPr="00741695" w:rsidRDefault="00095AB4" w:rsidP="00921EAE">
      <w:pPr>
        <w:pStyle w:val="SingleTxtG"/>
        <w:ind w:left="2835" w:hanging="567"/>
      </w:pPr>
      <w:r w:rsidRPr="00741695">
        <w:t>(c)</w:t>
      </w:r>
      <w:r w:rsidRPr="00741695">
        <w:tab/>
      </w:r>
      <w:r w:rsidRPr="00741695">
        <w:tab/>
        <w:t>Thomas model, in which the resistance to heat flow is from both the boundary and the substance;</w:t>
      </w:r>
    </w:p>
    <w:p w14:paraId="713B9047" w14:textId="77777777" w:rsidR="00095AB4" w:rsidRDefault="00095AB4" w:rsidP="00921EAE">
      <w:pPr>
        <w:pStyle w:val="SingleTxtG"/>
        <w:ind w:left="2835" w:hanging="567"/>
      </w:pPr>
      <w:r w:rsidRPr="00741695">
        <w:t>(d)</w:t>
      </w:r>
      <w:r w:rsidRPr="00741695">
        <w:tab/>
        <w:t>Non-stationary models, e.g. finite element methods (FEM), or computational fluid dynamics (CFD) all combined with thermal kinetic methods.”.</w:t>
      </w:r>
    </w:p>
    <w:p w14:paraId="151AE6E3" w14:textId="77777777" w:rsidR="001D3482" w:rsidRDefault="001D0646" w:rsidP="001D3482">
      <w:pPr>
        <w:pStyle w:val="SingleTxtG"/>
        <w:tabs>
          <w:tab w:val="left" w:pos="2268"/>
        </w:tabs>
        <w:ind w:left="2268"/>
      </w:pPr>
      <w:r>
        <w:t>T</w:t>
      </w:r>
      <w:r w:rsidR="00D212ED">
        <w:t>he references currently at the end of the paragraph</w:t>
      </w:r>
      <w:r>
        <w:t xml:space="preserve"> become footnote “1” </w:t>
      </w:r>
      <w:r w:rsidR="00D212ED">
        <w:t>to read as follows:</w:t>
      </w:r>
    </w:p>
    <w:p w14:paraId="441845F1" w14:textId="77777777" w:rsidR="001D3482" w:rsidRPr="00741695" w:rsidRDefault="001D0646" w:rsidP="00D212ED">
      <w:pPr>
        <w:pStyle w:val="SingleTxtG"/>
        <w:tabs>
          <w:tab w:val="left" w:pos="2268"/>
        </w:tabs>
        <w:ind w:left="2268"/>
        <w:rPr>
          <w:i/>
          <w:iCs/>
        </w:rPr>
      </w:pPr>
      <w:r>
        <w:rPr>
          <w:vertAlign w:val="superscript"/>
        </w:rPr>
        <w:t>“</w:t>
      </w:r>
      <w:r w:rsidRPr="001D0646">
        <w:rPr>
          <w:vertAlign w:val="superscript"/>
        </w:rPr>
        <w:t>1</w:t>
      </w:r>
      <w:r w:rsidR="00D212ED" w:rsidRPr="00D212ED">
        <w:rPr>
          <w:i/>
          <w:iCs/>
        </w:rPr>
        <w:t xml:space="preserve"> </w:t>
      </w:r>
      <w:r>
        <w:rPr>
          <w:i/>
          <w:iCs/>
        </w:rPr>
        <w:t>R</w:t>
      </w:r>
      <w:r w:rsidR="00D212ED" w:rsidRPr="00D212ED">
        <w:rPr>
          <w:i/>
          <w:iCs/>
        </w:rPr>
        <w:t>eferences</w:t>
      </w:r>
      <w:r w:rsidR="00D212ED">
        <w:rPr>
          <w:i/>
          <w:iCs/>
        </w:rPr>
        <w:t xml:space="preserve">: </w:t>
      </w:r>
      <w:r w:rsidR="001D3482" w:rsidRPr="00741695">
        <w:rPr>
          <w:i/>
          <w:iCs/>
        </w:rPr>
        <w:t xml:space="preserve">N.N. Semenov, Z. </w:t>
      </w:r>
      <w:proofErr w:type="spellStart"/>
      <w:r w:rsidR="001D3482" w:rsidRPr="00741695">
        <w:rPr>
          <w:i/>
          <w:iCs/>
        </w:rPr>
        <w:t>Physik</w:t>
      </w:r>
      <w:proofErr w:type="spellEnd"/>
      <w:r w:rsidR="001D3482" w:rsidRPr="00741695">
        <w:rPr>
          <w:i/>
          <w:iCs/>
        </w:rPr>
        <w:t xml:space="preserve">, </w:t>
      </w:r>
      <w:r w:rsidR="001D3482" w:rsidRPr="00741695">
        <w:rPr>
          <w:i/>
          <w:iCs/>
          <w:u w:val="single"/>
        </w:rPr>
        <w:t>48</w:t>
      </w:r>
      <w:r w:rsidR="001D3482" w:rsidRPr="00741695">
        <w:rPr>
          <w:i/>
          <w:iCs/>
        </w:rPr>
        <w:t>, 1928, 571; D.A. Frank-</w:t>
      </w:r>
      <w:proofErr w:type="spellStart"/>
      <w:r w:rsidR="001D3482" w:rsidRPr="00741695">
        <w:rPr>
          <w:i/>
          <w:iCs/>
        </w:rPr>
        <w:t>Kamenetskii</w:t>
      </w:r>
      <w:proofErr w:type="spellEnd"/>
      <w:r w:rsidR="001D3482" w:rsidRPr="00741695">
        <w:rPr>
          <w:i/>
          <w:iCs/>
        </w:rPr>
        <w:t xml:space="preserve">, </w:t>
      </w:r>
      <w:proofErr w:type="spellStart"/>
      <w:r w:rsidR="001D3482" w:rsidRPr="00741695">
        <w:rPr>
          <w:i/>
          <w:iCs/>
        </w:rPr>
        <w:t>Zhur</w:t>
      </w:r>
      <w:proofErr w:type="spellEnd"/>
      <w:r w:rsidR="001D3482" w:rsidRPr="00741695">
        <w:rPr>
          <w:i/>
          <w:iCs/>
        </w:rPr>
        <w:t xml:space="preserve">. </w:t>
      </w:r>
      <w:proofErr w:type="spellStart"/>
      <w:r w:rsidR="001D3482" w:rsidRPr="00741695">
        <w:rPr>
          <w:i/>
          <w:iCs/>
        </w:rPr>
        <w:t>Fiz</w:t>
      </w:r>
      <w:proofErr w:type="spellEnd"/>
      <w:r w:rsidR="001D3482" w:rsidRPr="00741695">
        <w:rPr>
          <w:i/>
          <w:iCs/>
        </w:rPr>
        <w:t xml:space="preserve">. </w:t>
      </w:r>
      <w:proofErr w:type="spellStart"/>
      <w:r w:rsidR="001D3482" w:rsidRPr="00741695">
        <w:rPr>
          <w:i/>
          <w:iCs/>
        </w:rPr>
        <w:t>Khim</w:t>
      </w:r>
      <w:proofErr w:type="spellEnd"/>
      <w:r w:rsidR="001D3482" w:rsidRPr="00741695">
        <w:rPr>
          <w:i/>
          <w:iCs/>
        </w:rPr>
        <w:t xml:space="preserve">., </w:t>
      </w:r>
      <w:r w:rsidR="001D3482" w:rsidRPr="00741695">
        <w:rPr>
          <w:i/>
          <w:iCs/>
          <w:u w:val="single"/>
        </w:rPr>
        <w:t>13</w:t>
      </w:r>
      <w:r w:rsidR="001D3482" w:rsidRPr="00741695">
        <w:rPr>
          <w:i/>
          <w:iCs/>
        </w:rPr>
        <w:t xml:space="preserve">, 1939, 738; P.H. Thomas, Trans. Faraday Soc., </w:t>
      </w:r>
      <w:r w:rsidR="001D3482" w:rsidRPr="00741695">
        <w:rPr>
          <w:i/>
          <w:iCs/>
          <w:u w:val="single"/>
        </w:rPr>
        <w:t>54</w:t>
      </w:r>
      <w:r w:rsidR="001D3482" w:rsidRPr="00741695">
        <w:rPr>
          <w:i/>
          <w:iCs/>
        </w:rPr>
        <w:t>, 1958, 60.”.</w:t>
      </w:r>
    </w:p>
    <w:p w14:paraId="72400038" w14:textId="77777777" w:rsidR="00095AB4" w:rsidRPr="00741695" w:rsidRDefault="00095AB4" w:rsidP="00982134">
      <w:pPr>
        <w:pStyle w:val="SingleTxtG"/>
      </w:pPr>
      <w:r w:rsidRPr="00741695">
        <w:t>Renumber the sentence “The text should be used….2.5.3.4 of the Model Regulations” as 28.1.2.</w:t>
      </w:r>
    </w:p>
    <w:p w14:paraId="1C556419" w14:textId="77777777" w:rsidR="00095AB4" w:rsidRPr="00741695" w:rsidRDefault="00095AB4" w:rsidP="00982134">
      <w:pPr>
        <w:pStyle w:val="SingleTxtG"/>
      </w:pPr>
      <w:r w:rsidRPr="00741695">
        <w:t>Insert the following new paragraph 28.1.3:</w:t>
      </w:r>
    </w:p>
    <w:p w14:paraId="12EDE163" w14:textId="77777777" w:rsidR="00095AB4" w:rsidRPr="00904ADC" w:rsidRDefault="00095AB4" w:rsidP="00904ADC">
      <w:pPr>
        <w:pStyle w:val="SingleTxtG"/>
        <w:rPr>
          <w:i/>
          <w:iCs/>
        </w:rPr>
      </w:pPr>
      <w:r w:rsidRPr="00904ADC">
        <w:t>“28.1.3</w:t>
      </w:r>
      <w:r w:rsidRPr="00904ADC">
        <w:tab/>
      </w:r>
      <w:r w:rsidRPr="00904ADC">
        <w:rPr>
          <w:i/>
          <w:iCs/>
        </w:rPr>
        <w:t xml:space="preserve">Both the SADT and the SAPT may be influenced by factors such as aging of the sample, presence of stabilizers or impurities in the sample (including packaging materials in contact with the substance). These possible influencing factors should be considered when evaluating the results of an SADT or SAPT determination.”. </w:t>
      </w:r>
    </w:p>
    <w:p w14:paraId="4AEC3F52" w14:textId="77777777" w:rsidR="00982134" w:rsidRDefault="00982134" w:rsidP="00904ADC">
      <w:pPr>
        <w:pStyle w:val="SingleTxtG"/>
        <w:keepNext/>
        <w:keepLines/>
        <w:tabs>
          <w:tab w:val="left" w:pos="2268"/>
        </w:tabs>
        <w:ind w:left="2268" w:hanging="1134"/>
      </w:pPr>
      <w:r>
        <w:lastRenderedPageBreak/>
        <w:t>28.2.2</w:t>
      </w:r>
      <w:r>
        <w:tab/>
        <w:t>In table 28.1, replace “(IST)” by “(IST)</w:t>
      </w:r>
      <w:r w:rsidRPr="00982134">
        <w:rPr>
          <w:vertAlign w:val="superscript"/>
        </w:rPr>
        <w:t>b</w:t>
      </w:r>
      <w:r>
        <w:t>”.</w:t>
      </w:r>
    </w:p>
    <w:p w14:paraId="64461B02" w14:textId="77777777" w:rsidR="00095AB4" w:rsidRPr="00741695" w:rsidRDefault="00095AB4" w:rsidP="00921EAE">
      <w:pPr>
        <w:pStyle w:val="SingleTxtG"/>
        <w:tabs>
          <w:tab w:val="left" w:pos="2268"/>
        </w:tabs>
        <w:ind w:left="2268" w:hanging="1134"/>
      </w:pPr>
      <w:r w:rsidRPr="00741695">
        <w:t>28.2.6</w:t>
      </w:r>
      <w:r w:rsidRPr="00741695">
        <w:tab/>
      </w:r>
      <w:r w:rsidRPr="00741695">
        <w:tab/>
        <w:t>Replace “The results obtained for the largest commercial package” by “The results obtained for larger packages”.</w:t>
      </w:r>
    </w:p>
    <w:p w14:paraId="7086FCFB" w14:textId="77777777" w:rsidR="00095AB4" w:rsidRPr="00095AB4" w:rsidRDefault="00095AB4" w:rsidP="00921EAE">
      <w:pPr>
        <w:pStyle w:val="SingleTxtG"/>
        <w:tabs>
          <w:tab w:val="left" w:pos="2268"/>
        </w:tabs>
        <w:ind w:left="2268" w:hanging="1134"/>
      </w:pPr>
      <w:r w:rsidRPr="00095AB4">
        <w:t>28.3.4</w:t>
      </w:r>
      <w:r w:rsidRPr="00095AB4">
        <w:tab/>
      </w:r>
      <w:r w:rsidRPr="00095AB4">
        <w:tab/>
        <w:t>Replace “should be used for the actual determination” by “should be used for the final determination”.</w:t>
      </w:r>
    </w:p>
    <w:p w14:paraId="05A4208C" w14:textId="77777777" w:rsidR="00095AB4" w:rsidRPr="00741695" w:rsidRDefault="00095AB4" w:rsidP="00921EAE">
      <w:pPr>
        <w:pStyle w:val="SingleTxtG"/>
        <w:tabs>
          <w:tab w:val="left" w:pos="2268"/>
        </w:tabs>
        <w:ind w:left="2268" w:hanging="1134"/>
      </w:pPr>
      <w:r w:rsidRPr="00741695">
        <w:t>28.3.5</w:t>
      </w:r>
      <w:r w:rsidRPr="00741695">
        <w:tab/>
      </w:r>
      <w:r w:rsidRPr="00741695">
        <w:tab/>
        <w:t>Insert the following new second sentence:</w:t>
      </w:r>
    </w:p>
    <w:p w14:paraId="04815BFA" w14:textId="77777777" w:rsidR="00095AB4" w:rsidRPr="00741695" w:rsidRDefault="00095AB4" w:rsidP="00921EAE">
      <w:pPr>
        <w:pStyle w:val="SingleTxtG"/>
        <w:tabs>
          <w:tab w:val="left" w:pos="2268"/>
        </w:tabs>
        <w:ind w:left="2268"/>
      </w:pPr>
      <w:r w:rsidRPr="00741695">
        <w:t xml:space="preserve">“For all type of </w:t>
      </w:r>
      <w:proofErr w:type="spellStart"/>
      <w:r w:rsidRPr="00741695">
        <w:t>packagings</w:t>
      </w:r>
      <w:proofErr w:type="spellEnd"/>
      <w:r w:rsidRPr="00741695">
        <w:t xml:space="preserve"> up to 50 kg for solids or 200 kg/225 litres for liquids and for IBCs up to 1250 litres for liquids, a standard heat loss per unit of mass is given in Table 28.4. For other </w:t>
      </w:r>
      <w:proofErr w:type="spellStart"/>
      <w:r w:rsidRPr="00741695">
        <w:t>packagings</w:t>
      </w:r>
      <w:proofErr w:type="spellEnd"/>
      <w:r w:rsidRPr="00741695">
        <w:t>, IBC’s or tanks or when there is a need for a heat loss value that deviates from the one as given in Table 28.4, the actual heat loss value per unit of mass has to be determined.”.</w:t>
      </w:r>
    </w:p>
    <w:p w14:paraId="71B23360" w14:textId="77777777" w:rsidR="00095AB4" w:rsidRPr="00741695" w:rsidRDefault="00095AB4" w:rsidP="00921EAE">
      <w:pPr>
        <w:pStyle w:val="SingleTxtG"/>
        <w:tabs>
          <w:tab w:val="left" w:pos="2268"/>
        </w:tabs>
        <w:ind w:left="2268" w:hanging="1134"/>
      </w:pPr>
      <w:r w:rsidRPr="00741695">
        <w:tab/>
        <w:t xml:space="preserve">Amend the sentence currently starting with “The heat loss per unit of mass” as follows: </w:t>
      </w:r>
    </w:p>
    <w:p w14:paraId="5C69D47F" w14:textId="77777777" w:rsidR="00095AB4" w:rsidRPr="00D212ED" w:rsidRDefault="00095AB4" w:rsidP="00921EAE">
      <w:pPr>
        <w:pStyle w:val="SingleTxtG"/>
        <w:tabs>
          <w:tab w:val="left" w:pos="2268"/>
        </w:tabs>
        <w:ind w:left="2268"/>
      </w:pPr>
      <w:r w:rsidRPr="00D212ED">
        <w:t>Amend the beginning to read “In this case, the heat loss per unit of mass of the package…”</w:t>
      </w:r>
    </w:p>
    <w:p w14:paraId="6309F842" w14:textId="77777777" w:rsidR="00095AB4" w:rsidRPr="00D212ED" w:rsidRDefault="00095AB4" w:rsidP="00921EAE">
      <w:pPr>
        <w:pStyle w:val="SingleTxtG"/>
        <w:tabs>
          <w:tab w:val="left" w:pos="2268"/>
        </w:tabs>
        <w:ind w:left="2268"/>
      </w:pPr>
      <w:r w:rsidRPr="00D212ED">
        <w:t>Replace “…heat transfer in the substance and the heat transfer through the packaging to the environment)” by “…heat transfer in the substance, the heat transfer through the packaging and heat transfer from the outer wall of the packaging to the environment</w:t>
      </w:r>
      <w:r w:rsidR="00EE3846" w:rsidRPr="00D212ED">
        <w:t xml:space="preserve"> (see note</w:t>
      </w:r>
      <w:proofErr w:type="gramStart"/>
      <w:r w:rsidR="00EE3846" w:rsidRPr="00D212ED">
        <w:t>)</w:t>
      </w:r>
      <w:r w:rsidRPr="00D212ED">
        <w:t>)…</w:t>
      </w:r>
      <w:proofErr w:type="gramEnd"/>
      <w:r w:rsidRPr="00D212ED">
        <w:t>”.</w:t>
      </w:r>
    </w:p>
    <w:p w14:paraId="1085D9F1" w14:textId="77777777" w:rsidR="00095AB4" w:rsidRPr="00D212ED" w:rsidRDefault="00095AB4" w:rsidP="00921EAE">
      <w:pPr>
        <w:pStyle w:val="SingleTxtG"/>
        <w:tabs>
          <w:tab w:val="left" w:pos="2268"/>
        </w:tabs>
        <w:ind w:left="2268"/>
      </w:pPr>
      <w:r w:rsidRPr="00D212ED">
        <w:t xml:space="preserve">Insert a </w:t>
      </w:r>
      <w:r w:rsidR="00EE3846" w:rsidRPr="00D212ED">
        <w:t xml:space="preserve">note </w:t>
      </w:r>
      <w:r w:rsidRPr="00D212ED">
        <w:t>to read as follows:</w:t>
      </w:r>
    </w:p>
    <w:p w14:paraId="7A069D7B" w14:textId="77777777" w:rsidR="00095AB4" w:rsidRPr="00741695" w:rsidRDefault="00095AB4" w:rsidP="00921EAE">
      <w:pPr>
        <w:pStyle w:val="SingleTxtG"/>
        <w:tabs>
          <w:tab w:val="left" w:pos="2268"/>
        </w:tabs>
        <w:ind w:left="2268"/>
        <w:rPr>
          <w:i/>
          <w:iCs/>
        </w:rPr>
      </w:pPr>
      <w:r w:rsidRPr="00D212ED">
        <w:rPr>
          <w:i/>
          <w:iCs/>
        </w:rPr>
        <w:t>“</w:t>
      </w:r>
      <w:r w:rsidR="00EE3846" w:rsidRPr="00D212ED">
        <w:rPr>
          <w:b/>
          <w:bCs/>
          <w:i/>
          <w:iCs/>
        </w:rPr>
        <w:t>NOTE:</w:t>
      </w:r>
      <w:r w:rsidR="00921EAE" w:rsidRPr="00D212ED">
        <w:rPr>
          <w:i/>
          <w:iCs/>
        </w:rPr>
        <w:tab/>
      </w:r>
      <w:r w:rsidRPr="00D212ED">
        <w:rPr>
          <w:i/>
          <w:iCs/>
        </w:rPr>
        <w:t>For calculations an external heat transfer coefficient (i.e. heat transfer from the outer wall of the packaging to the environment) of 5 W/m</w:t>
      </w:r>
      <w:proofErr w:type="gramStart"/>
      <w:r w:rsidRPr="00D212ED">
        <w:rPr>
          <w:i/>
          <w:iCs/>
          <w:vertAlign w:val="superscript"/>
        </w:rPr>
        <w:t>2</w:t>
      </w:r>
      <w:r w:rsidRPr="00D212ED">
        <w:rPr>
          <w:i/>
          <w:iCs/>
        </w:rPr>
        <w:t>.K</w:t>
      </w:r>
      <w:proofErr w:type="gramEnd"/>
      <w:r w:rsidRPr="00D212ED">
        <w:rPr>
          <w:i/>
          <w:iCs/>
        </w:rPr>
        <w:t xml:space="preserve"> can be used.”.</w:t>
      </w:r>
    </w:p>
    <w:p w14:paraId="6AD47AF5" w14:textId="77777777" w:rsidR="00095AB4" w:rsidRPr="00741695" w:rsidRDefault="00095AB4" w:rsidP="00921EAE">
      <w:pPr>
        <w:pStyle w:val="SingleTxtG"/>
        <w:tabs>
          <w:tab w:val="left" w:pos="2268"/>
        </w:tabs>
        <w:ind w:left="2268" w:hanging="1134"/>
      </w:pPr>
      <w:r w:rsidRPr="00741695">
        <w:t>28.3.6</w:t>
      </w:r>
      <w:r w:rsidRPr="00741695">
        <w:tab/>
        <w:t>In the first sentence, replace “and surroundings” by “and its surroundings”.</w:t>
      </w:r>
    </w:p>
    <w:p w14:paraId="747DEBD5" w14:textId="77777777" w:rsidR="00095AB4" w:rsidRPr="00741695" w:rsidRDefault="00095AB4" w:rsidP="00921EAE">
      <w:pPr>
        <w:pStyle w:val="SingleTxtG"/>
        <w:tabs>
          <w:tab w:val="left" w:pos="2268"/>
        </w:tabs>
        <w:ind w:left="2268" w:hanging="1134"/>
      </w:pPr>
      <w:r w:rsidRPr="00741695">
        <w:tab/>
        <w:t>Insert the following new fourth sentence: “For solids for example, the packaging may be filled with dense soda ash (apparent density greater than 1 g/cm</w:t>
      </w:r>
      <w:r w:rsidRPr="00741695">
        <w:rPr>
          <w:vertAlign w:val="superscript"/>
        </w:rPr>
        <w:t>3</w:t>
      </w:r>
      <w:r w:rsidRPr="00741695">
        <w:t>) and this is heated to about 80 °C.”.</w:t>
      </w:r>
    </w:p>
    <w:p w14:paraId="1DCD3AB3" w14:textId="77777777" w:rsidR="00095AB4" w:rsidRPr="00095AB4" w:rsidRDefault="00095AB4" w:rsidP="00921EAE">
      <w:pPr>
        <w:pStyle w:val="SingleTxtG"/>
        <w:tabs>
          <w:tab w:val="left" w:pos="2268"/>
        </w:tabs>
        <w:ind w:left="2268" w:hanging="1134"/>
        <w:rPr>
          <w:i/>
          <w:iCs/>
        </w:rPr>
      </w:pPr>
      <w:r w:rsidRPr="00095AB4">
        <w:t>28.3.7</w:t>
      </w:r>
      <w:r w:rsidRPr="00095AB4">
        <w:tab/>
        <w:t xml:space="preserve">Amend the beginning of the first sentence to read as follows: “Standard heat loss characteristics of packages, IBCs and tanks are given in Table 28.4.”. </w:t>
      </w:r>
      <w:r w:rsidRPr="00095AB4">
        <w:rPr>
          <w:i/>
          <w:iCs/>
        </w:rPr>
        <w:t>(The second sentence remains unchanged).</w:t>
      </w:r>
    </w:p>
    <w:p w14:paraId="6551A34A" w14:textId="77777777" w:rsidR="009177BD" w:rsidRDefault="00095AB4" w:rsidP="00904ADC">
      <w:pPr>
        <w:pStyle w:val="SingleTxtG"/>
        <w:keepNext/>
        <w:keepLines/>
        <w:tabs>
          <w:tab w:val="left" w:pos="2268"/>
        </w:tabs>
      </w:pPr>
      <w:r>
        <w:tab/>
      </w:r>
      <w:r w:rsidRPr="00741695">
        <w:t xml:space="preserve">Replace current table 28.4 and its related notes with the following: </w:t>
      </w:r>
    </w:p>
    <w:p w14:paraId="07F24BEA" w14:textId="77777777" w:rsidR="009177BD" w:rsidRPr="00921EAE" w:rsidRDefault="009177BD" w:rsidP="00904ADC">
      <w:pPr>
        <w:pStyle w:val="SingleTxtG"/>
        <w:keepNext/>
        <w:keepLines/>
        <w:tabs>
          <w:tab w:val="left" w:pos="1985"/>
        </w:tabs>
        <w:jc w:val="center"/>
        <w:rPr>
          <w:sz w:val="18"/>
          <w:szCs w:val="18"/>
        </w:rPr>
      </w:pPr>
      <w:r w:rsidRPr="00921EAE">
        <w:rPr>
          <w:b/>
          <w:bCs/>
        </w:rPr>
        <w:t>“Table 28.4: Heat loss per unit mass from packages, IBCs and tanks</w:t>
      </w:r>
    </w:p>
    <w:tbl>
      <w:tblPr>
        <w:tblW w:w="7173" w:type="dxa"/>
        <w:tblInd w:w="1134" w:type="dxa"/>
        <w:tblCellMar>
          <w:left w:w="120" w:type="dxa"/>
          <w:right w:w="120" w:type="dxa"/>
        </w:tblCellMar>
        <w:tblLook w:val="0000" w:firstRow="0" w:lastRow="0" w:firstColumn="0" w:lastColumn="0" w:noHBand="0" w:noVBand="0"/>
      </w:tblPr>
      <w:tblGrid>
        <w:gridCol w:w="1843"/>
        <w:gridCol w:w="2409"/>
        <w:gridCol w:w="834"/>
        <w:gridCol w:w="2087"/>
      </w:tblGrid>
      <w:tr w:rsidR="009177BD" w:rsidRPr="00904ADC" w14:paraId="1F64D316" w14:textId="77777777" w:rsidTr="00921EAE">
        <w:trPr>
          <w:cantSplit/>
        </w:trPr>
        <w:tc>
          <w:tcPr>
            <w:tcW w:w="1285" w:type="pct"/>
            <w:tcBorders>
              <w:top w:val="single" w:sz="8" w:space="0" w:color="auto"/>
              <w:bottom w:val="single" w:sz="8" w:space="0" w:color="auto"/>
            </w:tcBorders>
          </w:tcPr>
          <w:p w14:paraId="75571769" w14:textId="77777777" w:rsidR="009177BD" w:rsidRPr="00904ADC" w:rsidRDefault="009177BD" w:rsidP="00904ADC">
            <w:pPr>
              <w:pStyle w:val="MTabTxt"/>
              <w:keepNext/>
              <w:keepLines/>
              <w:rPr>
                <w:rFonts w:asciiTheme="majorBidi" w:hAnsiTheme="majorBidi" w:cstheme="majorBidi"/>
                <w:b/>
                <w:bCs/>
                <w:sz w:val="20"/>
                <w:szCs w:val="20"/>
              </w:rPr>
            </w:pPr>
            <w:r w:rsidRPr="00904ADC">
              <w:rPr>
                <w:rFonts w:asciiTheme="majorBidi" w:hAnsiTheme="majorBidi" w:cstheme="majorBidi"/>
                <w:b/>
                <w:bCs/>
                <w:sz w:val="20"/>
                <w:szCs w:val="20"/>
              </w:rPr>
              <w:t>Type of receptacle</w:t>
            </w:r>
          </w:p>
        </w:tc>
        <w:tc>
          <w:tcPr>
            <w:tcW w:w="1679" w:type="pct"/>
            <w:tcBorders>
              <w:top w:val="single" w:sz="8" w:space="0" w:color="auto"/>
              <w:bottom w:val="single" w:sz="8" w:space="0" w:color="auto"/>
            </w:tcBorders>
          </w:tcPr>
          <w:p w14:paraId="292A1B52" w14:textId="77777777" w:rsidR="009177BD" w:rsidRPr="00904ADC" w:rsidRDefault="009177BD" w:rsidP="00904ADC">
            <w:pPr>
              <w:pStyle w:val="MTabTxt"/>
              <w:keepNext/>
              <w:keepLines/>
              <w:jc w:val="right"/>
              <w:rPr>
                <w:rFonts w:asciiTheme="majorBidi" w:hAnsiTheme="majorBidi" w:cstheme="majorBidi"/>
                <w:b/>
                <w:bCs/>
                <w:sz w:val="20"/>
                <w:szCs w:val="20"/>
              </w:rPr>
            </w:pPr>
            <w:r w:rsidRPr="00904ADC">
              <w:rPr>
                <w:rFonts w:asciiTheme="majorBidi" w:hAnsiTheme="majorBidi" w:cstheme="majorBidi"/>
                <w:b/>
                <w:bCs/>
                <w:sz w:val="20"/>
                <w:szCs w:val="20"/>
              </w:rPr>
              <w:t>Normal capacity (litres)</w:t>
            </w:r>
          </w:p>
        </w:tc>
        <w:tc>
          <w:tcPr>
            <w:tcW w:w="581" w:type="pct"/>
            <w:tcBorders>
              <w:top w:val="single" w:sz="8" w:space="0" w:color="auto"/>
              <w:bottom w:val="single" w:sz="8" w:space="0" w:color="auto"/>
            </w:tcBorders>
          </w:tcPr>
          <w:p w14:paraId="4F66DC26" w14:textId="77777777" w:rsidR="009177BD" w:rsidRPr="00904ADC" w:rsidRDefault="009177BD" w:rsidP="00904ADC">
            <w:pPr>
              <w:pStyle w:val="MTabTxt"/>
              <w:keepNext/>
              <w:keepLines/>
              <w:rPr>
                <w:rFonts w:asciiTheme="majorBidi" w:hAnsiTheme="majorBidi" w:cstheme="majorBidi"/>
                <w:b/>
                <w:bCs/>
                <w:sz w:val="20"/>
                <w:szCs w:val="20"/>
              </w:rPr>
            </w:pPr>
          </w:p>
        </w:tc>
        <w:tc>
          <w:tcPr>
            <w:tcW w:w="1455" w:type="pct"/>
            <w:tcBorders>
              <w:top w:val="single" w:sz="8" w:space="0" w:color="auto"/>
              <w:bottom w:val="single" w:sz="8" w:space="0" w:color="auto"/>
            </w:tcBorders>
          </w:tcPr>
          <w:p w14:paraId="381882F5" w14:textId="77777777" w:rsidR="009177BD" w:rsidRPr="00904ADC" w:rsidRDefault="009177BD" w:rsidP="00904ADC">
            <w:pPr>
              <w:pStyle w:val="MTabTxt"/>
              <w:keepNext/>
              <w:keepLines/>
              <w:jc w:val="right"/>
              <w:rPr>
                <w:rFonts w:asciiTheme="majorBidi" w:hAnsiTheme="majorBidi" w:cstheme="majorBidi"/>
                <w:b/>
                <w:bCs/>
                <w:sz w:val="20"/>
                <w:szCs w:val="20"/>
              </w:rPr>
            </w:pPr>
            <w:r w:rsidRPr="00904ADC">
              <w:rPr>
                <w:rFonts w:asciiTheme="majorBidi" w:hAnsiTheme="majorBidi" w:cstheme="majorBidi"/>
                <w:b/>
                <w:bCs/>
                <w:sz w:val="20"/>
                <w:szCs w:val="20"/>
              </w:rPr>
              <w:t xml:space="preserve">Heat loss per unit </w:t>
            </w:r>
            <w:r w:rsidRPr="00904ADC">
              <w:rPr>
                <w:rFonts w:asciiTheme="majorBidi" w:hAnsiTheme="majorBidi" w:cstheme="majorBidi"/>
                <w:b/>
                <w:bCs/>
                <w:sz w:val="20"/>
                <w:szCs w:val="20"/>
              </w:rPr>
              <w:br/>
              <w:t>mass, L (</w:t>
            </w:r>
            <w:proofErr w:type="spellStart"/>
            <w:r w:rsidRPr="00904ADC">
              <w:rPr>
                <w:rFonts w:asciiTheme="majorBidi" w:hAnsiTheme="majorBidi" w:cstheme="majorBidi"/>
                <w:b/>
                <w:bCs/>
                <w:sz w:val="20"/>
                <w:szCs w:val="20"/>
              </w:rPr>
              <w:t>mW</w:t>
            </w:r>
            <w:proofErr w:type="spellEnd"/>
            <w:r w:rsidRPr="00904ADC">
              <w:rPr>
                <w:rFonts w:asciiTheme="majorBidi" w:hAnsiTheme="majorBidi" w:cstheme="majorBidi"/>
                <w:b/>
                <w:bCs/>
                <w:sz w:val="20"/>
                <w:szCs w:val="20"/>
              </w:rPr>
              <w:t>/K.kg)</w:t>
            </w:r>
          </w:p>
        </w:tc>
      </w:tr>
      <w:tr w:rsidR="009177BD" w:rsidRPr="00904ADC" w14:paraId="33A988B9" w14:textId="77777777" w:rsidTr="00921EAE">
        <w:trPr>
          <w:cantSplit/>
        </w:trPr>
        <w:tc>
          <w:tcPr>
            <w:tcW w:w="1285" w:type="pct"/>
          </w:tcPr>
          <w:p w14:paraId="7A02C3E9" w14:textId="77777777" w:rsidR="009177BD" w:rsidRPr="00904ADC" w:rsidRDefault="009177BD" w:rsidP="007C449B">
            <w:pPr>
              <w:pStyle w:val="MTabTxt"/>
              <w:keepNext/>
              <w:keepLines/>
              <w:rPr>
                <w:rFonts w:asciiTheme="majorBidi" w:hAnsiTheme="majorBidi" w:cstheme="majorBidi"/>
                <w:sz w:val="20"/>
                <w:szCs w:val="20"/>
              </w:rPr>
            </w:pPr>
            <w:r w:rsidRPr="00904ADC">
              <w:rPr>
                <w:rFonts w:asciiTheme="majorBidi" w:hAnsiTheme="majorBidi" w:cstheme="majorBidi"/>
                <w:b/>
                <w:bCs/>
                <w:sz w:val="20"/>
                <w:szCs w:val="20"/>
              </w:rPr>
              <w:t>For liquids:</w:t>
            </w:r>
          </w:p>
        </w:tc>
        <w:tc>
          <w:tcPr>
            <w:tcW w:w="1679" w:type="pct"/>
          </w:tcPr>
          <w:p w14:paraId="5722C870" w14:textId="77777777" w:rsidR="009177BD" w:rsidRPr="00904ADC" w:rsidRDefault="009177BD" w:rsidP="007C449B">
            <w:pPr>
              <w:pStyle w:val="MTabTxt"/>
              <w:keepNext/>
              <w:keepLines/>
              <w:jc w:val="right"/>
              <w:rPr>
                <w:rFonts w:asciiTheme="majorBidi" w:hAnsiTheme="majorBidi" w:cstheme="majorBidi"/>
                <w:sz w:val="20"/>
                <w:szCs w:val="20"/>
              </w:rPr>
            </w:pPr>
          </w:p>
        </w:tc>
        <w:tc>
          <w:tcPr>
            <w:tcW w:w="581" w:type="pct"/>
          </w:tcPr>
          <w:p w14:paraId="6C706832" w14:textId="77777777" w:rsidR="009177BD" w:rsidRPr="00904ADC" w:rsidRDefault="009177BD" w:rsidP="007C449B">
            <w:pPr>
              <w:pStyle w:val="MTabTxt"/>
              <w:keepNext/>
              <w:keepLines/>
              <w:rPr>
                <w:rFonts w:asciiTheme="majorBidi" w:hAnsiTheme="majorBidi" w:cstheme="majorBidi"/>
                <w:sz w:val="20"/>
                <w:szCs w:val="20"/>
              </w:rPr>
            </w:pPr>
          </w:p>
        </w:tc>
        <w:tc>
          <w:tcPr>
            <w:tcW w:w="1455" w:type="pct"/>
            <w:vAlign w:val="bottom"/>
          </w:tcPr>
          <w:p w14:paraId="2F5A3B81" w14:textId="77777777" w:rsidR="009177BD" w:rsidRPr="00904ADC" w:rsidRDefault="009177BD" w:rsidP="007C449B">
            <w:pPr>
              <w:pStyle w:val="MTabTxt"/>
              <w:keepNext/>
              <w:keepLines/>
              <w:jc w:val="right"/>
              <w:rPr>
                <w:rFonts w:asciiTheme="majorBidi" w:hAnsiTheme="majorBidi" w:cstheme="majorBidi"/>
                <w:sz w:val="20"/>
                <w:szCs w:val="20"/>
              </w:rPr>
            </w:pPr>
          </w:p>
        </w:tc>
      </w:tr>
      <w:tr w:rsidR="009177BD" w:rsidRPr="00904ADC" w14:paraId="75B1F6D7" w14:textId="77777777" w:rsidTr="00921EAE">
        <w:trPr>
          <w:cantSplit/>
        </w:trPr>
        <w:tc>
          <w:tcPr>
            <w:tcW w:w="1285" w:type="pct"/>
          </w:tcPr>
          <w:p w14:paraId="09EEF847" w14:textId="77777777" w:rsidR="009177BD" w:rsidRPr="00904ADC" w:rsidRDefault="009177BD" w:rsidP="00904ADC">
            <w:pPr>
              <w:pStyle w:val="MTabTxt"/>
              <w:keepNext/>
              <w:keepLines/>
              <w:spacing w:before="20" w:after="20"/>
              <w:rPr>
                <w:rFonts w:asciiTheme="majorBidi" w:hAnsiTheme="majorBidi" w:cstheme="majorBidi"/>
                <w:sz w:val="20"/>
                <w:szCs w:val="20"/>
              </w:rPr>
            </w:pPr>
            <w:proofErr w:type="spellStart"/>
            <w:r w:rsidRPr="00904ADC">
              <w:rPr>
                <w:rFonts w:asciiTheme="majorBidi" w:hAnsiTheme="majorBidi" w:cstheme="majorBidi"/>
                <w:sz w:val="20"/>
                <w:szCs w:val="20"/>
              </w:rPr>
              <w:t>Packagings</w:t>
            </w:r>
            <w:proofErr w:type="spellEnd"/>
          </w:p>
        </w:tc>
        <w:tc>
          <w:tcPr>
            <w:tcW w:w="1679" w:type="pct"/>
          </w:tcPr>
          <w:p w14:paraId="2FB771D1" w14:textId="77777777" w:rsidR="009177BD" w:rsidRPr="00904ADC" w:rsidRDefault="009177BD" w:rsidP="00904ADC">
            <w:pPr>
              <w:pStyle w:val="MTabTxt"/>
              <w:keepNext/>
              <w:keepLines/>
              <w:spacing w:before="20" w:after="20"/>
              <w:jc w:val="right"/>
              <w:rPr>
                <w:rFonts w:asciiTheme="majorBidi" w:hAnsiTheme="majorBidi" w:cstheme="majorBidi"/>
                <w:sz w:val="20"/>
                <w:szCs w:val="20"/>
              </w:rPr>
            </w:pPr>
            <w:r w:rsidRPr="00904ADC">
              <w:rPr>
                <w:rFonts w:asciiTheme="majorBidi" w:hAnsiTheme="majorBidi" w:cstheme="majorBidi"/>
                <w:sz w:val="20"/>
                <w:szCs w:val="20"/>
              </w:rPr>
              <w:t>up to 200 kg/225 l</w:t>
            </w:r>
          </w:p>
        </w:tc>
        <w:tc>
          <w:tcPr>
            <w:tcW w:w="581" w:type="pct"/>
          </w:tcPr>
          <w:p w14:paraId="2B963758" w14:textId="77777777" w:rsidR="009177BD" w:rsidRPr="00904ADC" w:rsidRDefault="009177BD" w:rsidP="00904ADC">
            <w:pPr>
              <w:pStyle w:val="MTabTxt"/>
              <w:keepNext/>
              <w:keepLines/>
              <w:spacing w:before="20" w:after="20"/>
              <w:rPr>
                <w:rFonts w:asciiTheme="majorBidi" w:hAnsiTheme="majorBidi" w:cstheme="majorBidi"/>
                <w:sz w:val="20"/>
                <w:szCs w:val="20"/>
              </w:rPr>
            </w:pPr>
          </w:p>
        </w:tc>
        <w:tc>
          <w:tcPr>
            <w:tcW w:w="1455" w:type="pct"/>
            <w:vAlign w:val="bottom"/>
          </w:tcPr>
          <w:p w14:paraId="3CD5EB55" w14:textId="77777777" w:rsidR="009177BD" w:rsidRPr="00904ADC" w:rsidRDefault="009177BD" w:rsidP="00904ADC">
            <w:pPr>
              <w:pStyle w:val="MTabTxt"/>
              <w:keepNext/>
              <w:keepLines/>
              <w:spacing w:before="20" w:after="20"/>
              <w:jc w:val="right"/>
              <w:rPr>
                <w:rFonts w:asciiTheme="majorBidi" w:hAnsiTheme="majorBidi" w:cstheme="majorBidi"/>
                <w:sz w:val="20"/>
                <w:szCs w:val="20"/>
              </w:rPr>
            </w:pPr>
            <w:r w:rsidRPr="00904ADC">
              <w:rPr>
                <w:rFonts w:asciiTheme="majorBidi" w:hAnsiTheme="majorBidi" w:cstheme="majorBidi"/>
                <w:sz w:val="20"/>
                <w:szCs w:val="20"/>
              </w:rPr>
              <w:t>40</w:t>
            </w:r>
            <w:r w:rsidRPr="00904ADC">
              <w:rPr>
                <w:rFonts w:asciiTheme="majorBidi" w:hAnsiTheme="majorBidi" w:cstheme="majorBidi"/>
                <w:sz w:val="20"/>
                <w:szCs w:val="20"/>
                <w:vertAlign w:val="superscript"/>
              </w:rPr>
              <w:t>b</w:t>
            </w:r>
          </w:p>
        </w:tc>
      </w:tr>
      <w:tr w:rsidR="009177BD" w:rsidRPr="00904ADC" w14:paraId="7FE9CC26" w14:textId="77777777" w:rsidTr="00921EAE">
        <w:trPr>
          <w:cantSplit/>
        </w:trPr>
        <w:tc>
          <w:tcPr>
            <w:tcW w:w="1285" w:type="pct"/>
          </w:tcPr>
          <w:p w14:paraId="47578393" w14:textId="77777777" w:rsidR="009177BD" w:rsidRPr="00904ADC" w:rsidRDefault="009177BD" w:rsidP="00904ADC">
            <w:pPr>
              <w:pStyle w:val="MTabTxt"/>
              <w:keepNext/>
              <w:keepLines/>
              <w:spacing w:before="20" w:after="20"/>
              <w:rPr>
                <w:rFonts w:asciiTheme="majorBidi" w:hAnsiTheme="majorBidi" w:cstheme="majorBidi"/>
                <w:sz w:val="20"/>
                <w:szCs w:val="20"/>
              </w:rPr>
            </w:pPr>
            <w:proofErr w:type="spellStart"/>
            <w:r w:rsidRPr="00904ADC">
              <w:rPr>
                <w:rFonts w:asciiTheme="majorBidi" w:hAnsiTheme="majorBidi" w:cstheme="majorBidi"/>
                <w:sz w:val="20"/>
                <w:szCs w:val="20"/>
              </w:rPr>
              <w:t>Packagings</w:t>
            </w:r>
            <w:proofErr w:type="spellEnd"/>
          </w:p>
        </w:tc>
        <w:tc>
          <w:tcPr>
            <w:tcW w:w="1679" w:type="pct"/>
          </w:tcPr>
          <w:p w14:paraId="035F86C8" w14:textId="77777777" w:rsidR="009177BD" w:rsidRPr="00904ADC" w:rsidRDefault="009177BD" w:rsidP="00904ADC">
            <w:pPr>
              <w:pStyle w:val="MTabTxt"/>
              <w:keepNext/>
              <w:keepLines/>
              <w:spacing w:before="20" w:after="20"/>
              <w:jc w:val="right"/>
              <w:rPr>
                <w:rFonts w:asciiTheme="majorBidi" w:hAnsiTheme="majorBidi" w:cstheme="majorBidi"/>
                <w:sz w:val="20"/>
                <w:szCs w:val="20"/>
              </w:rPr>
            </w:pPr>
            <w:r w:rsidRPr="00904ADC">
              <w:rPr>
                <w:rFonts w:asciiTheme="majorBidi" w:hAnsiTheme="majorBidi" w:cstheme="majorBidi"/>
                <w:sz w:val="20"/>
                <w:szCs w:val="20"/>
              </w:rPr>
              <w:t>larger than 200 kg/225 l</w:t>
            </w:r>
          </w:p>
        </w:tc>
        <w:tc>
          <w:tcPr>
            <w:tcW w:w="581" w:type="pct"/>
          </w:tcPr>
          <w:p w14:paraId="02C25B1C" w14:textId="77777777" w:rsidR="009177BD" w:rsidRPr="00904ADC" w:rsidRDefault="009177BD" w:rsidP="00904ADC">
            <w:pPr>
              <w:pStyle w:val="MTabTxt"/>
              <w:keepNext/>
              <w:keepLines/>
              <w:spacing w:before="20" w:after="20"/>
              <w:rPr>
                <w:rFonts w:asciiTheme="majorBidi" w:hAnsiTheme="majorBidi" w:cstheme="majorBidi"/>
                <w:sz w:val="20"/>
                <w:szCs w:val="20"/>
              </w:rPr>
            </w:pPr>
          </w:p>
        </w:tc>
        <w:tc>
          <w:tcPr>
            <w:tcW w:w="1455" w:type="pct"/>
            <w:vAlign w:val="bottom"/>
          </w:tcPr>
          <w:p w14:paraId="752DFA57" w14:textId="77777777" w:rsidR="009177BD" w:rsidRPr="00904ADC" w:rsidRDefault="009177BD" w:rsidP="00904ADC">
            <w:pPr>
              <w:pStyle w:val="MTabTxt"/>
              <w:keepNext/>
              <w:keepLines/>
              <w:spacing w:before="20" w:after="20"/>
              <w:jc w:val="right"/>
              <w:rPr>
                <w:rFonts w:asciiTheme="majorBidi" w:hAnsiTheme="majorBidi" w:cstheme="majorBidi"/>
                <w:sz w:val="20"/>
                <w:szCs w:val="20"/>
              </w:rPr>
            </w:pPr>
            <w:r w:rsidRPr="00904ADC">
              <w:rPr>
                <w:rFonts w:asciiTheme="majorBidi" w:hAnsiTheme="majorBidi" w:cstheme="majorBidi"/>
                <w:sz w:val="20"/>
                <w:szCs w:val="20"/>
              </w:rPr>
              <w:t xml:space="preserve">no standard </w:t>
            </w:r>
            <w:proofErr w:type="spellStart"/>
            <w:r w:rsidRPr="00904ADC">
              <w:rPr>
                <w:rFonts w:asciiTheme="majorBidi" w:hAnsiTheme="majorBidi" w:cstheme="majorBidi"/>
                <w:sz w:val="20"/>
                <w:szCs w:val="20"/>
              </w:rPr>
              <w:t>value</w:t>
            </w:r>
            <w:r w:rsidRPr="00904ADC">
              <w:rPr>
                <w:rFonts w:asciiTheme="majorBidi" w:hAnsiTheme="majorBidi" w:cstheme="majorBidi"/>
                <w:sz w:val="20"/>
                <w:szCs w:val="20"/>
                <w:vertAlign w:val="superscript"/>
              </w:rPr>
              <w:t>c</w:t>
            </w:r>
            <w:proofErr w:type="spellEnd"/>
          </w:p>
        </w:tc>
      </w:tr>
      <w:tr w:rsidR="009177BD" w:rsidRPr="00904ADC" w14:paraId="5D4D460C" w14:textId="77777777" w:rsidTr="00921EAE">
        <w:trPr>
          <w:cantSplit/>
        </w:trPr>
        <w:tc>
          <w:tcPr>
            <w:tcW w:w="1285" w:type="pct"/>
          </w:tcPr>
          <w:p w14:paraId="4749B7FA" w14:textId="77777777" w:rsidR="009177BD" w:rsidRPr="00904ADC" w:rsidRDefault="009177BD" w:rsidP="00904ADC">
            <w:pPr>
              <w:pStyle w:val="MTabTxt"/>
              <w:keepNext/>
              <w:keepLines/>
              <w:spacing w:before="20" w:after="20"/>
              <w:rPr>
                <w:rFonts w:asciiTheme="majorBidi" w:hAnsiTheme="majorBidi" w:cstheme="majorBidi"/>
                <w:sz w:val="20"/>
                <w:szCs w:val="20"/>
              </w:rPr>
            </w:pPr>
            <w:r w:rsidRPr="00904ADC">
              <w:rPr>
                <w:rFonts w:asciiTheme="majorBidi" w:hAnsiTheme="majorBidi" w:cstheme="majorBidi"/>
                <w:sz w:val="20"/>
                <w:szCs w:val="20"/>
              </w:rPr>
              <w:t>IBCs</w:t>
            </w:r>
          </w:p>
        </w:tc>
        <w:tc>
          <w:tcPr>
            <w:tcW w:w="1679" w:type="pct"/>
          </w:tcPr>
          <w:p w14:paraId="7223DA7E" w14:textId="77777777" w:rsidR="009177BD" w:rsidRPr="00904ADC" w:rsidRDefault="009177BD" w:rsidP="00904ADC">
            <w:pPr>
              <w:pStyle w:val="MTabTxt"/>
              <w:keepNext/>
              <w:keepLines/>
              <w:spacing w:before="20" w:after="20"/>
              <w:jc w:val="right"/>
              <w:rPr>
                <w:rFonts w:asciiTheme="majorBidi" w:hAnsiTheme="majorBidi" w:cstheme="majorBidi"/>
                <w:sz w:val="20"/>
                <w:szCs w:val="20"/>
              </w:rPr>
            </w:pPr>
            <w:r w:rsidRPr="00904ADC">
              <w:rPr>
                <w:rFonts w:asciiTheme="majorBidi" w:hAnsiTheme="majorBidi" w:cstheme="majorBidi"/>
                <w:sz w:val="20"/>
                <w:szCs w:val="20"/>
              </w:rPr>
              <w:t>up to 1250 l</w:t>
            </w:r>
          </w:p>
        </w:tc>
        <w:tc>
          <w:tcPr>
            <w:tcW w:w="581" w:type="pct"/>
          </w:tcPr>
          <w:p w14:paraId="64820A75" w14:textId="77777777" w:rsidR="009177BD" w:rsidRPr="00904ADC" w:rsidRDefault="009177BD" w:rsidP="00904ADC">
            <w:pPr>
              <w:pStyle w:val="MTabTxt"/>
              <w:keepNext/>
              <w:keepLines/>
              <w:spacing w:before="20" w:after="20"/>
              <w:rPr>
                <w:rFonts w:asciiTheme="majorBidi" w:hAnsiTheme="majorBidi" w:cstheme="majorBidi"/>
                <w:sz w:val="20"/>
                <w:szCs w:val="20"/>
              </w:rPr>
            </w:pPr>
          </w:p>
        </w:tc>
        <w:tc>
          <w:tcPr>
            <w:tcW w:w="1455" w:type="pct"/>
            <w:vAlign w:val="bottom"/>
          </w:tcPr>
          <w:p w14:paraId="6BD81FEA" w14:textId="77777777" w:rsidR="009177BD" w:rsidRPr="00904ADC" w:rsidRDefault="009177BD" w:rsidP="00904ADC">
            <w:pPr>
              <w:pStyle w:val="MTabTxt"/>
              <w:keepNext/>
              <w:keepLines/>
              <w:spacing w:before="20" w:after="20"/>
              <w:jc w:val="right"/>
              <w:rPr>
                <w:rFonts w:asciiTheme="majorBidi" w:hAnsiTheme="majorBidi" w:cstheme="majorBidi"/>
                <w:sz w:val="20"/>
                <w:szCs w:val="20"/>
              </w:rPr>
            </w:pPr>
            <w:r w:rsidRPr="00904ADC">
              <w:rPr>
                <w:rFonts w:asciiTheme="majorBidi" w:hAnsiTheme="majorBidi" w:cstheme="majorBidi"/>
                <w:sz w:val="20"/>
                <w:szCs w:val="20"/>
              </w:rPr>
              <w:t>30</w:t>
            </w:r>
          </w:p>
        </w:tc>
      </w:tr>
      <w:tr w:rsidR="009177BD" w:rsidRPr="00904ADC" w14:paraId="70CDB059" w14:textId="77777777" w:rsidTr="00921EAE">
        <w:trPr>
          <w:cantSplit/>
        </w:trPr>
        <w:tc>
          <w:tcPr>
            <w:tcW w:w="1285" w:type="pct"/>
          </w:tcPr>
          <w:p w14:paraId="788525E1" w14:textId="77777777" w:rsidR="009177BD" w:rsidRPr="00904ADC" w:rsidRDefault="00921EAE" w:rsidP="00904ADC">
            <w:pPr>
              <w:pStyle w:val="MTabTxt"/>
              <w:keepNext/>
              <w:keepLines/>
              <w:spacing w:before="20" w:after="20"/>
              <w:rPr>
                <w:rFonts w:asciiTheme="majorBidi" w:hAnsiTheme="majorBidi" w:cstheme="majorBidi"/>
                <w:sz w:val="20"/>
                <w:szCs w:val="20"/>
              </w:rPr>
            </w:pPr>
            <w:r w:rsidRPr="00904ADC">
              <w:rPr>
                <w:rFonts w:asciiTheme="majorBidi" w:hAnsiTheme="majorBidi" w:cstheme="majorBidi"/>
                <w:sz w:val="20"/>
                <w:szCs w:val="20"/>
              </w:rPr>
              <w:t>IBCs</w:t>
            </w:r>
          </w:p>
        </w:tc>
        <w:tc>
          <w:tcPr>
            <w:tcW w:w="1679" w:type="pct"/>
          </w:tcPr>
          <w:p w14:paraId="270B1BAE" w14:textId="77777777" w:rsidR="009177BD" w:rsidRPr="00904ADC" w:rsidRDefault="00921EAE" w:rsidP="00904ADC">
            <w:pPr>
              <w:pStyle w:val="MTabTxt"/>
              <w:keepNext/>
              <w:keepLines/>
              <w:spacing w:before="20" w:after="20"/>
              <w:jc w:val="right"/>
              <w:rPr>
                <w:rFonts w:asciiTheme="majorBidi" w:hAnsiTheme="majorBidi" w:cstheme="majorBidi"/>
                <w:sz w:val="20"/>
                <w:szCs w:val="20"/>
              </w:rPr>
            </w:pPr>
            <w:r w:rsidRPr="00904ADC">
              <w:rPr>
                <w:rFonts w:asciiTheme="majorBidi" w:hAnsiTheme="majorBidi" w:cstheme="majorBidi"/>
                <w:sz w:val="20"/>
                <w:szCs w:val="20"/>
              </w:rPr>
              <w:t>larger than 1250 l</w:t>
            </w:r>
          </w:p>
        </w:tc>
        <w:tc>
          <w:tcPr>
            <w:tcW w:w="581" w:type="pct"/>
          </w:tcPr>
          <w:p w14:paraId="7031AE43" w14:textId="77777777" w:rsidR="009177BD" w:rsidRPr="00904ADC" w:rsidRDefault="009177BD" w:rsidP="00904ADC">
            <w:pPr>
              <w:pStyle w:val="MTabTxt"/>
              <w:keepNext/>
              <w:keepLines/>
              <w:spacing w:before="20" w:after="20"/>
              <w:rPr>
                <w:rFonts w:asciiTheme="majorBidi" w:hAnsiTheme="majorBidi" w:cstheme="majorBidi"/>
                <w:sz w:val="20"/>
                <w:szCs w:val="20"/>
              </w:rPr>
            </w:pPr>
          </w:p>
        </w:tc>
        <w:tc>
          <w:tcPr>
            <w:tcW w:w="1455" w:type="pct"/>
            <w:vAlign w:val="bottom"/>
          </w:tcPr>
          <w:p w14:paraId="3CF72831" w14:textId="77777777" w:rsidR="009177BD" w:rsidRPr="00904ADC" w:rsidRDefault="00921EAE" w:rsidP="00904ADC">
            <w:pPr>
              <w:pStyle w:val="MTabTxt"/>
              <w:keepNext/>
              <w:keepLines/>
              <w:spacing w:before="20" w:after="20"/>
              <w:jc w:val="right"/>
              <w:rPr>
                <w:rFonts w:asciiTheme="majorBidi" w:hAnsiTheme="majorBidi" w:cstheme="majorBidi"/>
                <w:sz w:val="20"/>
                <w:szCs w:val="20"/>
              </w:rPr>
            </w:pPr>
            <w:r w:rsidRPr="00904ADC">
              <w:rPr>
                <w:rFonts w:asciiTheme="majorBidi" w:hAnsiTheme="majorBidi" w:cstheme="majorBidi"/>
                <w:sz w:val="20"/>
                <w:szCs w:val="20"/>
              </w:rPr>
              <w:t xml:space="preserve">no standard </w:t>
            </w:r>
            <w:proofErr w:type="spellStart"/>
            <w:r w:rsidRPr="00904ADC">
              <w:rPr>
                <w:rFonts w:asciiTheme="majorBidi" w:hAnsiTheme="majorBidi" w:cstheme="majorBidi"/>
                <w:sz w:val="20"/>
                <w:szCs w:val="20"/>
              </w:rPr>
              <w:t>value</w:t>
            </w:r>
            <w:r w:rsidRPr="00904ADC">
              <w:rPr>
                <w:rFonts w:asciiTheme="majorBidi" w:hAnsiTheme="majorBidi" w:cstheme="majorBidi"/>
                <w:sz w:val="20"/>
                <w:szCs w:val="20"/>
                <w:vertAlign w:val="superscript"/>
              </w:rPr>
              <w:t>c</w:t>
            </w:r>
            <w:proofErr w:type="spellEnd"/>
          </w:p>
        </w:tc>
      </w:tr>
      <w:tr w:rsidR="009177BD" w:rsidRPr="00904ADC" w14:paraId="26AD79D7" w14:textId="77777777" w:rsidTr="00921EAE">
        <w:trPr>
          <w:cantSplit/>
        </w:trPr>
        <w:tc>
          <w:tcPr>
            <w:tcW w:w="1285" w:type="pct"/>
          </w:tcPr>
          <w:p w14:paraId="1DF32A4A" w14:textId="77777777" w:rsidR="009177BD" w:rsidRPr="00904ADC" w:rsidRDefault="00921EAE" w:rsidP="00904ADC">
            <w:pPr>
              <w:pStyle w:val="MTabTxt"/>
              <w:keepNext/>
              <w:keepLines/>
              <w:spacing w:before="20" w:after="20"/>
              <w:rPr>
                <w:rFonts w:asciiTheme="majorBidi" w:hAnsiTheme="majorBidi" w:cstheme="majorBidi"/>
                <w:sz w:val="20"/>
                <w:szCs w:val="20"/>
              </w:rPr>
            </w:pPr>
            <w:r w:rsidRPr="00904ADC">
              <w:rPr>
                <w:rFonts w:asciiTheme="majorBidi" w:hAnsiTheme="majorBidi" w:cstheme="majorBidi"/>
                <w:sz w:val="20"/>
                <w:szCs w:val="20"/>
              </w:rPr>
              <w:t>Tanks</w:t>
            </w:r>
          </w:p>
        </w:tc>
        <w:tc>
          <w:tcPr>
            <w:tcW w:w="1679" w:type="pct"/>
          </w:tcPr>
          <w:p w14:paraId="14AA185A" w14:textId="77777777" w:rsidR="009177BD" w:rsidRPr="00904ADC" w:rsidRDefault="009177BD" w:rsidP="00904ADC">
            <w:pPr>
              <w:pStyle w:val="MTabTxt"/>
              <w:keepNext/>
              <w:keepLines/>
              <w:spacing w:before="20" w:after="20"/>
              <w:jc w:val="right"/>
              <w:rPr>
                <w:rFonts w:asciiTheme="majorBidi" w:hAnsiTheme="majorBidi" w:cstheme="majorBidi"/>
                <w:sz w:val="20"/>
                <w:szCs w:val="20"/>
              </w:rPr>
            </w:pPr>
          </w:p>
        </w:tc>
        <w:tc>
          <w:tcPr>
            <w:tcW w:w="581" w:type="pct"/>
          </w:tcPr>
          <w:p w14:paraId="5C74E266" w14:textId="77777777" w:rsidR="009177BD" w:rsidRPr="00904ADC" w:rsidRDefault="009177BD" w:rsidP="00904ADC">
            <w:pPr>
              <w:pStyle w:val="MTabTxt"/>
              <w:keepNext/>
              <w:keepLines/>
              <w:spacing w:before="20" w:after="20"/>
              <w:rPr>
                <w:rFonts w:asciiTheme="majorBidi" w:hAnsiTheme="majorBidi" w:cstheme="majorBidi"/>
                <w:sz w:val="20"/>
                <w:szCs w:val="20"/>
              </w:rPr>
            </w:pPr>
          </w:p>
        </w:tc>
        <w:tc>
          <w:tcPr>
            <w:tcW w:w="1455" w:type="pct"/>
            <w:vAlign w:val="bottom"/>
          </w:tcPr>
          <w:p w14:paraId="0B1E5B9E" w14:textId="77777777" w:rsidR="009177BD" w:rsidRPr="00904ADC" w:rsidRDefault="00921EAE" w:rsidP="00904ADC">
            <w:pPr>
              <w:pStyle w:val="MTabTxt"/>
              <w:keepNext/>
              <w:keepLines/>
              <w:spacing w:before="20" w:after="20"/>
              <w:jc w:val="right"/>
              <w:rPr>
                <w:rFonts w:asciiTheme="majorBidi" w:hAnsiTheme="majorBidi" w:cstheme="majorBidi"/>
                <w:sz w:val="20"/>
                <w:szCs w:val="20"/>
              </w:rPr>
            </w:pPr>
            <w:r w:rsidRPr="00904ADC">
              <w:rPr>
                <w:rFonts w:asciiTheme="majorBidi" w:hAnsiTheme="majorBidi" w:cstheme="majorBidi"/>
                <w:sz w:val="20"/>
                <w:szCs w:val="20"/>
              </w:rPr>
              <w:t xml:space="preserve">no standard </w:t>
            </w:r>
            <w:proofErr w:type="spellStart"/>
            <w:r w:rsidRPr="00904ADC">
              <w:rPr>
                <w:rFonts w:asciiTheme="majorBidi" w:hAnsiTheme="majorBidi" w:cstheme="majorBidi"/>
                <w:sz w:val="20"/>
                <w:szCs w:val="20"/>
              </w:rPr>
              <w:t>value</w:t>
            </w:r>
            <w:r w:rsidRPr="00904ADC">
              <w:rPr>
                <w:rFonts w:asciiTheme="majorBidi" w:hAnsiTheme="majorBidi" w:cstheme="majorBidi"/>
                <w:sz w:val="20"/>
                <w:szCs w:val="20"/>
                <w:vertAlign w:val="superscript"/>
              </w:rPr>
              <w:t>c</w:t>
            </w:r>
            <w:proofErr w:type="spellEnd"/>
          </w:p>
        </w:tc>
      </w:tr>
      <w:tr w:rsidR="00921EAE" w:rsidRPr="00904ADC" w14:paraId="1175C9F1" w14:textId="77777777" w:rsidTr="00921EAE">
        <w:trPr>
          <w:cantSplit/>
        </w:trPr>
        <w:tc>
          <w:tcPr>
            <w:tcW w:w="1285" w:type="pct"/>
          </w:tcPr>
          <w:p w14:paraId="682804D8" w14:textId="77777777" w:rsidR="00921EAE" w:rsidRPr="00904ADC" w:rsidRDefault="00921EAE" w:rsidP="00904ADC">
            <w:pPr>
              <w:pStyle w:val="MTabTxt"/>
              <w:keepNext/>
              <w:keepLines/>
              <w:spacing w:before="20" w:after="20"/>
              <w:rPr>
                <w:rFonts w:asciiTheme="majorBidi" w:hAnsiTheme="majorBidi" w:cstheme="majorBidi"/>
                <w:sz w:val="20"/>
                <w:szCs w:val="20"/>
              </w:rPr>
            </w:pPr>
          </w:p>
        </w:tc>
        <w:tc>
          <w:tcPr>
            <w:tcW w:w="1679" w:type="pct"/>
          </w:tcPr>
          <w:p w14:paraId="624EC735" w14:textId="77777777" w:rsidR="00921EAE" w:rsidRPr="00904ADC" w:rsidRDefault="00921EAE" w:rsidP="00904ADC">
            <w:pPr>
              <w:pStyle w:val="MTabTxt"/>
              <w:keepNext/>
              <w:keepLines/>
              <w:spacing w:before="20" w:after="20"/>
              <w:jc w:val="right"/>
              <w:rPr>
                <w:rFonts w:asciiTheme="majorBidi" w:hAnsiTheme="majorBidi" w:cstheme="majorBidi"/>
                <w:sz w:val="20"/>
                <w:szCs w:val="20"/>
              </w:rPr>
            </w:pPr>
          </w:p>
        </w:tc>
        <w:tc>
          <w:tcPr>
            <w:tcW w:w="581" w:type="pct"/>
          </w:tcPr>
          <w:p w14:paraId="033D15F2" w14:textId="77777777" w:rsidR="00921EAE" w:rsidRPr="00904ADC" w:rsidRDefault="00921EAE" w:rsidP="00904ADC">
            <w:pPr>
              <w:pStyle w:val="MTabTxt"/>
              <w:keepNext/>
              <w:keepLines/>
              <w:spacing w:before="20" w:after="20"/>
              <w:rPr>
                <w:rFonts w:asciiTheme="majorBidi" w:hAnsiTheme="majorBidi" w:cstheme="majorBidi"/>
                <w:sz w:val="20"/>
                <w:szCs w:val="20"/>
              </w:rPr>
            </w:pPr>
          </w:p>
        </w:tc>
        <w:tc>
          <w:tcPr>
            <w:tcW w:w="1455" w:type="pct"/>
            <w:vAlign w:val="bottom"/>
          </w:tcPr>
          <w:p w14:paraId="597FA8A6" w14:textId="77777777" w:rsidR="00921EAE" w:rsidRPr="00904ADC" w:rsidRDefault="00921EAE" w:rsidP="00904ADC">
            <w:pPr>
              <w:pStyle w:val="MTabTxt"/>
              <w:keepNext/>
              <w:keepLines/>
              <w:spacing w:before="20" w:after="20"/>
              <w:jc w:val="right"/>
              <w:rPr>
                <w:rFonts w:asciiTheme="majorBidi" w:hAnsiTheme="majorBidi" w:cstheme="majorBidi"/>
                <w:sz w:val="20"/>
                <w:szCs w:val="20"/>
              </w:rPr>
            </w:pPr>
          </w:p>
        </w:tc>
      </w:tr>
      <w:tr w:rsidR="009177BD" w:rsidRPr="00904ADC" w14:paraId="388751D0" w14:textId="77777777" w:rsidTr="00921EAE">
        <w:trPr>
          <w:cantSplit/>
        </w:trPr>
        <w:tc>
          <w:tcPr>
            <w:tcW w:w="1285" w:type="pct"/>
          </w:tcPr>
          <w:p w14:paraId="6ED0E0AA" w14:textId="77777777" w:rsidR="009177BD" w:rsidRPr="00904ADC" w:rsidRDefault="009177BD" w:rsidP="00904ADC">
            <w:pPr>
              <w:pStyle w:val="MTabTxt"/>
              <w:keepNext/>
              <w:keepLines/>
              <w:spacing w:before="20" w:after="20"/>
              <w:rPr>
                <w:rFonts w:asciiTheme="majorBidi" w:hAnsiTheme="majorBidi" w:cstheme="majorBidi"/>
                <w:sz w:val="20"/>
                <w:szCs w:val="20"/>
              </w:rPr>
            </w:pPr>
            <w:r w:rsidRPr="00904ADC">
              <w:rPr>
                <w:rFonts w:asciiTheme="majorBidi" w:hAnsiTheme="majorBidi" w:cstheme="majorBidi"/>
                <w:b/>
                <w:bCs/>
                <w:sz w:val="20"/>
                <w:szCs w:val="20"/>
              </w:rPr>
              <w:t>For solids:</w:t>
            </w:r>
          </w:p>
        </w:tc>
        <w:tc>
          <w:tcPr>
            <w:tcW w:w="1679" w:type="pct"/>
          </w:tcPr>
          <w:p w14:paraId="5E47C9D9" w14:textId="77777777" w:rsidR="009177BD" w:rsidRPr="00904ADC" w:rsidRDefault="009177BD" w:rsidP="00904ADC">
            <w:pPr>
              <w:pStyle w:val="MTabTxt"/>
              <w:keepNext/>
              <w:keepLines/>
              <w:spacing w:before="20" w:after="20"/>
              <w:jc w:val="right"/>
              <w:rPr>
                <w:rFonts w:asciiTheme="majorBidi" w:hAnsiTheme="majorBidi" w:cstheme="majorBidi"/>
                <w:sz w:val="20"/>
                <w:szCs w:val="20"/>
              </w:rPr>
            </w:pPr>
          </w:p>
        </w:tc>
        <w:tc>
          <w:tcPr>
            <w:tcW w:w="581" w:type="pct"/>
          </w:tcPr>
          <w:p w14:paraId="03177FD9" w14:textId="77777777" w:rsidR="009177BD" w:rsidRPr="00904ADC" w:rsidRDefault="009177BD" w:rsidP="00904ADC">
            <w:pPr>
              <w:pStyle w:val="MTabTxt"/>
              <w:keepNext/>
              <w:keepLines/>
              <w:spacing w:before="20" w:after="20"/>
              <w:rPr>
                <w:rFonts w:asciiTheme="majorBidi" w:hAnsiTheme="majorBidi" w:cstheme="majorBidi"/>
                <w:sz w:val="20"/>
                <w:szCs w:val="20"/>
              </w:rPr>
            </w:pPr>
          </w:p>
        </w:tc>
        <w:tc>
          <w:tcPr>
            <w:tcW w:w="1455" w:type="pct"/>
            <w:vAlign w:val="bottom"/>
          </w:tcPr>
          <w:p w14:paraId="37905E88" w14:textId="77777777" w:rsidR="009177BD" w:rsidRPr="00904ADC" w:rsidRDefault="009177BD" w:rsidP="00904ADC">
            <w:pPr>
              <w:pStyle w:val="MTabTxt"/>
              <w:keepNext/>
              <w:keepLines/>
              <w:spacing w:before="20" w:after="20"/>
              <w:jc w:val="right"/>
              <w:rPr>
                <w:rFonts w:asciiTheme="majorBidi" w:hAnsiTheme="majorBidi" w:cstheme="majorBidi"/>
                <w:sz w:val="20"/>
                <w:szCs w:val="20"/>
              </w:rPr>
            </w:pPr>
          </w:p>
        </w:tc>
      </w:tr>
      <w:tr w:rsidR="009177BD" w:rsidRPr="00904ADC" w14:paraId="6685AFE2" w14:textId="77777777" w:rsidTr="00921EAE">
        <w:trPr>
          <w:cantSplit/>
        </w:trPr>
        <w:tc>
          <w:tcPr>
            <w:tcW w:w="1285" w:type="pct"/>
          </w:tcPr>
          <w:p w14:paraId="3A5A7134" w14:textId="77777777" w:rsidR="009177BD" w:rsidRPr="00904ADC" w:rsidRDefault="00921EAE" w:rsidP="00904ADC">
            <w:pPr>
              <w:pStyle w:val="MTabTxt"/>
              <w:keepNext/>
              <w:keepLines/>
              <w:spacing w:before="20" w:after="20"/>
              <w:rPr>
                <w:rFonts w:asciiTheme="majorBidi" w:hAnsiTheme="majorBidi" w:cstheme="majorBidi"/>
                <w:sz w:val="20"/>
                <w:szCs w:val="20"/>
              </w:rPr>
            </w:pPr>
            <w:proofErr w:type="spellStart"/>
            <w:r w:rsidRPr="00904ADC">
              <w:rPr>
                <w:rFonts w:asciiTheme="majorBidi" w:hAnsiTheme="majorBidi" w:cstheme="majorBidi"/>
                <w:sz w:val="20"/>
                <w:szCs w:val="20"/>
              </w:rPr>
              <w:t>Packagings</w:t>
            </w:r>
            <w:proofErr w:type="spellEnd"/>
          </w:p>
        </w:tc>
        <w:tc>
          <w:tcPr>
            <w:tcW w:w="1679" w:type="pct"/>
          </w:tcPr>
          <w:p w14:paraId="3AB5AD29" w14:textId="77777777" w:rsidR="009177BD" w:rsidRPr="00904ADC" w:rsidRDefault="00921EAE" w:rsidP="00904ADC">
            <w:pPr>
              <w:pStyle w:val="MTabTxt"/>
              <w:keepNext/>
              <w:keepLines/>
              <w:spacing w:before="20" w:after="20"/>
              <w:jc w:val="right"/>
              <w:rPr>
                <w:rFonts w:asciiTheme="majorBidi" w:hAnsiTheme="majorBidi" w:cstheme="majorBidi"/>
                <w:sz w:val="20"/>
                <w:szCs w:val="20"/>
              </w:rPr>
            </w:pPr>
            <w:r w:rsidRPr="00904ADC">
              <w:rPr>
                <w:rFonts w:asciiTheme="majorBidi" w:hAnsiTheme="majorBidi" w:cstheme="majorBidi"/>
                <w:sz w:val="20"/>
                <w:szCs w:val="20"/>
              </w:rPr>
              <w:t>up to 50kg</w:t>
            </w:r>
          </w:p>
        </w:tc>
        <w:tc>
          <w:tcPr>
            <w:tcW w:w="581" w:type="pct"/>
          </w:tcPr>
          <w:p w14:paraId="66C0CC7E" w14:textId="77777777" w:rsidR="009177BD" w:rsidRPr="00904ADC" w:rsidRDefault="009177BD" w:rsidP="00904ADC">
            <w:pPr>
              <w:pStyle w:val="MTabTxt"/>
              <w:keepNext/>
              <w:keepLines/>
              <w:spacing w:before="20" w:after="20"/>
              <w:rPr>
                <w:rFonts w:asciiTheme="majorBidi" w:hAnsiTheme="majorBidi" w:cstheme="majorBidi"/>
                <w:sz w:val="20"/>
                <w:szCs w:val="20"/>
              </w:rPr>
            </w:pPr>
          </w:p>
        </w:tc>
        <w:tc>
          <w:tcPr>
            <w:tcW w:w="1455" w:type="pct"/>
            <w:vAlign w:val="bottom"/>
          </w:tcPr>
          <w:p w14:paraId="0D71EC5F" w14:textId="77777777" w:rsidR="009177BD" w:rsidRPr="00904ADC" w:rsidRDefault="00921EAE" w:rsidP="00904ADC">
            <w:pPr>
              <w:pStyle w:val="MTabTxt"/>
              <w:keepNext/>
              <w:keepLines/>
              <w:spacing w:before="20" w:after="20"/>
              <w:jc w:val="right"/>
              <w:rPr>
                <w:rFonts w:asciiTheme="majorBidi" w:hAnsiTheme="majorBidi" w:cstheme="majorBidi"/>
                <w:sz w:val="20"/>
                <w:szCs w:val="20"/>
              </w:rPr>
            </w:pPr>
            <w:r w:rsidRPr="00904ADC">
              <w:rPr>
                <w:rFonts w:asciiTheme="majorBidi" w:hAnsiTheme="majorBidi" w:cstheme="majorBidi"/>
                <w:sz w:val="20"/>
                <w:szCs w:val="20"/>
              </w:rPr>
              <w:t>30</w:t>
            </w:r>
            <w:r w:rsidRPr="00904ADC">
              <w:rPr>
                <w:rFonts w:asciiTheme="majorBidi" w:hAnsiTheme="majorBidi" w:cstheme="majorBidi"/>
                <w:sz w:val="20"/>
                <w:szCs w:val="20"/>
                <w:vertAlign w:val="superscript"/>
              </w:rPr>
              <w:t>b</w:t>
            </w:r>
          </w:p>
        </w:tc>
      </w:tr>
      <w:tr w:rsidR="009177BD" w:rsidRPr="00904ADC" w14:paraId="4925915D" w14:textId="77777777" w:rsidTr="00921EAE">
        <w:trPr>
          <w:cantSplit/>
        </w:trPr>
        <w:tc>
          <w:tcPr>
            <w:tcW w:w="1285" w:type="pct"/>
          </w:tcPr>
          <w:p w14:paraId="31B953DC" w14:textId="77777777" w:rsidR="009177BD" w:rsidRPr="00904ADC" w:rsidRDefault="00921EAE" w:rsidP="00904ADC">
            <w:pPr>
              <w:pStyle w:val="MTabTxt"/>
              <w:keepNext/>
              <w:keepLines/>
              <w:spacing w:before="20" w:after="20"/>
              <w:rPr>
                <w:rFonts w:asciiTheme="majorBidi" w:hAnsiTheme="majorBidi" w:cstheme="majorBidi"/>
                <w:sz w:val="20"/>
                <w:szCs w:val="20"/>
              </w:rPr>
            </w:pPr>
            <w:proofErr w:type="spellStart"/>
            <w:r w:rsidRPr="00904ADC">
              <w:rPr>
                <w:rFonts w:asciiTheme="majorBidi" w:hAnsiTheme="majorBidi" w:cstheme="majorBidi"/>
                <w:sz w:val="20"/>
                <w:szCs w:val="20"/>
              </w:rPr>
              <w:t>Packagings</w:t>
            </w:r>
            <w:proofErr w:type="spellEnd"/>
          </w:p>
        </w:tc>
        <w:tc>
          <w:tcPr>
            <w:tcW w:w="1679" w:type="pct"/>
          </w:tcPr>
          <w:p w14:paraId="2DD2E1D6" w14:textId="77777777" w:rsidR="009177BD" w:rsidRPr="00904ADC" w:rsidRDefault="00921EAE" w:rsidP="00904ADC">
            <w:pPr>
              <w:pStyle w:val="MTabTxt"/>
              <w:keepNext/>
              <w:keepLines/>
              <w:spacing w:before="20" w:after="20"/>
              <w:jc w:val="right"/>
              <w:rPr>
                <w:rFonts w:asciiTheme="majorBidi" w:hAnsiTheme="majorBidi" w:cstheme="majorBidi"/>
                <w:sz w:val="20"/>
                <w:szCs w:val="20"/>
              </w:rPr>
            </w:pPr>
            <w:r w:rsidRPr="00904ADC">
              <w:rPr>
                <w:rFonts w:asciiTheme="majorBidi" w:hAnsiTheme="majorBidi" w:cstheme="majorBidi"/>
                <w:sz w:val="20"/>
                <w:szCs w:val="20"/>
              </w:rPr>
              <w:t>larger than 50 kg</w:t>
            </w:r>
          </w:p>
        </w:tc>
        <w:tc>
          <w:tcPr>
            <w:tcW w:w="581" w:type="pct"/>
          </w:tcPr>
          <w:p w14:paraId="0E2E8A17" w14:textId="77777777" w:rsidR="009177BD" w:rsidRPr="00904ADC" w:rsidRDefault="009177BD" w:rsidP="00904ADC">
            <w:pPr>
              <w:pStyle w:val="MTabTxt"/>
              <w:keepNext/>
              <w:keepLines/>
              <w:spacing w:before="20" w:after="20"/>
              <w:rPr>
                <w:rFonts w:asciiTheme="majorBidi" w:hAnsiTheme="majorBidi" w:cstheme="majorBidi"/>
                <w:sz w:val="20"/>
                <w:szCs w:val="20"/>
              </w:rPr>
            </w:pPr>
          </w:p>
        </w:tc>
        <w:tc>
          <w:tcPr>
            <w:tcW w:w="1455" w:type="pct"/>
            <w:vAlign w:val="bottom"/>
          </w:tcPr>
          <w:p w14:paraId="2A744270" w14:textId="77777777" w:rsidR="009177BD" w:rsidRPr="00904ADC" w:rsidRDefault="00921EAE" w:rsidP="00904ADC">
            <w:pPr>
              <w:pStyle w:val="MTabTxt"/>
              <w:keepNext/>
              <w:keepLines/>
              <w:spacing w:before="20" w:after="20"/>
              <w:jc w:val="right"/>
              <w:rPr>
                <w:rFonts w:asciiTheme="majorBidi" w:hAnsiTheme="majorBidi" w:cstheme="majorBidi"/>
                <w:sz w:val="20"/>
                <w:szCs w:val="20"/>
              </w:rPr>
            </w:pPr>
            <w:r w:rsidRPr="00904ADC">
              <w:rPr>
                <w:rFonts w:asciiTheme="majorBidi" w:hAnsiTheme="majorBidi" w:cstheme="majorBidi"/>
                <w:sz w:val="20"/>
                <w:szCs w:val="20"/>
              </w:rPr>
              <w:t xml:space="preserve">no standard </w:t>
            </w:r>
            <w:proofErr w:type="spellStart"/>
            <w:r w:rsidRPr="00904ADC">
              <w:rPr>
                <w:rFonts w:asciiTheme="majorBidi" w:hAnsiTheme="majorBidi" w:cstheme="majorBidi"/>
                <w:sz w:val="20"/>
                <w:szCs w:val="20"/>
              </w:rPr>
              <w:t>value</w:t>
            </w:r>
            <w:r w:rsidRPr="00904ADC">
              <w:rPr>
                <w:rFonts w:asciiTheme="majorBidi" w:hAnsiTheme="majorBidi" w:cstheme="majorBidi"/>
                <w:sz w:val="20"/>
                <w:szCs w:val="20"/>
                <w:vertAlign w:val="superscript"/>
              </w:rPr>
              <w:t>c</w:t>
            </w:r>
            <w:proofErr w:type="spellEnd"/>
          </w:p>
        </w:tc>
      </w:tr>
      <w:tr w:rsidR="009177BD" w:rsidRPr="00904ADC" w14:paraId="3B5E10ED" w14:textId="77777777" w:rsidTr="00921EAE">
        <w:trPr>
          <w:cantSplit/>
        </w:trPr>
        <w:tc>
          <w:tcPr>
            <w:tcW w:w="1285" w:type="pct"/>
          </w:tcPr>
          <w:p w14:paraId="41466BFC" w14:textId="77777777" w:rsidR="009177BD" w:rsidRPr="00904ADC" w:rsidRDefault="00921EAE" w:rsidP="00904ADC">
            <w:pPr>
              <w:pStyle w:val="MTabTxt"/>
              <w:keepNext/>
              <w:keepLines/>
              <w:spacing w:before="20" w:after="20"/>
              <w:rPr>
                <w:rFonts w:asciiTheme="majorBidi" w:hAnsiTheme="majorBidi" w:cstheme="majorBidi"/>
                <w:sz w:val="20"/>
                <w:szCs w:val="20"/>
              </w:rPr>
            </w:pPr>
            <w:r w:rsidRPr="00904ADC">
              <w:rPr>
                <w:rFonts w:asciiTheme="majorBidi" w:hAnsiTheme="majorBidi" w:cstheme="majorBidi"/>
                <w:sz w:val="20"/>
                <w:szCs w:val="20"/>
              </w:rPr>
              <w:t>IBCs</w:t>
            </w:r>
          </w:p>
        </w:tc>
        <w:tc>
          <w:tcPr>
            <w:tcW w:w="1679" w:type="pct"/>
          </w:tcPr>
          <w:p w14:paraId="45A97C29" w14:textId="77777777" w:rsidR="009177BD" w:rsidRPr="00904ADC" w:rsidRDefault="009177BD" w:rsidP="00904ADC">
            <w:pPr>
              <w:pStyle w:val="MTabTxt"/>
              <w:keepNext/>
              <w:keepLines/>
              <w:spacing w:before="20" w:after="20"/>
              <w:jc w:val="right"/>
              <w:rPr>
                <w:rFonts w:asciiTheme="majorBidi" w:hAnsiTheme="majorBidi" w:cstheme="majorBidi"/>
                <w:sz w:val="20"/>
                <w:szCs w:val="20"/>
              </w:rPr>
            </w:pPr>
          </w:p>
        </w:tc>
        <w:tc>
          <w:tcPr>
            <w:tcW w:w="581" w:type="pct"/>
          </w:tcPr>
          <w:p w14:paraId="120D1407" w14:textId="77777777" w:rsidR="009177BD" w:rsidRPr="00904ADC" w:rsidRDefault="009177BD" w:rsidP="00904ADC">
            <w:pPr>
              <w:pStyle w:val="MTabTxt"/>
              <w:keepNext/>
              <w:keepLines/>
              <w:spacing w:before="20" w:after="20"/>
              <w:rPr>
                <w:rFonts w:asciiTheme="majorBidi" w:hAnsiTheme="majorBidi" w:cstheme="majorBidi"/>
                <w:sz w:val="20"/>
                <w:szCs w:val="20"/>
              </w:rPr>
            </w:pPr>
          </w:p>
        </w:tc>
        <w:tc>
          <w:tcPr>
            <w:tcW w:w="1455" w:type="pct"/>
            <w:vAlign w:val="bottom"/>
          </w:tcPr>
          <w:p w14:paraId="1AC60FEF" w14:textId="77777777" w:rsidR="009177BD" w:rsidRPr="00904ADC" w:rsidRDefault="00921EAE" w:rsidP="00904ADC">
            <w:pPr>
              <w:pStyle w:val="MTabTxt"/>
              <w:keepNext/>
              <w:keepLines/>
              <w:spacing w:before="20" w:after="20"/>
              <w:jc w:val="right"/>
              <w:rPr>
                <w:rFonts w:asciiTheme="majorBidi" w:hAnsiTheme="majorBidi" w:cstheme="majorBidi"/>
                <w:sz w:val="20"/>
                <w:szCs w:val="20"/>
              </w:rPr>
            </w:pPr>
            <w:r w:rsidRPr="00904ADC">
              <w:rPr>
                <w:rFonts w:asciiTheme="majorBidi" w:hAnsiTheme="majorBidi" w:cstheme="majorBidi"/>
                <w:sz w:val="20"/>
                <w:szCs w:val="20"/>
              </w:rPr>
              <w:t xml:space="preserve">no standard </w:t>
            </w:r>
            <w:proofErr w:type="spellStart"/>
            <w:r w:rsidRPr="00904ADC">
              <w:rPr>
                <w:rFonts w:asciiTheme="majorBidi" w:hAnsiTheme="majorBidi" w:cstheme="majorBidi"/>
                <w:sz w:val="20"/>
                <w:szCs w:val="20"/>
              </w:rPr>
              <w:t>value</w:t>
            </w:r>
            <w:r w:rsidRPr="00904ADC">
              <w:rPr>
                <w:rFonts w:asciiTheme="majorBidi" w:hAnsiTheme="majorBidi" w:cstheme="majorBidi"/>
                <w:sz w:val="20"/>
                <w:szCs w:val="20"/>
                <w:vertAlign w:val="superscript"/>
              </w:rPr>
              <w:t>c</w:t>
            </w:r>
            <w:proofErr w:type="spellEnd"/>
          </w:p>
        </w:tc>
      </w:tr>
      <w:tr w:rsidR="009177BD" w:rsidRPr="00904ADC" w14:paraId="30E9D54B" w14:textId="77777777" w:rsidTr="00904ADC">
        <w:trPr>
          <w:cantSplit/>
        </w:trPr>
        <w:tc>
          <w:tcPr>
            <w:tcW w:w="1285" w:type="pct"/>
            <w:tcBorders>
              <w:bottom w:val="single" w:sz="4" w:space="0" w:color="auto"/>
            </w:tcBorders>
          </w:tcPr>
          <w:p w14:paraId="22BC2A6B" w14:textId="77777777" w:rsidR="009177BD" w:rsidRPr="00904ADC" w:rsidRDefault="00921EAE" w:rsidP="007C449B">
            <w:pPr>
              <w:pStyle w:val="MTabTxt"/>
              <w:rPr>
                <w:rFonts w:asciiTheme="majorBidi" w:hAnsiTheme="majorBidi" w:cstheme="majorBidi"/>
                <w:sz w:val="20"/>
                <w:szCs w:val="20"/>
              </w:rPr>
            </w:pPr>
            <w:r w:rsidRPr="00904ADC">
              <w:rPr>
                <w:rFonts w:asciiTheme="majorBidi" w:hAnsiTheme="majorBidi" w:cstheme="majorBidi"/>
                <w:sz w:val="20"/>
                <w:szCs w:val="20"/>
              </w:rPr>
              <w:t>Tanks</w:t>
            </w:r>
          </w:p>
        </w:tc>
        <w:tc>
          <w:tcPr>
            <w:tcW w:w="1679" w:type="pct"/>
            <w:tcBorders>
              <w:bottom w:val="single" w:sz="4" w:space="0" w:color="auto"/>
            </w:tcBorders>
          </w:tcPr>
          <w:p w14:paraId="27B407F1" w14:textId="77777777" w:rsidR="009177BD" w:rsidRPr="00904ADC" w:rsidRDefault="009177BD" w:rsidP="007C449B">
            <w:pPr>
              <w:pStyle w:val="MTabTxt"/>
              <w:jc w:val="right"/>
              <w:rPr>
                <w:rFonts w:asciiTheme="majorBidi" w:hAnsiTheme="majorBidi" w:cstheme="majorBidi"/>
                <w:sz w:val="20"/>
                <w:szCs w:val="20"/>
              </w:rPr>
            </w:pPr>
          </w:p>
        </w:tc>
        <w:tc>
          <w:tcPr>
            <w:tcW w:w="581" w:type="pct"/>
            <w:tcBorders>
              <w:bottom w:val="single" w:sz="4" w:space="0" w:color="auto"/>
            </w:tcBorders>
          </w:tcPr>
          <w:p w14:paraId="40A15D73" w14:textId="77777777" w:rsidR="009177BD" w:rsidRPr="00904ADC" w:rsidRDefault="009177BD" w:rsidP="007C449B">
            <w:pPr>
              <w:pStyle w:val="MTabTxt"/>
              <w:rPr>
                <w:rFonts w:asciiTheme="majorBidi" w:hAnsiTheme="majorBidi" w:cstheme="majorBidi"/>
                <w:sz w:val="20"/>
                <w:szCs w:val="20"/>
              </w:rPr>
            </w:pPr>
          </w:p>
        </w:tc>
        <w:tc>
          <w:tcPr>
            <w:tcW w:w="1455" w:type="pct"/>
            <w:tcBorders>
              <w:bottom w:val="single" w:sz="4" w:space="0" w:color="auto"/>
            </w:tcBorders>
            <w:vAlign w:val="bottom"/>
          </w:tcPr>
          <w:p w14:paraId="098AE7C3" w14:textId="77777777" w:rsidR="009177BD" w:rsidRPr="00904ADC" w:rsidRDefault="00921EAE" w:rsidP="007C449B">
            <w:pPr>
              <w:pStyle w:val="MTabTxt"/>
              <w:jc w:val="right"/>
              <w:rPr>
                <w:rFonts w:asciiTheme="majorBidi" w:hAnsiTheme="majorBidi" w:cstheme="majorBidi"/>
                <w:sz w:val="20"/>
                <w:szCs w:val="20"/>
              </w:rPr>
            </w:pPr>
            <w:r w:rsidRPr="00904ADC">
              <w:rPr>
                <w:rFonts w:asciiTheme="majorBidi" w:hAnsiTheme="majorBidi" w:cstheme="majorBidi"/>
                <w:sz w:val="20"/>
                <w:szCs w:val="20"/>
              </w:rPr>
              <w:t xml:space="preserve">no standard </w:t>
            </w:r>
            <w:proofErr w:type="spellStart"/>
            <w:r w:rsidRPr="00904ADC">
              <w:rPr>
                <w:rFonts w:asciiTheme="majorBidi" w:hAnsiTheme="majorBidi" w:cstheme="majorBidi"/>
                <w:sz w:val="20"/>
                <w:szCs w:val="20"/>
              </w:rPr>
              <w:t>value</w:t>
            </w:r>
            <w:r w:rsidRPr="00904ADC">
              <w:rPr>
                <w:rFonts w:asciiTheme="majorBidi" w:hAnsiTheme="majorBidi" w:cstheme="majorBidi"/>
                <w:sz w:val="20"/>
                <w:szCs w:val="20"/>
                <w:vertAlign w:val="superscript"/>
              </w:rPr>
              <w:t>c</w:t>
            </w:r>
            <w:proofErr w:type="spellEnd"/>
          </w:p>
        </w:tc>
      </w:tr>
      <w:tr w:rsidR="009177BD" w:rsidRPr="00904ADC" w14:paraId="1C87F7F1" w14:textId="77777777" w:rsidTr="00904ADC">
        <w:trPr>
          <w:cantSplit/>
        </w:trPr>
        <w:tc>
          <w:tcPr>
            <w:tcW w:w="5000" w:type="pct"/>
            <w:gridSpan w:val="4"/>
            <w:tcBorders>
              <w:top w:val="single" w:sz="4" w:space="0" w:color="auto"/>
              <w:bottom w:val="single" w:sz="8" w:space="0" w:color="auto"/>
            </w:tcBorders>
          </w:tcPr>
          <w:p w14:paraId="15A87398" w14:textId="77777777" w:rsidR="009177BD" w:rsidRPr="00904ADC" w:rsidRDefault="009177BD" w:rsidP="009177BD">
            <w:pPr>
              <w:pStyle w:val="MTabTxt"/>
              <w:tabs>
                <w:tab w:val="left" w:pos="285"/>
              </w:tabs>
              <w:ind w:left="307" w:hanging="307"/>
              <w:rPr>
                <w:rFonts w:asciiTheme="majorBidi" w:hAnsiTheme="majorBidi" w:cstheme="majorBidi"/>
                <w:i/>
                <w:iCs/>
                <w:sz w:val="20"/>
                <w:szCs w:val="20"/>
              </w:rPr>
            </w:pPr>
            <w:proofErr w:type="spellStart"/>
            <w:r w:rsidRPr="00904ADC">
              <w:rPr>
                <w:rFonts w:asciiTheme="majorBidi" w:hAnsiTheme="majorBidi" w:cstheme="majorBidi"/>
                <w:sz w:val="20"/>
                <w:szCs w:val="20"/>
                <w:vertAlign w:val="superscript"/>
              </w:rPr>
              <w:lastRenderedPageBreak/>
              <w:t>a</w:t>
            </w:r>
            <w:proofErr w:type="spellEnd"/>
            <w:r w:rsidRPr="00904ADC">
              <w:rPr>
                <w:rFonts w:asciiTheme="majorBidi" w:hAnsiTheme="majorBidi" w:cstheme="majorBidi"/>
                <w:sz w:val="20"/>
                <w:szCs w:val="20"/>
              </w:rPr>
              <w:tab/>
            </w:r>
            <w:proofErr w:type="gramStart"/>
            <w:r w:rsidRPr="00904ADC">
              <w:rPr>
                <w:rFonts w:asciiTheme="majorBidi" w:hAnsiTheme="majorBidi" w:cstheme="majorBidi"/>
                <w:i/>
                <w:iCs/>
                <w:sz w:val="20"/>
                <w:szCs w:val="20"/>
              </w:rPr>
              <w:t>For</w:t>
            </w:r>
            <w:proofErr w:type="gramEnd"/>
            <w:r w:rsidRPr="00904ADC">
              <w:rPr>
                <w:rFonts w:asciiTheme="majorBidi" w:hAnsiTheme="majorBidi" w:cstheme="majorBidi"/>
                <w:i/>
                <w:iCs/>
                <w:sz w:val="20"/>
                <w:szCs w:val="20"/>
              </w:rPr>
              <w:t xml:space="preserve"> test series H.4 the heat loss of the Dewar vessel to be used should be as close as possible to the value listed in the table.</w:t>
            </w:r>
          </w:p>
          <w:p w14:paraId="7A673D6C" w14:textId="77777777" w:rsidR="009177BD" w:rsidRPr="00904ADC" w:rsidRDefault="009177BD" w:rsidP="009177BD">
            <w:pPr>
              <w:pStyle w:val="MTabTxt"/>
              <w:tabs>
                <w:tab w:val="left" w:pos="285"/>
              </w:tabs>
              <w:ind w:left="307" w:hanging="307"/>
              <w:rPr>
                <w:rFonts w:asciiTheme="majorBidi" w:hAnsiTheme="majorBidi" w:cstheme="majorBidi"/>
                <w:i/>
                <w:iCs/>
                <w:sz w:val="20"/>
                <w:szCs w:val="20"/>
              </w:rPr>
            </w:pPr>
            <w:r w:rsidRPr="00904ADC">
              <w:rPr>
                <w:rFonts w:asciiTheme="majorBidi" w:hAnsiTheme="majorBidi" w:cstheme="majorBidi"/>
                <w:sz w:val="20"/>
                <w:szCs w:val="20"/>
                <w:vertAlign w:val="superscript"/>
              </w:rPr>
              <w:t>b</w:t>
            </w:r>
            <w:r w:rsidRPr="00904ADC">
              <w:rPr>
                <w:rFonts w:asciiTheme="majorBidi" w:hAnsiTheme="majorBidi" w:cstheme="majorBidi"/>
                <w:sz w:val="20"/>
                <w:szCs w:val="20"/>
                <w:vertAlign w:val="superscript"/>
              </w:rPr>
              <w:tab/>
            </w:r>
            <w:r w:rsidRPr="00904ADC">
              <w:rPr>
                <w:rFonts w:asciiTheme="majorBidi" w:hAnsiTheme="majorBidi" w:cstheme="majorBidi"/>
                <w:i/>
                <w:iCs/>
                <w:sz w:val="20"/>
                <w:szCs w:val="20"/>
              </w:rPr>
              <w:t>When determining the SADT for exemption or classification purposes, where the definition of the SADT is connected to a 50 kg package, a value of 60 mW/K.kg for liquids and 30 mW/K.kg for solids should be used. Such is the case when the SADT is used either to exclude a new substance from Division 4.1 as a self-reactive substance (</w:t>
            </w:r>
            <w:r w:rsidR="00EA740F" w:rsidRPr="00904ADC">
              <w:rPr>
                <w:rFonts w:asciiTheme="majorBidi" w:hAnsiTheme="majorBidi" w:cstheme="majorBidi"/>
                <w:i/>
                <w:iCs/>
                <w:sz w:val="20"/>
                <w:szCs w:val="20"/>
              </w:rPr>
              <w:t xml:space="preserve">see </w:t>
            </w:r>
            <w:r w:rsidRPr="00904ADC">
              <w:rPr>
                <w:rFonts w:asciiTheme="majorBidi" w:hAnsiTheme="majorBidi" w:cstheme="majorBidi"/>
                <w:i/>
                <w:iCs/>
                <w:sz w:val="20"/>
                <w:szCs w:val="20"/>
              </w:rPr>
              <w:t>20.2.1(e)), or to classify it under Type G as a self-reactive substance (</w:t>
            </w:r>
            <w:r w:rsidR="00EA740F" w:rsidRPr="00904ADC">
              <w:rPr>
                <w:rFonts w:asciiTheme="majorBidi" w:hAnsiTheme="majorBidi" w:cstheme="majorBidi"/>
                <w:i/>
                <w:iCs/>
                <w:sz w:val="20"/>
                <w:szCs w:val="20"/>
              </w:rPr>
              <w:t>see</w:t>
            </w:r>
            <w:r w:rsidRPr="00904ADC">
              <w:rPr>
                <w:rFonts w:asciiTheme="majorBidi" w:hAnsiTheme="majorBidi" w:cstheme="majorBidi"/>
                <w:i/>
                <w:iCs/>
                <w:sz w:val="20"/>
                <w:szCs w:val="20"/>
              </w:rPr>
              <w:t xml:space="preserve"> 20.4.2 (g)), or organic peroxide (</w:t>
            </w:r>
            <w:r w:rsidR="00EA740F" w:rsidRPr="00904ADC">
              <w:rPr>
                <w:rFonts w:asciiTheme="majorBidi" w:hAnsiTheme="majorBidi" w:cstheme="majorBidi"/>
                <w:i/>
                <w:iCs/>
                <w:sz w:val="20"/>
                <w:szCs w:val="20"/>
              </w:rPr>
              <w:t>see</w:t>
            </w:r>
            <w:r w:rsidRPr="00904ADC">
              <w:rPr>
                <w:rFonts w:asciiTheme="majorBidi" w:hAnsiTheme="majorBidi" w:cstheme="majorBidi"/>
                <w:i/>
                <w:iCs/>
                <w:sz w:val="20"/>
                <w:szCs w:val="20"/>
              </w:rPr>
              <w:t xml:space="preserve"> 20.4.3 (g)).</w:t>
            </w:r>
          </w:p>
          <w:p w14:paraId="65AC42B5" w14:textId="77777777" w:rsidR="009177BD" w:rsidRPr="00904ADC" w:rsidRDefault="009177BD" w:rsidP="009177BD">
            <w:pPr>
              <w:pStyle w:val="MTabTxt"/>
              <w:tabs>
                <w:tab w:val="left" w:pos="285"/>
              </w:tabs>
              <w:ind w:left="307" w:hanging="307"/>
              <w:rPr>
                <w:rFonts w:asciiTheme="majorBidi" w:hAnsiTheme="majorBidi" w:cstheme="majorBidi"/>
                <w:sz w:val="20"/>
                <w:szCs w:val="20"/>
              </w:rPr>
            </w:pPr>
            <w:r w:rsidRPr="00904ADC">
              <w:rPr>
                <w:rFonts w:asciiTheme="majorBidi" w:hAnsiTheme="majorBidi" w:cstheme="majorBidi"/>
                <w:sz w:val="20"/>
                <w:szCs w:val="20"/>
                <w:vertAlign w:val="superscript"/>
              </w:rPr>
              <w:t>c</w:t>
            </w:r>
            <w:r w:rsidRPr="00904ADC">
              <w:rPr>
                <w:rFonts w:asciiTheme="majorBidi" w:hAnsiTheme="majorBidi" w:cstheme="majorBidi"/>
                <w:sz w:val="20"/>
                <w:szCs w:val="20"/>
                <w:vertAlign w:val="superscript"/>
              </w:rPr>
              <w:tab/>
            </w:r>
            <w:proofErr w:type="spellStart"/>
            <w:r w:rsidRPr="00904ADC">
              <w:rPr>
                <w:rFonts w:asciiTheme="majorBidi" w:hAnsiTheme="majorBidi" w:cstheme="majorBidi"/>
                <w:i/>
                <w:iCs/>
                <w:sz w:val="20"/>
                <w:szCs w:val="20"/>
              </w:rPr>
              <w:t>Dicyclohexyl</w:t>
            </w:r>
            <w:proofErr w:type="spellEnd"/>
            <w:r w:rsidRPr="00904ADC">
              <w:rPr>
                <w:rFonts w:asciiTheme="majorBidi" w:hAnsiTheme="majorBidi" w:cstheme="majorBidi"/>
                <w:i/>
                <w:iCs/>
                <w:sz w:val="20"/>
                <w:szCs w:val="20"/>
              </w:rPr>
              <w:t xml:space="preserve"> phthalate (solid).</w:t>
            </w:r>
          </w:p>
        </w:tc>
      </w:tr>
    </w:tbl>
    <w:p w14:paraId="273F9864" w14:textId="77777777" w:rsidR="00095AB4" w:rsidRDefault="00921EAE" w:rsidP="00921EAE">
      <w:pPr>
        <w:pStyle w:val="SingleTxtG"/>
        <w:tabs>
          <w:tab w:val="left" w:pos="1985"/>
        </w:tabs>
        <w:jc w:val="right"/>
      </w:pPr>
      <w:r>
        <w:t>”.</w:t>
      </w:r>
    </w:p>
    <w:p w14:paraId="4DC604E0" w14:textId="77777777" w:rsidR="00095AB4" w:rsidRPr="00741695" w:rsidRDefault="00095AB4" w:rsidP="00921EAE">
      <w:pPr>
        <w:pStyle w:val="SingleTxtG"/>
        <w:tabs>
          <w:tab w:val="left" w:pos="2268"/>
        </w:tabs>
        <w:ind w:left="2268" w:hanging="1134"/>
      </w:pPr>
      <w:r w:rsidRPr="00921EAE">
        <w:t>28.4.1.1</w:t>
      </w:r>
      <w:r w:rsidRPr="00921EAE">
        <w:tab/>
        <w:t xml:space="preserve">In the first sentence, replace “self-accelerating decomposition” by “self-accelerating decomposition or polymerization” and in the last sentence delete “or </w:t>
      </w:r>
      <w:bookmarkStart w:id="2" w:name="_Hlk31615795"/>
    </w:p>
    <w:p w14:paraId="40B5E954" w14:textId="77777777" w:rsidR="00095AB4" w:rsidRPr="00741695" w:rsidRDefault="00095AB4" w:rsidP="00921EAE">
      <w:pPr>
        <w:pStyle w:val="SingleTxtG"/>
        <w:tabs>
          <w:tab w:val="left" w:pos="2268"/>
        </w:tabs>
        <w:ind w:left="2268" w:hanging="1134"/>
      </w:pPr>
      <w:r w:rsidRPr="00741695">
        <w:t>28.4.1.2.3</w:t>
      </w:r>
      <w:r w:rsidRPr="00741695">
        <w:tab/>
        <w:t>In (c) insert “for all sides” after “distance”.</w:t>
      </w:r>
    </w:p>
    <w:p w14:paraId="1DC52132" w14:textId="77777777" w:rsidR="00095AB4" w:rsidRPr="00741695" w:rsidRDefault="00095AB4" w:rsidP="00921EAE">
      <w:pPr>
        <w:pStyle w:val="SingleTxtG"/>
        <w:tabs>
          <w:tab w:val="left" w:pos="2268"/>
        </w:tabs>
        <w:ind w:left="2268" w:hanging="1134"/>
      </w:pPr>
      <w:r w:rsidRPr="00741695">
        <w:tab/>
        <w:t>In the paragraph following (c), amend the last sentence to read as follows: “Examples of a suitable small-package and large-package ovens are described below.”.</w:t>
      </w:r>
    </w:p>
    <w:p w14:paraId="2E97414C" w14:textId="77777777" w:rsidR="00095AB4" w:rsidRPr="00741695" w:rsidRDefault="00095AB4" w:rsidP="00921EAE">
      <w:pPr>
        <w:pStyle w:val="SingleTxtG"/>
        <w:tabs>
          <w:tab w:val="left" w:pos="2268"/>
        </w:tabs>
        <w:ind w:left="2268" w:hanging="1134"/>
      </w:pPr>
      <w:r w:rsidRPr="00741695">
        <w:t>28.4.1.2.4 and 28.4.1.2.5</w:t>
      </w:r>
      <w:r w:rsidRPr="00741695">
        <w:tab/>
        <w:t>Amend current paragraphs 28.4.1.2.4 and 28.4.1.2.5 as follows:</w:t>
      </w:r>
    </w:p>
    <w:p w14:paraId="7BB0DB0B" w14:textId="77777777" w:rsidR="00095AB4" w:rsidRPr="00741695" w:rsidRDefault="00095AB4" w:rsidP="00921EAE">
      <w:pPr>
        <w:pStyle w:val="Bullet1G"/>
        <w:numPr>
          <w:ilvl w:val="0"/>
          <w:numId w:val="15"/>
        </w:numPr>
        <w:tabs>
          <w:tab w:val="clear" w:pos="1701"/>
          <w:tab w:val="left" w:pos="2552"/>
        </w:tabs>
        <w:kinsoku/>
        <w:overflowPunct/>
        <w:autoSpaceDE/>
        <w:autoSpaceDN/>
        <w:adjustRightInd/>
        <w:snapToGrid/>
        <w:ind w:left="2552" w:hanging="284"/>
        <w:rPr>
          <w:i/>
          <w:iCs/>
        </w:rPr>
      </w:pPr>
      <w:r w:rsidRPr="00741695">
        <w:t xml:space="preserve">Current paragraph 28.4.1.2.4 becomes 28.4.1.2.3.1 with the following heading: “28.4.1.2.3.1 Example 1”. </w:t>
      </w:r>
      <w:r w:rsidRPr="00741695">
        <w:rPr>
          <w:i/>
          <w:iCs/>
        </w:rPr>
        <w:t>(The text of current paragraph 28.4.1.2.4 remains unchanged).</w:t>
      </w:r>
    </w:p>
    <w:p w14:paraId="4AD03E6A" w14:textId="77777777" w:rsidR="00095AB4" w:rsidRPr="00741695" w:rsidRDefault="00095AB4" w:rsidP="00921EAE">
      <w:pPr>
        <w:pStyle w:val="Bullet1G"/>
        <w:numPr>
          <w:ilvl w:val="0"/>
          <w:numId w:val="15"/>
        </w:numPr>
        <w:tabs>
          <w:tab w:val="clear" w:pos="1701"/>
          <w:tab w:val="left" w:pos="2552"/>
        </w:tabs>
        <w:kinsoku/>
        <w:overflowPunct/>
        <w:autoSpaceDE/>
        <w:autoSpaceDN/>
        <w:adjustRightInd/>
        <w:snapToGrid/>
        <w:ind w:left="2552" w:hanging="284"/>
        <w:rPr>
          <w:i/>
          <w:iCs/>
        </w:rPr>
      </w:pPr>
      <w:r w:rsidRPr="00741695">
        <w:t xml:space="preserve">Current paragraph 28.4.1.2.5 becomes 28.4.1.2.3.2 with the following heading: “28.4.1.2.3.2 Example 2”. </w:t>
      </w:r>
      <w:r w:rsidRPr="00741695">
        <w:rPr>
          <w:i/>
          <w:iCs/>
        </w:rPr>
        <w:t>(The text of current paragraph 28.4.1.2.5 remains unchanged).</w:t>
      </w:r>
    </w:p>
    <w:p w14:paraId="31F74771" w14:textId="77777777" w:rsidR="00095AB4" w:rsidRPr="00741695" w:rsidRDefault="00095AB4" w:rsidP="00921EAE">
      <w:pPr>
        <w:pStyle w:val="SingleTxtG"/>
        <w:tabs>
          <w:tab w:val="left" w:pos="2268"/>
        </w:tabs>
        <w:ind w:left="2268" w:hanging="1134"/>
      </w:pPr>
      <w:r w:rsidRPr="00741695">
        <w:t>28.4.1.2.3.3 (new)</w:t>
      </w:r>
      <w:r w:rsidRPr="00741695">
        <w:tab/>
        <w:t>Insert a new paragraph 28.4.1.2.3.3 to read as follows:</w:t>
      </w:r>
    </w:p>
    <w:p w14:paraId="767C9935" w14:textId="77777777" w:rsidR="00095AB4" w:rsidRPr="00741695" w:rsidRDefault="00095AB4" w:rsidP="00921EAE">
      <w:pPr>
        <w:pStyle w:val="SingleTxtG"/>
        <w:tabs>
          <w:tab w:val="left" w:pos="2268"/>
          <w:tab w:val="left" w:pos="3686"/>
        </w:tabs>
        <w:ind w:left="2268"/>
      </w:pPr>
      <w:r w:rsidRPr="00741695">
        <w:t xml:space="preserve">“28.4.1.2.3.3 </w:t>
      </w:r>
      <w:r w:rsidRPr="00741695">
        <w:tab/>
        <w:t>Example 3</w:t>
      </w:r>
    </w:p>
    <w:p w14:paraId="250E7A52" w14:textId="77777777" w:rsidR="00095AB4" w:rsidRPr="00741695" w:rsidRDefault="00095AB4" w:rsidP="00921EAE">
      <w:pPr>
        <w:pStyle w:val="SingleTxtG"/>
        <w:tabs>
          <w:tab w:val="left" w:pos="3686"/>
        </w:tabs>
        <w:ind w:left="2268"/>
      </w:pPr>
      <w:r w:rsidRPr="00741695">
        <w:t>For tests at temperatures up to 75 °C, a double walled metal chamber (minimum separation distance from the package to the wall is 100 mm) may be used with fluid from a temperature-controlled circulating bath passed between the walls at the desired temperature. The test chamber is loosely closed by an insulated lid (e.g. made from 10 mm thick polyvinyl chloride). The temperature control should allow the desired temperature for a liquid inert sample to be maintained with a deviation of not more than ± 2 K for up to 10 days.”.</w:t>
      </w:r>
    </w:p>
    <w:p w14:paraId="37775D34" w14:textId="77777777" w:rsidR="00095AB4" w:rsidRPr="00741695" w:rsidRDefault="00095AB4" w:rsidP="00193164">
      <w:pPr>
        <w:pStyle w:val="SingleTxtG"/>
      </w:pPr>
      <w:r w:rsidRPr="00741695">
        <w:t>Renumber current paragraphs 28.4.1.2.6 to 28.4.1.2.8 as 28.4.1.2.4 to 28.4.1.2.6.</w:t>
      </w:r>
    </w:p>
    <w:p w14:paraId="793F5D51" w14:textId="77777777" w:rsidR="00095AB4" w:rsidRPr="00741695" w:rsidRDefault="00095AB4" w:rsidP="00921EAE">
      <w:pPr>
        <w:pStyle w:val="SingleTxtG"/>
        <w:tabs>
          <w:tab w:val="left" w:pos="2268"/>
        </w:tabs>
        <w:ind w:left="2268" w:hanging="1134"/>
      </w:pPr>
      <w:r w:rsidRPr="00741695">
        <w:t xml:space="preserve">28.4.1.2.4 (new, former 28.4.1.2.6), in the first sentence insert “or Resistance Temperature Detector (RTD)” after “thermocouple”. </w:t>
      </w:r>
    </w:p>
    <w:p w14:paraId="0EEBECEE" w14:textId="77777777" w:rsidR="00095AB4" w:rsidRPr="00741695" w:rsidRDefault="00095AB4" w:rsidP="00921EAE">
      <w:pPr>
        <w:pStyle w:val="SingleTxtG"/>
        <w:tabs>
          <w:tab w:val="left" w:pos="2268"/>
        </w:tabs>
        <w:ind w:left="2268" w:hanging="1134"/>
      </w:pPr>
      <w:r w:rsidRPr="00741695">
        <w:t>28.4.1.3.1</w:t>
      </w:r>
      <w:r w:rsidRPr="00741695">
        <w:tab/>
        <w:t>At the beginning of the second sentence insert “or RTD” after “thermocouple”.</w:t>
      </w:r>
    </w:p>
    <w:p w14:paraId="0BED2DB9" w14:textId="77777777" w:rsidR="00095AB4" w:rsidRPr="00741695" w:rsidRDefault="00095AB4" w:rsidP="00921EAE">
      <w:pPr>
        <w:pStyle w:val="SingleTxtG"/>
        <w:tabs>
          <w:tab w:val="left" w:pos="2268"/>
        </w:tabs>
        <w:ind w:left="2268" w:hanging="1134"/>
      </w:pPr>
      <w:r w:rsidRPr="00741695">
        <w:t>28.4.1.3.2</w:t>
      </w:r>
      <w:r w:rsidRPr="00741695">
        <w:tab/>
        <w:t>Delete the last sentence (“Note the time….</w:t>
      </w:r>
      <w:r w:rsidR="007F3842">
        <w:t xml:space="preserve"> </w:t>
      </w:r>
      <w:r w:rsidRPr="00741695">
        <w:t>maximum temperature.”).</w:t>
      </w:r>
    </w:p>
    <w:p w14:paraId="24FFBBB8" w14:textId="77777777" w:rsidR="00095AB4" w:rsidRPr="00741695" w:rsidRDefault="00095AB4" w:rsidP="00921EAE">
      <w:pPr>
        <w:pStyle w:val="SingleTxtG"/>
        <w:tabs>
          <w:tab w:val="left" w:pos="2268"/>
        </w:tabs>
        <w:ind w:left="2268" w:hanging="1134"/>
      </w:pPr>
      <w:r w:rsidRPr="00741695">
        <w:t>28.4.1.3.4</w:t>
      </w:r>
      <w:r w:rsidRPr="00741695">
        <w:tab/>
        <w:t>Amend the end of the third sentence to read as follows: “…to determine if the SADT or SAPT is greater than the applicable temperature specified in Table 28.2.”.</w:t>
      </w:r>
    </w:p>
    <w:p w14:paraId="01D14D73" w14:textId="77777777" w:rsidR="00095AB4" w:rsidRDefault="00095AB4" w:rsidP="00921EAE">
      <w:pPr>
        <w:pStyle w:val="SingleTxtG"/>
        <w:tabs>
          <w:tab w:val="left" w:pos="2268"/>
        </w:tabs>
        <w:ind w:left="2268" w:hanging="1134"/>
      </w:pPr>
      <w:r w:rsidRPr="00741695">
        <w:t>28.4.1.5</w:t>
      </w:r>
      <w:r w:rsidRPr="00741695">
        <w:tab/>
      </w:r>
      <w:r w:rsidR="00921EAE">
        <w:t>In the table, i</w:t>
      </w:r>
      <w:r w:rsidRPr="00741695">
        <w:t>nser</w:t>
      </w:r>
      <w:r w:rsidR="00921EAE">
        <w:t>t</w:t>
      </w:r>
      <w:r w:rsidRPr="00741695">
        <w:t xml:space="preserve"> the following row</w:t>
      </w:r>
      <w:r w:rsidR="005A54E8">
        <w:t>s</w:t>
      </w:r>
      <w:r w:rsidRPr="00741695">
        <w:t xml:space="preserve"> at the end:</w:t>
      </w:r>
    </w:p>
    <w:tbl>
      <w:tblPr>
        <w:tblW w:w="7370" w:type="dxa"/>
        <w:tblInd w:w="1134" w:type="dxa"/>
        <w:tblCellMar>
          <w:left w:w="120" w:type="dxa"/>
          <w:right w:w="120" w:type="dxa"/>
        </w:tblCellMar>
        <w:tblLook w:val="0000" w:firstRow="0" w:lastRow="0" w:firstColumn="0" w:lastColumn="0" w:noHBand="0" w:noVBand="0"/>
      </w:tblPr>
      <w:tblGrid>
        <w:gridCol w:w="3319"/>
        <w:gridCol w:w="1413"/>
        <w:gridCol w:w="1297"/>
        <w:gridCol w:w="1341"/>
      </w:tblGrid>
      <w:tr w:rsidR="005A54E8" w:rsidRPr="005A54E8" w14:paraId="0DFFAE3B" w14:textId="77777777" w:rsidTr="005A54E8">
        <w:trPr>
          <w:cantSplit/>
        </w:trPr>
        <w:tc>
          <w:tcPr>
            <w:tcW w:w="2283" w:type="pct"/>
            <w:tcBorders>
              <w:top w:val="single" w:sz="8" w:space="0" w:color="auto"/>
              <w:bottom w:val="single" w:sz="8" w:space="0" w:color="auto"/>
            </w:tcBorders>
          </w:tcPr>
          <w:p w14:paraId="5594F2D1" w14:textId="77777777" w:rsidR="00921EAE" w:rsidRPr="005A54E8" w:rsidRDefault="00921EAE" w:rsidP="007C449B">
            <w:pPr>
              <w:pStyle w:val="MTabTxt"/>
              <w:rPr>
                <w:b/>
                <w:bCs/>
                <w:sz w:val="20"/>
                <w:szCs w:val="20"/>
              </w:rPr>
            </w:pPr>
            <w:r w:rsidRPr="005A54E8">
              <w:rPr>
                <w:b/>
                <w:bCs/>
                <w:sz w:val="20"/>
                <w:szCs w:val="20"/>
              </w:rPr>
              <w:t>Substance</w:t>
            </w:r>
          </w:p>
        </w:tc>
        <w:tc>
          <w:tcPr>
            <w:tcW w:w="990" w:type="pct"/>
            <w:tcBorders>
              <w:top w:val="single" w:sz="8" w:space="0" w:color="auto"/>
              <w:bottom w:val="single" w:sz="8" w:space="0" w:color="auto"/>
            </w:tcBorders>
          </w:tcPr>
          <w:p w14:paraId="4E34250D" w14:textId="77777777" w:rsidR="00921EAE" w:rsidRPr="005A54E8" w:rsidRDefault="00921EAE" w:rsidP="007C449B">
            <w:pPr>
              <w:pStyle w:val="MTabTxt"/>
              <w:jc w:val="right"/>
              <w:rPr>
                <w:b/>
                <w:bCs/>
                <w:sz w:val="20"/>
                <w:szCs w:val="20"/>
              </w:rPr>
            </w:pPr>
            <w:r w:rsidRPr="005A54E8">
              <w:rPr>
                <w:b/>
                <w:bCs/>
                <w:sz w:val="20"/>
                <w:szCs w:val="20"/>
              </w:rPr>
              <w:t xml:space="preserve">Sample mass </w:t>
            </w:r>
            <w:r w:rsidRPr="005A54E8">
              <w:rPr>
                <w:b/>
                <w:bCs/>
                <w:sz w:val="20"/>
                <w:szCs w:val="20"/>
              </w:rPr>
              <w:br/>
              <w:t>(kg)</w:t>
            </w:r>
          </w:p>
        </w:tc>
        <w:tc>
          <w:tcPr>
            <w:tcW w:w="911" w:type="pct"/>
            <w:tcBorders>
              <w:top w:val="single" w:sz="8" w:space="0" w:color="auto"/>
              <w:bottom w:val="single" w:sz="8" w:space="0" w:color="auto"/>
            </w:tcBorders>
          </w:tcPr>
          <w:p w14:paraId="417E4E7F" w14:textId="77777777" w:rsidR="00921EAE" w:rsidRPr="005A54E8" w:rsidRDefault="00921EAE" w:rsidP="007C449B">
            <w:pPr>
              <w:pStyle w:val="MTabTxt"/>
              <w:rPr>
                <w:b/>
                <w:bCs/>
                <w:sz w:val="20"/>
                <w:szCs w:val="20"/>
              </w:rPr>
            </w:pPr>
            <w:r w:rsidRPr="005A54E8">
              <w:rPr>
                <w:b/>
                <w:bCs/>
                <w:sz w:val="20"/>
                <w:szCs w:val="20"/>
              </w:rPr>
              <w:t>Packaging</w:t>
            </w:r>
          </w:p>
        </w:tc>
        <w:tc>
          <w:tcPr>
            <w:tcW w:w="816" w:type="pct"/>
            <w:tcBorders>
              <w:top w:val="single" w:sz="8" w:space="0" w:color="auto"/>
              <w:bottom w:val="single" w:sz="8" w:space="0" w:color="auto"/>
            </w:tcBorders>
          </w:tcPr>
          <w:p w14:paraId="259631C2" w14:textId="77777777" w:rsidR="00921EAE" w:rsidRPr="005A54E8" w:rsidRDefault="00921EAE" w:rsidP="007C449B">
            <w:pPr>
              <w:pStyle w:val="MTabTxt"/>
              <w:jc w:val="right"/>
              <w:rPr>
                <w:b/>
                <w:bCs/>
                <w:sz w:val="20"/>
                <w:szCs w:val="20"/>
              </w:rPr>
            </w:pPr>
            <w:r w:rsidRPr="005A54E8">
              <w:rPr>
                <w:b/>
                <w:bCs/>
                <w:sz w:val="20"/>
                <w:szCs w:val="20"/>
              </w:rPr>
              <w:t xml:space="preserve">SADT/SAPT </w:t>
            </w:r>
            <w:r w:rsidRPr="005A54E8">
              <w:rPr>
                <w:b/>
                <w:bCs/>
                <w:sz w:val="20"/>
                <w:szCs w:val="20"/>
              </w:rPr>
              <w:br/>
              <w:t>(°C)</w:t>
            </w:r>
          </w:p>
        </w:tc>
      </w:tr>
      <w:tr w:rsidR="005A54E8" w:rsidRPr="005A54E8" w14:paraId="4A2152D7" w14:textId="77777777" w:rsidTr="005A54E8">
        <w:trPr>
          <w:cantSplit/>
        </w:trPr>
        <w:tc>
          <w:tcPr>
            <w:tcW w:w="2283" w:type="pct"/>
            <w:tcBorders>
              <w:top w:val="single" w:sz="8" w:space="0" w:color="auto"/>
            </w:tcBorders>
          </w:tcPr>
          <w:p w14:paraId="24CBBD3D" w14:textId="77777777" w:rsidR="00921EAE" w:rsidRPr="005A54E8" w:rsidRDefault="005A54E8" w:rsidP="007C449B">
            <w:pPr>
              <w:pStyle w:val="MTabTxt"/>
              <w:rPr>
                <w:sz w:val="20"/>
                <w:szCs w:val="20"/>
              </w:rPr>
            </w:pPr>
            <w:proofErr w:type="spellStart"/>
            <w:r w:rsidRPr="005A54E8">
              <w:rPr>
                <w:bCs/>
                <w:sz w:val="20"/>
                <w:szCs w:val="20"/>
              </w:rPr>
              <w:t>Didecanoylperoxide</w:t>
            </w:r>
            <w:proofErr w:type="spellEnd"/>
            <w:r w:rsidRPr="005A54E8">
              <w:rPr>
                <w:bCs/>
                <w:sz w:val="20"/>
                <w:szCs w:val="20"/>
              </w:rPr>
              <w:t>, technically pure</w:t>
            </w:r>
          </w:p>
        </w:tc>
        <w:tc>
          <w:tcPr>
            <w:tcW w:w="990" w:type="pct"/>
            <w:tcBorders>
              <w:top w:val="single" w:sz="8" w:space="0" w:color="auto"/>
            </w:tcBorders>
            <w:vAlign w:val="bottom"/>
          </w:tcPr>
          <w:p w14:paraId="3727A2A7" w14:textId="77777777" w:rsidR="00921EAE" w:rsidRPr="005A54E8" w:rsidRDefault="005A54E8" w:rsidP="005A54E8">
            <w:pPr>
              <w:numPr>
                <w:ilvl w:val="12"/>
                <w:numId w:val="0"/>
              </w:numPr>
              <w:tabs>
                <w:tab w:val="left" w:pos="1134"/>
                <w:tab w:val="left" w:pos="1701"/>
                <w:tab w:val="left" w:pos="2268"/>
                <w:tab w:val="left" w:pos="2835"/>
                <w:tab w:val="left" w:pos="3402"/>
                <w:tab w:val="left" w:pos="3969"/>
              </w:tabs>
              <w:spacing w:before="40" w:after="40"/>
              <w:jc w:val="right"/>
            </w:pPr>
            <w:r w:rsidRPr="005A54E8">
              <w:t>20</w:t>
            </w:r>
          </w:p>
        </w:tc>
        <w:tc>
          <w:tcPr>
            <w:tcW w:w="911" w:type="pct"/>
            <w:tcBorders>
              <w:top w:val="single" w:sz="8" w:space="0" w:color="auto"/>
            </w:tcBorders>
          </w:tcPr>
          <w:p w14:paraId="0697C42D" w14:textId="77777777" w:rsidR="00921EAE" w:rsidRPr="005A54E8" w:rsidRDefault="005A54E8" w:rsidP="007C449B">
            <w:pPr>
              <w:pStyle w:val="MTabTxt"/>
              <w:rPr>
                <w:sz w:val="20"/>
                <w:szCs w:val="20"/>
              </w:rPr>
            </w:pPr>
            <w:r w:rsidRPr="005A54E8">
              <w:rPr>
                <w:sz w:val="20"/>
                <w:szCs w:val="20"/>
              </w:rPr>
              <w:t>1G</w:t>
            </w:r>
          </w:p>
        </w:tc>
        <w:tc>
          <w:tcPr>
            <w:tcW w:w="816" w:type="pct"/>
            <w:tcBorders>
              <w:top w:val="single" w:sz="8" w:space="0" w:color="auto"/>
            </w:tcBorders>
            <w:vAlign w:val="bottom"/>
          </w:tcPr>
          <w:p w14:paraId="074DAE38" w14:textId="77777777" w:rsidR="00921EAE" w:rsidRPr="005A54E8" w:rsidRDefault="005A54E8" w:rsidP="007C449B">
            <w:pPr>
              <w:pStyle w:val="MTabTxt"/>
              <w:jc w:val="right"/>
              <w:rPr>
                <w:sz w:val="20"/>
                <w:szCs w:val="20"/>
              </w:rPr>
            </w:pPr>
            <w:r w:rsidRPr="005A54E8">
              <w:rPr>
                <w:sz w:val="20"/>
                <w:szCs w:val="20"/>
              </w:rPr>
              <w:t>40</w:t>
            </w:r>
          </w:p>
        </w:tc>
      </w:tr>
      <w:tr w:rsidR="005A54E8" w:rsidRPr="005A54E8" w14:paraId="1CD6BB27" w14:textId="77777777" w:rsidTr="005A54E8">
        <w:trPr>
          <w:cantSplit/>
        </w:trPr>
        <w:tc>
          <w:tcPr>
            <w:tcW w:w="2283" w:type="pct"/>
            <w:tcBorders>
              <w:bottom w:val="single" w:sz="4" w:space="0" w:color="auto"/>
            </w:tcBorders>
          </w:tcPr>
          <w:p w14:paraId="7B73DA4B" w14:textId="77777777" w:rsidR="005A54E8" w:rsidRPr="005A54E8" w:rsidRDefault="005A54E8" w:rsidP="005A54E8">
            <w:pPr>
              <w:pStyle w:val="MTabTxt"/>
              <w:rPr>
                <w:bCs/>
                <w:sz w:val="20"/>
                <w:szCs w:val="20"/>
              </w:rPr>
            </w:pPr>
            <w:r w:rsidRPr="005A54E8">
              <w:rPr>
                <w:bCs/>
                <w:sz w:val="20"/>
                <w:szCs w:val="20"/>
              </w:rPr>
              <w:t>2,2´-Azodi-(</w:t>
            </w:r>
            <w:proofErr w:type="spellStart"/>
            <w:r w:rsidRPr="005A54E8">
              <w:rPr>
                <w:bCs/>
                <w:sz w:val="20"/>
                <w:szCs w:val="20"/>
              </w:rPr>
              <w:t>isobutyronitrile</w:t>
            </w:r>
            <w:proofErr w:type="spellEnd"/>
            <w:r w:rsidRPr="005A54E8">
              <w:rPr>
                <w:bCs/>
                <w:sz w:val="20"/>
                <w:szCs w:val="20"/>
              </w:rPr>
              <w:t>)</w:t>
            </w:r>
          </w:p>
        </w:tc>
        <w:tc>
          <w:tcPr>
            <w:tcW w:w="990" w:type="pct"/>
            <w:tcBorders>
              <w:bottom w:val="single" w:sz="4" w:space="0" w:color="auto"/>
            </w:tcBorders>
            <w:vAlign w:val="bottom"/>
          </w:tcPr>
          <w:p w14:paraId="268A676F" w14:textId="77777777" w:rsidR="005A54E8" w:rsidRPr="005A54E8" w:rsidRDefault="005A54E8" w:rsidP="005A54E8">
            <w:pPr>
              <w:pStyle w:val="MTabTxt"/>
              <w:jc w:val="right"/>
              <w:rPr>
                <w:bCs/>
                <w:sz w:val="20"/>
                <w:szCs w:val="20"/>
              </w:rPr>
            </w:pPr>
            <w:r w:rsidRPr="005A54E8">
              <w:rPr>
                <w:bCs/>
                <w:sz w:val="20"/>
                <w:szCs w:val="20"/>
              </w:rPr>
              <w:t>50</w:t>
            </w:r>
          </w:p>
        </w:tc>
        <w:tc>
          <w:tcPr>
            <w:tcW w:w="911" w:type="pct"/>
            <w:tcBorders>
              <w:bottom w:val="single" w:sz="4" w:space="0" w:color="auto"/>
            </w:tcBorders>
          </w:tcPr>
          <w:p w14:paraId="26AECE4A" w14:textId="77777777" w:rsidR="005A54E8" w:rsidRPr="005A54E8" w:rsidRDefault="005A54E8" w:rsidP="005A54E8">
            <w:pPr>
              <w:pStyle w:val="MTabTxt"/>
              <w:rPr>
                <w:bCs/>
                <w:sz w:val="20"/>
                <w:szCs w:val="20"/>
              </w:rPr>
            </w:pPr>
            <w:r w:rsidRPr="005A54E8">
              <w:rPr>
                <w:bCs/>
                <w:sz w:val="20"/>
                <w:szCs w:val="20"/>
              </w:rPr>
              <w:t>1G</w:t>
            </w:r>
          </w:p>
        </w:tc>
        <w:tc>
          <w:tcPr>
            <w:tcW w:w="816" w:type="pct"/>
            <w:tcBorders>
              <w:bottom w:val="single" w:sz="4" w:space="0" w:color="auto"/>
            </w:tcBorders>
            <w:vAlign w:val="bottom"/>
          </w:tcPr>
          <w:p w14:paraId="1B2CB2DE" w14:textId="77777777" w:rsidR="005A54E8" w:rsidRPr="005A54E8" w:rsidRDefault="005A54E8" w:rsidP="005A54E8">
            <w:pPr>
              <w:pStyle w:val="MTabTxt"/>
              <w:jc w:val="right"/>
              <w:rPr>
                <w:bCs/>
                <w:sz w:val="20"/>
                <w:szCs w:val="20"/>
              </w:rPr>
            </w:pPr>
            <w:r w:rsidRPr="005A54E8">
              <w:rPr>
                <w:bCs/>
                <w:sz w:val="20"/>
                <w:szCs w:val="20"/>
              </w:rPr>
              <w:t>50</w:t>
            </w:r>
          </w:p>
        </w:tc>
      </w:tr>
    </w:tbl>
    <w:p w14:paraId="74D68C19" w14:textId="77777777" w:rsidR="00095AB4" w:rsidRPr="00741695" w:rsidRDefault="00095AB4" w:rsidP="00904ADC">
      <w:pPr>
        <w:pStyle w:val="SingleTxtG"/>
        <w:keepNext/>
        <w:keepLines/>
        <w:tabs>
          <w:tab w:val="left" w:pos="2268"/>
        </w:tabs>
        <w:ind w:left="2268" w:hanging="1134"/>
      </w:pPr>
      <w:r w:rsidRPr="00741695">
        <w:lastRenderedPageBreak/>
        <w:t>Figure 28.4.1.1</w:t>
      </w:r>
      <w:r w:rsidRPr="00741695">
        <w:tab/>
        <w:t>Amend the heading to read: “</w:t>
      </w:r>
      <w:r w:rsidRPr="00741695">
        <w:rPr>
          <w:b/>
          <w:bCs/>
          <w:sz w:val="22"/>
          <w:szCs w:val="22"/>
        </w:rPr>
        <w:t xml:space="preserve">Small package oven </w:t>
      </w:r>
      <w:r w:rsidRPr="00741695">
        <w:rPr>
          <w:b/>
          <w:bCs/>
        </w:rPr>
        <w:t>(Example 1)”</w:t>
      </w:r>
      <w:r w:rsidRPr="00741695">
        <w:t xml:space="preserve"> </w:t>
      </w:r>
    </w:p>
    <w:p w14:paraId="65C99F7A" w14:textId="77777777" w:rsidR="00095AB4" w:rsidRPr="00741695" w:rsidRDefault="00095AB4" w:rsidP="00904ADC">
      <w:pPr>
        <w:pStyle w:val="SingleTxtG"/>
        <w:keepNext/>
        <w:keepLines/>
        <w:tabs>
          <w:tab w:val="left" w:pos="2268"/>
        </w:tabs>
        <w:ind w:left="2268" w:hanging="1134"/>
      </w:pPr>
      <w:r w:rsidRPr="00741695">
        <w:t>Figure 28.4.1.2</w:t>
      </w:r>
      <w:r w:rsidRPr="00741695">
        <w:tab/>
        <w:t>Amend the heading to read: “</w:t>
      </w:r>
      <w:r w:rsidRPr="00741695">
        <w:rPr>
          <w:b/>
          <w:bCs/>
        </w:rPr>
        <w:t xml:space="preserve">Large package oven (top view and side </w:t>
      </w:r>
      <w:r w:rsidR="005A54E8">
        <w:rPr>
          <w:b/>
          <w:bCs/>
        </w:rPr>
        <w:tab/>
      </w:r>
      <w:r w:rsidR="005A54E8">
        <w:rPr>
          <w:b/>
          <w:bCs/>
        </w:rPr>
        <w:tab/>
      </w:r>
      <w:r w:rsidRPr="00741695">
        <w:rPr>
          <w:b/>
          <w:bCs/>
        </w:rPr>
        <w:t>view) (Example 2)</w:t>
      </w:r>
      <w:r w:rsidRPr="00741695">
        <w:t>”</w:t>
      </w:r>
    </w:p>
    <w:p w14:paraId="02F80A07" w14:textId="77777777" w:rsidR="00095AB4" w:rsidRPr="00741695" w:rsidRDefault="00095AB4" w:rsidP="005A54E8">
      <w:pPr>
        <w:pStyle w:val="SingleTxtG"/>
        <w:ind w:left="2268" w:hanging="1134"/>
        <w:rPr>
          <w:noProof/>
        </w:rPr>
      </w:pPr>
      <w:r w:rsidRPr="00741695">
        <w:rPr>
          <w:noProof/>
        </w:rPr>
        <w:t>28.4.2.</w:t>
      </w:r>
      <w:r w:rsidR="00FD09A6">
        <w:rPr>
          <w:noProof/>
        </w:rPr>
        <w:t>1</w:t>
      </w:r>
      <w:r w:rsidRPr="00741695">
        <w:rPr>
          <w:noProof/>
        </w:rPr>
        <w:t>.1</w:t>
      </w:r>
      <w:r w:rsidRPr="00741695">
        <w:rPr>
          <w:noProof/>
        </w:rPr>
        <w:tab/>
        <w:t>In the second sentence replace “heat loss data relating to the package” by “heat loss data of the package”. Add the following last sentence and its related sub-paragraphs (a) and (b):</w:t>
      </w:r>
    </w:p>
    <w:p w14:paraId="00A567F1" w14:textId="77777777" w:rsidR="00095AB4" w:rsidRPr="00741695" w:rsidRDefault="00095AB4" w:rsidP="005A54E8">
      <w:pPr>
        <w:pStyle w:val="SingleTxtG"/>
        <w:ind w:left="2835" w:hanging="567"/>
      </w:pPr>
      <w:r w:rsidRPr="00741695">
        <w:t>“There are two versions of the adiabatic storage test:</w:t>
      </w:r>
    </w:p>
    <w:p w14:paraId="64914146" w14:textId="77777777" w:rsidR="00095AB4" w:rsidRPr="00FD09A6" w:rsidRDefault="00095AB4" w:rsidP="005A54E8">
      <w:pPr>
        <w:pStyle w:val="SingleTxtG"/>
        <w:ind w:left="2835" w:hanging="567"/>
      </w:pPr>
      <w:r w:rsidRPr="00741695">
        <w:t>(a)</w:t>
      </w:r>
      <w:r w:rsidRPr="00741695">
        <w:tab/>
      </w:r>
      <w:r w:rsidRPr="00FD09A6">
        <w:t xml:space="preserve">Open version: A Dewar vessel within an oven is used. This set-up uses a capillary to prevent pressure build-up and a cooling system to limit the temperature increase due to a thermal runaway reaction; </w:t>
      </w:r>
    </w:p>
    <w:p w14:paraId="3381F829" w14:textId="77777777" w:rsidR="00095AB4" w:rsidRPr="00741695" w:rsidRDefault="00095AB4" w:rsidP="005A54E8">
      <w:pPr>
        <w:pStyle w:val="SingleTxtG"/>
        <w:ind w:left="2835" w:hanging="567"/>
      </w:pPr>
      <w:r w:rsidRPr="00FD09A6">
        <w:t>(b)</w:t>
      </w:r>
      <w:r w:rsidRPr="00FD09A6">
        <w:tab/>
        <w:t xml:space="preserve">Closed </w:t>
      </w:r>
      <w:r w:rsidR="00FD09A6" w:rsidRPr="00FD09A6">
        <w:t>v</w:t>
      </w:r>
      <w:r w:rsidRPr="00FD09A6">
        <w:t xml:space="preserve">ersion: A test vessel (e.g. Dewar or thin-walled vessel) is placed within an autoclave in an oven. </w:t>
      </w:r>
      <w:r w:rsidRPr="00FD09A6">
        <w:rPr>
          <w:lang w:eastAsia="fr-FR"/>
        </w:rPr>
        <w:t>Here the autoclave prevents the release of pressure to the surroundings</w:t>
      </w:r>
      <w:r w:rsidRPr="00FD09A6">
        <w:t xml:space="preserve"> during the test.”.</w:t>
      </w:r>
    </w:p>
    <w:p w14:paraId="1C1A0C8C" w14:textId="77777777" w:rsidR="00095AB4" w:rsidRPr="00741695" w:rsidRDefault="00095AB4" w:rsidP="005A54E8">
      <w:pPr>
        <w:pStyle w:val="SingleTxtG"/>
        <w:tabs>
          <w:tab w:val="left" w:pos="2268"/>
        </w:tabs>
      </w:pPr>
      <w:r w:rsidRPr="00741695">
        <w:t xml:space="preserve">28.4.2.1.2 </w:t>
      </w:r>
      <w:r w:rsidRPr="00741695">
        <w:tab/>
        <w:t>Amend to read as follows:</w:t>
      </w:r>
    </w:p>
    <w:p w14:paraId="2E600D8F" w14:textId="77777777" w:rsidR="00095AB4" w:rsidRPr="00741695" w:rsidRDefault="00095AB4" w:rsidP="005A54E8">
      <w:pPr>
        <w:pStyle w:val="SingleTxtG"/>
        <w:ind w:left="2268"/>
      </w:pPr>
      <w:r w:rsidRPr="00741695">
        <w:t>“28.4.2.1.2</w:t>
      </w:r>
      <w:r w:rsidRPr="00741695">
        <w:tab/>
        <w:t>The smallest temperature rise that can be detected with this method depends on the properties of the sample, but generally corresponds to a heat generation rate of 15 </w:t>
      </w:r>
      <w:proofErr w:type="spellStart"/>
      <w:r w:rsidRPr="00741695">
        <w:t>mW</w:t>
      </w:r>
      <w:proofErr w:type="spellEnd"/>
      <w:r w:rsidRPr="00741695">
        <w:t>/kg. The upper limit of the open version is determined by the capacity of the cooling system to safely cool the substance (up to 500 W/kg if water is used as coolant). The closed version can disregard this limit if performed in a high</w:t>
      </w:r>
      <w:r w:rsidR="0018523F">
        <w:t>-</w:t>
      </w:r>
      <w:r w:rsidRPr="00741695">
        <w:t>pressure autoclave. The maximum allowable error in heat generation is 30% at 15 </w:t>
      </w:r>
      <w:proofErr w:type="spellStart"/>
      <w:r w:rsidRPr="00741695">
        <w:t>mW</w:t>
      </w:r>
      <w:proofErr w:type="spellEnd"/>
      <w:r w:rsidRPr="00741695">
        <w:t>/kg and 10% from 100 </w:t>
      </w:r>
      <w:proofErr w:type="spellStart"/>
      <w:r w:rsidRPr="00741695">
        <w:t>mW</w:t>
      </w:r>
      <w:proofErr w:type="spellEnd"/>
      <w:r w:rsidRPr="00741695">
        <w:t xml:space="preserve">/kg to 10 W/kg. The detection limit of the adiabatic test should be suitable for assessing the heat loss from the package under consideration (e.g. 100 to 500 </w:t>
      </w:r>
      <w:proofErr w:type="spellStart"/>
      <w:r w:rsidRPr="00741695">
        <w:t>mW</w:t>
      </w:r>
      <w:proofErr w:type="spellEnd"/>
      <w:r w:rsidRPr="00741695">
        <w:t xml:space="preserve">/kg for L=60 </w:t>
      </w:r>
      <w:proofErr w:type="spellStart"/>
      <w:r w:rsidRPr="00741695">
        <w:t>mW</w:t>
      </w:r>
      <w:proofErr w:type="spellEnd"/>
      <w:r w:rsidRPr="00741695">
        <w:t>/kg K). If significant extrapolation of heat production rates derived from adiabatic test data is required, a validation with additional isothermal tests is recommended.”.</w:t>
      </w:r>
    </w:p>
    <w:p w14:paraId="35F4F15B" w14:textId="77777777" w:rsidR="00095AB4" w:rsidRPr="00741695" w:rsidRDefault="00095AB4" w:rsidP="005A54E8">
      <w:pPr>
        <w:pStyle w:val="SingleTxtG"/>
        <w:ind w:left="2268" w:hanging="1134"/>
      </w:pPr>
      <w:r w:rsidRPr="00741695">
        <w:t xml:space="preserve">28.4.2.1.3 </w:t>
      </w:r>
      <w:r w:rsidRPr="00741695">
        <w:tab/>
        <w:t xml:space="preserve">Replace the first sentence by the following </w:t>
      </w:r>
      <w:r w:rsidRPr="00741695">
        <w:rPr>
          <w:i/>
          <w:iCs/>
        </w:rPr>
        <w:t>(the sentence in bold “The test site</w:t>
      </w:r>
      <w:r w:rsidR="00FD09A6">
        <w:rPr>
          <w:i/>
          <w:iCs/>
        </w:rPr>
        <w:t xml:space="preserve"> </w:t>
      </w:r>
      <w:r w:rsidRPr="00741695">
        <w:rPr>
          <w:i/>
          <w:iCs/>
        </w:rPr>
        <w:t>(secondary explosion)” remains unchanged)</w:t>
      </w:r>
      <w:r w:rsidRPr="00741695">
        <w:t>:</w:t>
      </w:r>
    </w:p>
    <w:p w14:paraId="10DBF1B3" w14:textId="77777777" w:rsidR="00095AB4" w:rsidRPr="00741695" w:rsidRDefault="00095AB4" w:rsidP="005A54E8">
      <w:pPr>
        <w:pStyle w:val="SingleTxtG"/>
        <w:ind w:left="2268"/>
      </w:pPr>
      <w:r w:rsidRPr="00741695">
        <w:t>“An explosion may occur in the open version of the test if the cooling system is activated at a stage where the rate of heat generation exceeds the cooling capacity of the apparatus. For the closed version an explosion could lead to a rupture of the autoclave or its fittings.”.</w:t>
      </w:r>
    </w:p>
    <w:p w14:paraId="60D417FF" w14:textId="77777777" w:rsidR="00095AB4" w:rsidRPr="00741695" w:rsidRDefault="00095AB4" w:rsidP="004E7A50">
      <w:pPr>
        <w:pStyle w:val="SingleTxtG"/>
        <w:keepNext/>
        <w:keepLines/>
        <w:ind w:left="2268" w:hanging="1134"/>
      </w:pPr>
      <w:r w:rsidRPr="00741695">
        <w:t xml:space="preserve">28.4.2.2.1 </w:t>
      </w:r>
      <w:r w:rsidRPr="00741695">
        <w:tab/>
        <w:t>Insert a heading to read as follows: “Open version” and amend the existing paragraph as follows:</w:t>
      </w:r>
    </w:p>
    <w:p w14:paraId="43A985C7" w14:textId="77777777" w:rsidR="00095AB4" w:rsidRPr="00741695" w:rsidRDefault="00095AB4" w:rsidP="005A54E8">
      <w:pPr>
        <w:pStyle w:val="Bullet1G"/>
        <w:numPr>
          <w:ilvl w:val="0"/>
          <w:numId w:val="15"/>
        </w:numPr>
        <w:tabs>
          <w:tab w:val="clear" w:pos="1701"/>
        </w:tabs>
        <w:kinsoku/>
        <w:overflowPunct/>
        <w:autoSpaceDE/>
        <w:autoSpaceDN/>
        <w:adjustRightInd/>
        <w:snapToGrid/>
        <w:ind w:left="2552" w:hanging="284"/>
      </w:pPr>
      <w:r w:rsidRPr="00741695">
        <w:t>In the first sentence, replace “(1.0 or 1.5 litre)” by “(max. 3 litres) and insert a comma after “sample temperature”;</w:t>
      </w:r>
    </w:p>
    <w:p w14:paraId="597DEB99" w14:textId="77777777" w:rsidR="00095AB4" w:rsidRPr="00741695" w:rsidRDefault="00095AB4" w:rsidP="005A54E8">
      <w:pPr>
        <w:pStyle w:val="Bullet1G"/>
        <w:numPr>
          <w:ilvl w:val="0"/>
          <w:numId w:val="15"/>
        </w:numPr>
        <w:tabs>
          <w:tab w:val="clear" w:pos="1701"/>
        </w:tabs>
        <w:kinsoku/>
        <w:overflowPunct/>
        <w:autoSpaceDE/>
        <w:autoSpaceDN/>
        <w:adjustRightInd/>
        <w:snapToGrid/>
        <w:ind w:left="2552" w:hanging="284"/>
      </w:pPr>
      <w:r w:rsidRPr="00741695">
        <w:t>Amend the fourth sentence to read as follows: “Pressure build-up in the Dewar vessel is prevented by a sufficiently long capillary tube made of an inert substance (e.g. 2 m long PTFE tube) through the insulated lid.”.</w:t>
      </w:r>
    </w:p>
    <w:p w14:paraId="4EC43149" w14:textId="77777777" w:rsidR="00095AB4" w:rsidRPr="00741695" w:rsidRDefault="00095AB4" w:rsidP="005A54E8">
      <w:pPr>
        <w:pStyle w:val="Bullet1G"/>
        <w:numPr>
          <w:ilvl w:val="0"/>
          <w:numId w:val="15"/>
        </w:numPr>
        <w:tabs>
          <w:tab w:val="clear" w:pos="1701"/>
        </w:tabs>
        <w:kinsoku/>
        <w:overflowPunct/>
        <w:autoSpaceDE/>
        <w:autoSpaceDN/>
        <w:adjustRightInd/>
        <w:snapToGrid/>
        <w:ind w:left="2552" w:hanging="284"/>
      </w:pPr>
      <w:r w:rsidRPr="00741695">
        <w:t xml:space="preserve">In the seventh sentence </w:t>
      </w:r>
      <w:r w:rsidR="00FD09A6">
        <w:t>replace</w:t>
      </w:r>
      <w:r w:rsidRPr="00741695">
        <w:t xml:space="preserve"> “a secondary safety device is fitted which disconnects the power supply” by “a secondary safety device is used to disconnect the power supply”</w:t>
      </w:r>
    </w:p>
    <w:p w14:paraId="57A39C27" w14:textId="77777777" w:rsidR="00095AB4" w:rsidRPr="00741695" w:rsidRDefault="00095AB4" w:rsidP="005A54E8">
      <w:pPr>
        <w:pStyle w:val="Bullet1G"/>
        <w:numPr>
          <w:ilvl w:val="0"/>
          <w:numId w:val="15"/>
        </w:numPr>
        <w:tabs>
          <w:tab w:val="clear" w:pos="1701"/>
        </w:tabs>
        <w:kinsoku/>
        <w:overflowPunct/>
        <w:autoSpaceDE/>
        <w:autoSpaceDN/>
        <w:adjustRightInd/>
        <w:snapToGrid/>
        <w:ind w:left="2552" w:hanging="284"/>
      </w:pPr>
      <w:r w:rsidRPr="00741695">
        <w:t>Amend the sentence to read as follows: “A schematic drawing of an open apparatus for the adiabatic storage test is given in Figure 28.4.2.1.”.</w:t>
      </w:r>
    </w:p>
    <w:p w14:paraId="3AAA6DD1" w14:textId="77777777" w:rsidR="00095AB4" w:rsidRPr="00741695" w:rsidRDefault="00095AB4" w:rsidP="00095AB4">
      <w:pPr>
        <w:pStyle w:val="SingleTxtG"/>
      </w:pPr>
      <w:r w:rsidRPr="00741695">
        <w:tab/>
        <w:t>28.4.2.2.2</w:t>
      </w:r>
      <w:r w:rsidRPr="00741695">
        <w:tab/>
        <w:t>Insert the following new paragraphs (current 28.4.2.2.2 becomes 28.4.2.2.3):</w:t>
      </w:r>
    </w:p>
    <w:p w14:paraId="3743C91D" w14:textId="77777777" w:rsidR="00095AB4" w:rsidRPr="00741695" w:rsidRDefault="00095AB4" w:rsidP="005A54E8">
      <w:pPr>
        <w:pStyle w:val="SingleTxtG"/>
        <w:tabs>
          <w:tab w:val="left" w:pos="2268"/>
          <w:tab w:val="left" w:pos="3402"/>
        </w:tabs>
      </w:pPr>
      <w:r w:rsidRPr="00741695">
        <w:t>“28.4.2.2.2</w:t>
      </w:r>
      <w:r w:rsidRPr="00741695">
        <w:tab/>
        <w:t>Closed version</w:t>
      </w:r>
    </w:p>
    <w:p w14:paraId="3E871D60" w14:textId="77777777" w:rsidR="00095AB4" w:rsidRPr="00741695" w:rsidRDefault="00095AB4" w:rsidP="005A54E8">
      <w:pPr>
        <w:pStyle w:val="SingleTxtG"/>
        <w:tabs>
          <w:tab w:val="left" w:pos="2268"/>
        </w:tabs>
      </w:pPr>
      <w:r w:rsidRPr="00741695">
        <w:t>28.4.2.2.2.1</w:t>
      </w:r>
      <w:r w:rsidRPr="00741695">
        <w:tab/>
        <w:t>The apparatus consists of a suitable inert vessel (e.g. Dewar or thin-walled test cell) to contain the sample, a high-pressure autoclave and an insulated oven with a differential temperature control system. Thin-walled test cells require the use of a pressure control system to balance the internal and external cell pressure.</w:t>
      </w:r>
    </w:p>
    <w:p w14:paraId="607EBC6C" w14:textId="77777777" w:rsidR="00095AB4" w:rsidRPr="00741695" w:rsidRDefault="00095AB4" w:rsidP="005A54E8">
      <w:pPr>
        <w:pStyle w:val="SingleTxtG"/>
        <w:tabs>
          <w:tab w:val="left" w:pos="2268"/>
        </w:tabs>
      </w:pPr>
      <w:r w:rsidRPr="00741695">
        <w:lastRenderedPageBreak/>
        <w:t>28.4.2.2.2.2</w:t>
      </w:r>
      <w:r w:rsidRPr="00741695">
        <w:tab/>
        <w:t xml:space="preserve">The phi-factor (heat capacity of the set-up and the sample divided by heat capacity of the sample) of the system should be known and be considered in evaluating the tests results. Therefore, a suitable combination of phi-factor, insulation, and amount of substance should be chosen. The heat losses from the apparatus and detection limit of the system also </w:t>
      </w:r>
      <w:proofErr w:type="gramStart"/>
      <w:r w:rsidRPr="00741695">
        <w:t>have to</w:t>
      </w:r>
      <w:proofErr w:type="gramEnd"/>
      <w:r w:rsidRPr="00741695">
        <w:t xml:space="preserve"> be taken into consideration. An inert heating coil may be inserted into the sample. In addition to the high-pressure autoclave, a secondary safety device is used to disconnect the power supply to the oven at a pre</w:t>
      </w:r>
      <w:r w:rsidR="005A54E8">
        <w:t>-</w:t>
      </w:r>
      <w:r w:rsidRPr="00741695">
        <w:t>set temperature.</w:t>
      </w:r>
    </w:p>
    <w:p w14:paraId="790F5F30" w14:textId="77777777" w:rsidR="00095AB4" w:rsidRPr="004E7A50" w:rsidRDefault="00095AB4" w:rsidP="004E7A50">
      <w:pPr>
        <w:pStyle w:val="SingleTxtG"/>
        <w:tabs>
          <w:tab w:val="left" w:pos="2268"/>
        </w:tabs>
      </w:pPr>
      <w:bookmarkStart w:id="3" w:name="_Hlk35357983"/>
      <w:r w:rsidRPr="004E7A50">
        <w:t>28.4.2.2.2.3</w:t>
      </w:r>
      <w:bookmarkEnd w:id="3"/>
      <w:r w:rsidRPr="004E7A50">
        <w:tab/>
      </w:r>
      <w:r w:rsidR="004E7A50" w:rsidRPr="004E7A50">
        <w:t>The closed version of the test is preferred for substances with a high vapour pressure at the test temperature to prevent mass loss due to evaporation or for substances that decompose with severe pressure rises (which in case of an open version of the test would throw off the insulated lid or eject the sample from the test cell). The weight of the sample should be determined after the measurement to detect mass loss during the test. Leakage from the system and the resulting evaporation cooling can result in a significant loss of sensitivity in the test and a large margin of error in the results. The suitability of a test run in the open version can be evaluated by determining the mass loss of the sample after the test.</w:t>
      </w:r>
      <w:r w:rsidRPr="004E7A50">
        <w:t>”.</w:t>
      </w:r>
    </w:p>
    <w:p w14:paraId="5DC39A1D" w14:textId="77777777" w:rsidR="00095AB4" w:rsidRPr="00741695" w:rsidRDefault="00095AB4" w:rsidP="005A54E8">
      <w:pPr>
        <w:pStyle w:val="SingleTxtG"/>
        <w:tabs>
          <w:tab w:val="left" w:pos="4253"/>
        </w:tabs>
      </w:pPr>
      <w:r w:rsidRPr="00741695">
        <w:t>28.4.2.2.3 (new, former 28.4.2.2.2)</w:t>
      </w:r>
      <w:r w:rsidRPr="00741695">
        <w:tab/>
        <w:t>Amend as follows:</w:t>
      </w:r>
    </w:p>
    <w:p w14:paraId="33FC371B" w14:textId="77777777" w:rsidR="00095AB4" w:rsidRPr="005A54E8" w:rsidRDefault="00095AB4" w:rsidP="005A54E8">
      <w:pPr>
        <w:pStyle w:val="Bullet1G"/>
        <w:tabs>
          <w:tab w:val="clear" w:pos="1701"/>
        </w:tabs>
        <w:ind w:left="2552" w:hanging="284"/>
      </w:pPr>
      <w:r w:rsidRPr="005A54E8">
        <w:t>In the first sentence, after “platinum resistance sensors” insert “(RTD)”;</w:t>
      </w:r>
    </w:p>
    <w:p w14:paraId="6DDAE837" w14:textId="77777777" w:rsidR="00095AB4" w:rsidRPr="005A54E8" w:rsidRDefault="00095AB4" w:rsidP="005A54E8">
      <w:pPr>
        <w:pStyle w:val="Bullet1G"/>
        <w:tabs>
          <w:tab w:val="clear" w:pos="1701"/>
        </w:tabs>
        <w:ind w:left="2552" w:hanging="284"/>
      </w:pPr>
      <w:r w:rsidRPr="005A54E8">
        <w:t>In the second sentence, replace “surrounding air” with “surroundings”;</w:t>
      </w:r>
    </w:p>
    <w:p w14:paraId="020B64EB" w14:textId="77777777" w:rsidR="00095AB4" w:rsidRPr="005A54E8" w:rsidRDefault="00095AB4" w:rsidP="005A54E8">
      <w:pPr>
        <w:pStyle w:val="Bullet1G"/>
        <w:tabs>
          <w:tab w:val="clear" w:pos="1701"/>
        </w:tabs>
        <w:ind w:left="2552" w:hanging="284"/>
      </w:pPr>
      <w:r w:rsidRPr="005A54E8">
        <w:t>Amend the end of the third sentence to read as follows: “…to monitor the temperature of the substance as well as (the air) in the oven.”.</w:t>
      </w:r>
    </w:p>
    <w:p w14:paraId="0A2B443F" w14:textId="77777777" w:rsidR="00095AB4" w:rsidRPr="005A54E8" w:rsidRDefault="00095AB4" w:rsidP="005A54E8">
      <w:pPr>
        <w:pStyle w:val="Bullet1G"/>
        <w:tabs>
          <w:tab w:val="clear" w:pos="1701"/>
        </w:tabs>
        <w:ind w:left="2552" w:hanging="284"/>
      </w:pPr>
      <w:r w:rsidRPr="005A54E8">
        <w:t>Amend the last sentence to read as follows: “For substances with an SADT or SAPT below ambient temperature, the test should be performed with sufficient cooling.”.</w:t>
      </w:r>
    </w:p>
    <w:p w14:paraId="38E5D332" w14:textId="77777777" w:rsidR="00095AB4" w:rsidRPr="00741695" w:rsidRDefault="00095AB4" w:rsidP="00095AB4">
      <w:pPr>
        <w:pStyle w:val="SingleTxtG"/>
      </w:pPr>
      <w:r w:rsidRPr="00741695">
        <w:t>28.4.2.3.1</w:t>
      </w:r>
      <w:r w:rsidRPr="00741695">
        <w:tab/>
        <w:t xml:space="preserve">Amend to read as follows: </w:t>
      </w:r>
    </w:p>
    <w:p w14:paraId="63E3F95F" w14:textId="77777777" w:rsidR="00095AB4" w:rsidRPr="00741695" w:rsidRDefault="00095AB4" w:rsidP="005A54E8">
      <w:pPr>
        <w:pStyle w:val="SingleTxtG"/>
        <w:tabs>
          <w:tab w:val="left" w:pos="2268"/>
        </w:tabs>
      </w:pPr>
      <w:r w:rsidRPr="00741695">
        <w:t>“</w:t>
      </w:r>
      <w:bookmarkStart w:id="4" w:name="_Hlk35358385"/>
      <w:r w:rsidRPr="00741695">
        <w:t>28.4.2.3.1</w:t>
      </w:r>
      <w:bookmarkEnd w:id="4"/>
      <w:r w:rsidRPr="00741695">
        <w:tab/>
        <w:t>Validation procedures</w:t>
      </w:r>
    </w:p>
    <w:p w14:paraId="3BE2A8B9" w14:textId="77777777" w:rsidR="00095AB4" w:rsidRPr="00741695" w:rsidRDefault="00095AB4" w:rsidP="005A54E8">
      <w:pPr>
        <w:pStyle w:val="SingleTxtG"/>
        <w:tabs>
          <w:tab w:val="left" w:pos="2835"/>
          <w:tab w:val="left" w:pos="3969"/>
        </w:tabs>
        <w:ind w:left="3402" w:hanging="992"/>
      </w:pPr>
      <w:r w:rsidRPr="00741695">
        <w:t>(a)</w:t>
      </w:r>
      <w:r w:rsidRPr="00741695">
        <w:tab/>
        <w:t>The validation procedure A is as follows:</w:t>
      </w:r>
    </w:p>
    <w:p w14:paraId="016F9AAD" w14:textId="77777777" w:rsidR="00095AB4" w:rsidRPr="00741695" w:rsidRDefault="00095AB4" w:rsidP="005A54E8">
      <w:pPr>
        <w:pStyle w:val="SingleTxtG"/>
        <w:ind w:left="3402" w:hanging="567"/>
      </w:pPr>
      <w:r w:rsidRPr="00741695">
        <w:t>(</w:t>
      </w:r>
      <w:proofErr w:type="spellStart"/>
      <w:r w:rsidRPr="00741695">
        <w:t>i</w:t>
      </w:r>
      <w:proofErr w:type="spellEnd"/>
      <w:r w:rsidRPr="00741695">
        <w:t>)</w:t>
      </w:r>
      <w:r w:rsidRPr="00741695">
        <w:tab/>
        <w:t>Fill the Dewar vessel with a suitable inorganic salt, preferably with similar physical properties to the test substance (e.g. sodium chloride or dense soda ash). Alternatively, an oil of known specific heat capacity at the temperature of interest (e.g. silicone oil, apparent density 0.96 ± 0.02 at 20 °C and heat capacity 1.46 ± 0.02 J/g at 25 °C) may be used;</w:t>
      </w:r>
    </w:p>
    <w:p w14:paraId="318D8DAE" w14:textId="77777777" w:rsidR="00095AB4" w:rsidRPr="00741695" w:rsidRDefault="00095AB4" w:rsidP="005A54E8">
      <w:pPr>
        <w:pStyle w:val="SingleTxtG"/>
        <w:ind w:left="3402" w:hanging="567"/>
      </w:pPr>
      <w:r w:rsidRPr="00741695">
        <w:t>(ii)</w:t>
      </w:r>
      <w:r w:rsidRPr="00741695">
        <w:tab/>
        <w:t>Place the Dewar vessel in the vessel holder of the oven and heat the validation substance in 20 °C steps using the internal heating system at a known power rating, e.g. 0.333 W or 1.000 W, and determine the heat losses at 40 °C, 60 °C, 80 °C and 100 °C;</w:t>
      </w:r>
    </w:p>
    <w:p w14:paraId="1E8113D9" w14:textId="77777777" w:rsidR="00095AB4" w:rsidRPr="00741695" w:rsidRDefault="00095AB4" w:rsidP="005A54E8">
      <w:pPr>
        <w:pStyle w:val="SingleTxtG"/>
        <w:ind w:left="3402" w:hanging="567"/>
      </w:pPr>
      <w:r w:rsidRPr="00741695">
        <w:t>(iii)</w:t>
      </w:r>
      <w:r w:rsidRPr="00741695">
        <w:tab/>
        <w:t>Use the data to determine the heat capacity of the Dewar vessel and the test set-up using the method given in 28.4.2.4.</w:t>
      </w:r>
    </w:p>
    <w:p w14:paraId="58E31D52" w14:textId="77777777" w:rsidR="00095AB4" w:rsidRPr="00741695" w:rsidRDefault="00095AB4" w:rsidP="00095AB4">
      <w:pPr>
        <w:pStyle w:val="SingleTxtG"/>
        <w:tabs>
          <w:tab w:val="left" w:pos="2835"/>
        </w:tabs>
        <w:ind w:left="2268"/>
      </w:pPr>
      <w:r w:rsidRPr="00741695">
        <w:t>(b)</w:t>
      </w:r>
      <w:r w:rsidRPr="00741695">
        <w:tab/>
        <w:t>The validation procedure B is as follows:</w:t>
      </w:r>
    </w:p>
    <w:p w14:paraId="1BE8BECD" w14:textId="77777777" w:rsidR="00095AB4" w:rsidRPr="00741695" w:rsidRDefault="00095AB4" w:rsidP="00095AB4">
      <w:pPr>
        <w:pStyle w:val="SingleTxtG"/>
        <w:ind w:left="3261" w:hanging="426"/>
      </w:pPr>
      <w:r w:rsidRPr="00741695">
        <w:t>(</w:t>
      </w:r>
      <w:proofErr w:type="spellStart"/>
      <w:r w:rsidRPr="00741695">
        <w:t>i</w:t>
      </w:r>
      <w:proofErr w:type="spellEnd"/>
      <w:r w:rsidRPr="00741695">
        <w:t>)</w:t>
      </w:r>
      <w:r w:rsidRPr="00741695">
        <w:tab/>
        <w:t xml:space="preserve">In order to perform validation procedure </w:t>
      </w:r>
      <w:proofErr w:type="gramStart"/>
      <w:r w:rsidRPr="00741695">
        <w:t>B</w:t>
      </w:r>
      <w:proofErr w:type="gramEnd"/>
      <w:r w:rsidRPr="00741695">
        <w:t xml:space="preserve"> the test set-up should be well characterized (e.g. by performing validation procedure A first);</w:t>
      </w:r>
    </w:p>
    <w:p w14:paraId="4AEC7EC3" w14:textId="77777777" w:rsidR="00095AB4" w:rsidRPr="004E7A50" w:rsidRDefault="00095AB4" w:rsidP="00095AB4">
      <w:pPr>
        <w:pStyle w:val="SingleTxtG"/>
        <w:ind w:left="3261" w:hanging="426"/>
      </w:pPr>
      <w:bookmarkStart w:id="5" w:name="_Hlk20254433"/>
      <w:r w:rsidRPr="004E7A50">
        <w:t>(ii)</w:t>
      </w:r>
      <w:r w:rsidRPr="004E7A50">
        <w:tab/>
        <w:t xml:space="preserve">The test set-up must be validated using the method described in 28.4.2.4 with at least two standard substances or mixtures. Suitable choices for these standards are </w:t>
      </w:r>
      <w:proofErr w:type="spellStart"/>
      <w:r w:rsidRPr="004E7A50">
        <w:t>dicumylperoxide</w:t>
      </w:r>
      <w:proofErr w:type="spellEnd"/>
      <w:r w:rsidRPr="004E7A50">
        <w:t xml:space="preserve"> in ethylbenzene</w:t>
      </w:r>
      <w:r w:rsidR="004E7A50">
        <w:rPr>
          <w:vertAlign w:val="superscript"/>
        </w:rPr>
        <w:t>1</w:t>
      </w:r>
      <w:r w:rsidRPr="004E7A50">
        <w:t xml:space="preserve"> (40:60% w/w, SADT for a heat loss of 60 </w:t>
      </w:r>
      <w:proofErr w:type="spellStart"/>
      <w:r w:rsidRPr="004E7A50">
        <w:t>mW</w:t>
      </w:r>
      <w:proofErr w:type="spellEnd"/>
      <w:r w:rsidRPr="004E7A50">
        <w:t>/kg K should be 90 °C), or any of the substances from the example of results tables in chapter 28.</w:t>
      </w:r>
    </w:p>
    <w:p w14:paraId="6DC7D2D5" w14:textId="77777777" w:rsidR="00095AB4" w:rsidRPr="004E7A50" w:rsidRDefault="00095AB4" w:rsidP="005A54E8">
      <w:pPr>
        <w:pStyle w:val="SingleTxtG"/>
        <w:ind w:left="2268"/>
      </w:pPr>
      <w:r w:rsidRPr="004E7A50">
        <w:t xml:space="preserve">Add the following footnote </w:t>
      </w:r>
      <w:r w:rsidR="00CB1B31">
        <w:t>2</w:t>
      </w:r>
      <w:r w:rsidRPr="004E7A50">
        <w:t>:</w:t>
      </w:r>
    </w:p>
    <w:p w14:paraId="25F026F9" w14:textId="77777777" w:rsidR="00095AB4" w:rsidRPr="00741695" w:rsidRDefault="00095AB4" w:rsidP="005A54E8">
      <w:pPr>
        <w:pStyle w:val="SingleTxtG"/>
        <w:tabs>
          <w:tab w:val="left" w:pos="1701"/>
        </w:tabs>
        <w:ind w:left="2268"/>
        <w:rPr>
          <w:i/>
          <w:iCs/>
        </w:rPr>
      </w:pPr>
      <w:r w:rsidRPr="004E7A50">
        <w:rPr>
          <w:vertAlign w:val="superscript"/>
          <w:lang w:eastAsia="fr-FR"/>
        </w:rPr>
        <w:t>“</w:t>
      </w:r>
      <w:r w:rsidR="00CB1B31">
        <w:rPr>
          <w:vertAlign w:val="superscript"/>
          <w:lang w:eastAsia="fr-FR"/>
        </w:rPr>
        <w:t>2</w:t>
      </w:r>
      <w:r w:rsidRPr="004E7A50">
        <w:rPr>
          <w:lang w:eastAsia="fr-FR"/>
        </w:rPr>
        <w:tab/>
      </w:r>
      <w:r w:rsidRPr="004E7A50">
        <w:rPr>
          <w:b/>
          <w:bCs/>
          <w:i/>
          <w:iCs/>
          <w:lang w:eastAsia="fr-FR"/>
        </w:rPr>
        <w:t>Reference:</w:t>
      </w:r>
      <w:r w:rsidRPr="004E7A50">
        <w:rPr>
          <w:i/>
          <w:iCs/>
          <w:lang w:eastAsia="fr-FR"/>
        </w:rPr>
        <w:t xml:space="preserve"> </w:t>
      </w:r>
      <w:proofErr w:type="spellStart"/>
      <w:r w:rsidRPr="004E7A50">
        <w:rPr>
          <w:i/>
          <w:iCs/>
        </w:rPr>
        <w:t>Dürrstein</w:t>
      </w:r>
      <w:proofErr w:type="spellEnd"/>
      <w:r w:rsidRPr="004E7A50">
        <w:rPr>
          <w:i/>
          <w:iCs/>
        </w:rPr>
        <w:t xml:space="preserve"> S., </w:t>
      </w:r>
      <w:proofErr w:type="spellStart"/>
      <w:r w:rsidRPr="004E7A50">
        <w:rPr>
          <w:i/>
          <w:iCs/>
        </w:rPr>
        <w:t>Kappler</w:t>
      </w:r>
      <w:proofErr w:type="spellEnd"/>
      <w:r w:rsidRPr="004E7A50">
        <w:rPr>
          <w:i/>
          <w:iCs/>
        </w:rPr>
        <w:t xml:space="preserve"> C., Neuhaus I., Malow M., Michael-Schulz H., </w:t>
      </w:r>
      <w:proofErr w:type="spellStart"/>
      <w:r w:rsidRPr="004E7A50">
        <w:rPr>
          <w:i/>
          <w:iCs/>
        </w:rPr>
        <w:t>Gödde</w:t>
      </w:r>
      <w:proofErr w:type="spellEnd"/>
      <w:r w:rsidRPr="004E7A50">
        <w:rPr>
          <w:i/>
          <w:iCs/>
        </w:rPr>
        <w:t xml:space="preserve"> M., 2016, Modell-based prediction of the adiabatic induction </w:t>
      </w:r>
      <w:r w:rsidRPr="004E7A50">
        <w:rPr>
          <w:i/>
          <w:iCs/>
        </w:rPr>
        <w:lastRenderedPageBreak/>
        <w:t xml:space="preserve">period and SADT of </w:t>
      </w:r>
      <w:proofErr w:type="spellStart"/>
      <w:r w:rsidRPr="004E7A50">
        <w:rPr>
          <w:i/>
          <w:iCs/>
        </w:rPr>
        <w:t>dicumyl</w:t>
      </w:r>
      <w:proofErr w:type="spellEnd"/>
      <w:r w:rsidRPr="004E7A50">
        <w:rPr>
          <w:i/>
          <w:iCs/>
        </w:rPr>
        <w:t xml:space="preserve"> peroxide solution and comparison to large-scale experiments performed using 216.5-liter barrels in the H.1 test, Chemical Engineering Transactions, 48, 475-480.”.</w:t>
      </w:r>
    </w:p>
    <w:bookmarkEnd w:id="5"/>
    <w:p w14:paraId="0913E006" w14:textId="77777777" w:rsidR="00095AB4" w:rsidRPr="005A54E8" w:rsidRDefault="00095AB4" w:rsidP="005A54E8">
      <w:pPr>
        <w:pStyle w:val="SingleTxtG"/>
      </w:pPr>
      <w:r w:rsidRPr="005A54E8">
        <w:t>28.4.2.3.2</w:t>
      </w:r>
      <w:r w:rsidRPr="005A54E8">
        <w:tab/>
        <w:t>Amend to read as follows:</w:t>
      </w:r>
    </w:p>
    <w:p w14:paraId="5A85F72E" w14:textId="77777777" w:rsidR="00095AB4" w:rsidRPr="005A54E8" w:rsidRDefault="00095AB4" w:rsidP="005A54E8">
      <w:pPr>
        <w:pStyle w:val="SingleTxtG"/>
      </w:pPr>
      <w:r w:rsidRPr="005A54E8">
        <w:t>“28.4.2.3.2</w:t>
      </w:r>
      <w:r w:rsidRPr="005A54E8">
        <w:tab/>
        <w:t>Test procedure</w:t>
      </w:r>
    </w:p>
    <w:p w14:paraId="606897F8" w14:textId="77777777" w:rsidR="00095AB4" w:rsidRPr="00741695" w:rsidRDefault="00095AB4" w:rsidP="00095AB4">
      <w:pPr>
        <w:pStyle w:val="SingleTxtG"/>
        <w:ind w:firstLine="1134"/>
      </w:pPr>
      <w:r w:rsidRPr="00741695">
        <w:t>The test procedure is as follows:</w:t>
      </w:r>
    </w:p>
    <w:p w14:paraId="279AF364" w14:textId="77777777" w:rsidR="00095AB4" w:rsidRPr="005A54E8" w:rsidRDefault="00095AB4" w:rsidP="00095AB4">
      <w:pPr>
        <w:pStyle w:val="SingleTxtG"/>
        <w:ind w:left="2835" w:hanging="567"/>
      </w:pPr>
      <w:r w:rsidRPr="005A54E8">
        <w:t>(a)</w:t>
      </w:r>
      <w:r w:rsidRPr="005A54E8">
        <w:tab/>
        <w:t>Fill the Dewar vessel/test cell with the weighed sample, including a representative amount of packaging material (if necessary), and place it in the vessel holder of the oven;</w:t>
      </w:r>
    </w:p>
    <w:p w14:paraId="7E780530" w14:textId="77777777" w:rsidR="00095AB4" w:rsidRPr="00FD09A6" w:rsidRDefault="00095AB4" w:rsidP="00095AB4">
      <w:pPr>
        <w:pStyle w:val="SingleTxtG"/>
        <w:ind w:left="2835" w:hanging="567"/>
      </w:pPr>
      <w:r w:rsidRPr="00741695">
        <w:t>(b)</w:t>
      </w:r>
      <w:r w:rsidRPr="00741695">
        <w:tab/>
      </w:r>
      <w:r w:rsidRPr="005A54E8">
        <w:t xml:space="preserve">Start the temperature monitoring and then increase the sample temperature </w:t>
      </w:r>
      <w:r w:rsidRPr="00FD09A6">
        <w:t>to a pre-set temperature at which detectable self-heating may occur. The specific heat of the substance can either be calculated from the temperature rise, heating time and heating power, or be determined by any suitable calorimetric test method beforehand;</w:t>
      </w:r>
    </w:p>
    <w:p w14:paraId="5D6BF5AD" w14:textId="77777777" w:rsidR="00095AB4" w:rsidRPr="00FD09A6" w:rsidRDefault="00095AB4" w:rsidP="00095AB4">
      <w:pPr>
        <w:pStyle w:val="SingleTxtG"/>
        <w:ind w:left="2835" w:hanging="567"/>
      </w:pPr>
      <w:r w:rsidRPr="00FD09A6">
        <w:t>(c)</w:t>
      </w:r>
      <w:r w:rsidRPr="00FD09A6">
        <w:tab/>
        <w:t>Heat the sample to the set temperature, maintain the oven temperature and monitor the sample temperature. If no temperature rise due to self-heating is observed after temperature equilibration of the system (e.g. 24 h for the open system), increase the oven temperature by 5 °C. Repeat this procedure until self-heating is detected;</w:t>
      </w:r>
    </w:p>
    <w:p w14:paraId="11BCD5C7" w14:textId="77777777" w:rsidR="00095AB4" w:rsidRPr="00FD09A6" w:rsidRDefault="00095AB4" w:rsidP="00095AB4">
      <w:pPr>
        <w:pStyle w:val="SingleTxtG"/>
        <w:ind w:left="2835" w:hanging="567"/>
      </w:pPr>
      <w:r w:rsidRPr="00FD09A6">
        <w:tab/>
      </w:r>
      <w:r w:rsidRPr="00FD09A6">
        <w:tab/>
        <w:t>For the closed version the apparatus can be heated with &lt;0.5 W/kg until self-heating is detected. The heating power per unit mass should remain below the sensitivity for self-heating detection of the test equipment or autoclave;</w:t>
      </w:r>
    </w:p>
    <w:p w14:paraId="1461E44D" w14:textId="77777777" w:rsidR="00095AB4" w:rsidRPr="00FD09A6" w:rsidRDefault="00095AB4" w:rsidP="00095AB4">
      <w:pPr>
        <w:pStyle w:val="SingleTxtG"/>
        <w:ind w:left="2835" w:hanging="567"/>
      </w:pPr>
      <w:r w:rsidRPr="00FD09A6">
        <w:t>(d)</w:t>
      </w:r>
      <w:r w:rsidRPr="00FD09A6">
        <w:tab/>
        <w:t xml:space="preserve">When self-heating is detected, the sample </w:t>
      </w:r>
      <w:proofErr w:type="gramStart"/>
      <w:r w:rsidRPr="00FD09A6">
        <w:t>is allowed to</w:t>
      </w:r>
      <w:proofErr w:type="gramEnd"/>
      <w:r w:rsidRPr="00FD09A6">
        <w:t xml:space="preserve"> heat up under adiabatic conditions to a pre-set temperature, at which point the cooling system is activated or the oven temperature has reached its limit;</w:t>
      </w:r>
    </w:p>
    <w:p w14:paraId="0A800982" w14:textId="77777777" w:rsidR="00095AB4" w:rsidRPr="00FD09A6" w:rsidRDefault="00095AB4" w:rsidP="00095AB4">
      <w:pPr>
        <w:pStyle w:val="SingleTxtG"/>
        <w:ind w:left="2835" w:hanging="567"/>
      </w:pPr>
      <w:r w:rsidRPr="00FD09A6">
        <w:tab/>
        <w:t>For the open version this temperature should be set so that the rate of heat generation does not exceed the cooling capacity of the system;</w:t>
      </w:r>
    </w:p>
    <w:p w14:paraId="6CF98828" w14:textId="77777777" w:rsidR="00095AB4" w:rsidRPr="00FD09A6" w:rsidRDefault="00095AB4" w:rsidP="00095AB4">
      <w:pPr>
        <w:pStyle w:val="SingleTxtG"/>
        <w:ind w:left="2835" w:hanging="567"/>
      </w:pPr>
      <w:r w:rsidRPr="00FD09A6">
        <w:tab/>
        <w:t>For the closed version this temperature is usually a pre</w:t>
      </w:r>
      <w:r w:rsidR="005A54E8" w:rsidRPr="00FD09A6">
        <w:t>-</w:t>
      </w:r>
      <w:r w:rsidRPr="00FD09A6">
        <w:t>set maximum oven temperature. The sample may exceed this temperature under non-adiabatic conditions.”.</w:t>
      </w:r>
    </w:p>
    <w:p w14:paraId="3BE94EC2" w14:textId="77777777" w:rsidR="00095AB4" w:rsidRPr="00FD09A6" w:rsidRDefault="00095AB4" w:rsidP="005A54E8">
      <w:pPr>
        <w:pStyle w:val="SingleTxtG"/>
        <w:tabs>
          <w:tab w:val="left" w:pos="2268"/>
        </w:tabs>
        <w:ind w:left="2268" w:hanging="1134"/>
      </w:pPr>
      <w:r w:rsidRPr="00FD09A6">
        <w:t>28.4.2.4.2</w:t>
      </w:r>
      <w:r w:rsidRPr="00FD09A6">
        <w:tab/>
        <w:t>For B, M</w:t>
      </w:r>
      <w:r w:rsidRPr="00FD09A6">
        <w:rPr>
          <w:vertAlign w:val="subscript"/>
        </w:rPr>
        <w:t xml:space="preserve">1 </w:t>
      </w:r>
      <w:r w:rsidRPr="00FD09A6">
        <w:t>and</w:t>
      </w:r>
      <w:r w:rsidRPr="00FD09A6">
        <w:rPr>
          <w:vertAlign w:val="subscript"/>
        </w:rPr>
        <w:t xml:space="preserve"> </w:t>
      </w:r>
      <w:r w:rsidRPr="00FD09A6">
        <w:t>Cp</w:t>
      </w:r>
      <w:r w:rsidRPr="00FD09A6">
        <w:rPr>
          <w:vertAlign w:val="subscript"/>
        </w:rPr>
        <w:t>1</w:t>
      </w:r>
      <w:r w:rsidRPr="00FD09A6">
        <w:t xml:space="preserve"> replace “calibration” by “validation”.</w:t>
      </w:r>
    </w:p>
    <w:p w14:paraId="007F356F" w14:textId="77777777" w:rsidR="00095AB4" w:rsidRPr="00FD09A6" w:rsidRDefault="00095AB4" w:rsidP="005A54E8">
      <w:pPr>
        <w:pStyle w:val="SingleTxtG"/>
        <w:tabs>
          <w:tab w:val="left" w:pos="2268"/>
        </w:tabs>
        <w:ind w:left="2268" w:hanging="1134"/>
      </w:pPr>
      <w:r w:rsidRPr="00FD09A6">
        <w:t>28.4.2.4.6</w:t>
      </w:r>
      <w:r w:rsidRPr="00FD09A6">
        <w:tab/>
        <w:t>In the first sentence insert “</w:t>
      </w:r>
      <w:r w:rsidRPr="00FD09A6">
        <w:rPr>
          <w:sz w:val="22"/>
          <w:szCs w:val="22"/>
        </w:rPr>
        <w:t>(Q</w:t>
      </w:r>
      <w:r w:rsidRPr="00FD09A6">
        <w:rPr>
          <w:sz w:val="22"/>
          <w:szCs w:val="22"/>
          <w:vertAlign w:val="subscript"/>
        </w:rPr>
        <w:t>T</w:t>
      </w:r>
      <w:r w:rsidRPr="00FD09A6">
        <w:rPr>
          <w:sz w:val="22"/>
          <w:szCs w:val="22"/>
        </w:rPr>
        <w:t xml:space="preserve">)” after “per unit of mass”. </w:t>
      </w:r>
    </w:p>
    <w:p w14:paraId="2B318558" w14:textId="77777777" w:rsidR="00095AB4" w:rsidRPr="00FD09A6" w:rsidRDefault="00095AB4" w:rsidP="005A54E8">
      <w:pPr>
        <w:pStyle w:val="SingleTxtG"/>
        <w:tabs>
          <w:tab w:val="left" w:pos="2268"/>
        </w:tabs>
        <w:ind w:left="2268" w:hanging="1134"/>
      </w:pPr>
      <w:r w:rsidRPr="00FD09A6">
        <w:t>28.4.2.5</w:t>
      </w:r>
      <w:r w:rsidRPr="00FD09A6">
        <w:tab/>
        <w:t>Insert a reference to note “a” against the name of the substances currently listed in the table and add a new row at the end as follows:</w:t>
      </w:r>
    </w:p>
    <w:tbl>
      <w:tblPr>
        <w:tblW w:w="7720" w:type="dxa"/>
        <w:tblInd w:w="1134" w:type="dxa"/>
        <w:tblCellMar>
          <w:left w:w="120" w:type="dxa"/>
          <w:right w:w="120" w:type="dxa"/>
        </w:tblCellMar>
        <w:tblLook w:val="0000" w:firstRow="0" w:lastRow="0" w:firstColumn="0" w:lastColumn="0" w:noHBand="0" w:noVBand="0"/>
      </w:tblPr>
      <w:tblGrid>
        <w:gridCol w:w="2125"/>
        <w:gridCol w:w="993"/>
        <w:gridCol w:w="1135"/>
        <w:gridCol w:w="2125"/>
        <w:gridCol w:w="1342"/>
      </w:tblGrid>
      <w:tr w:rsidR="00D543C2" w:rsidRPr="00FD09A6" w14:paraId="59B199C7" w14:textId="77777777" w:rsidTr="00D543C2">
        <w:trPr>
          <w:cantSplit/>
        </w:trPr>
        <w:tc>
          <w:tcPr>
            <w:tcW w:w="1376" w:type="pct"/>
            <w:tcBorders>
              <w:top w:val="single" w:sz="8" w:space="0" w:color="auto"/>
              <w:bottom w:val="single" w:sz="8" w:space="0" w:color="auto"/>
            </w:tcBorders>
          </w:tcPr>
          <w:p w14:paraId="25D54648" w14:textId="77777777" w:rsidR="005A54E8" w:rsidRPr="00FD09A6" w:rsidRDefault="005A54E8" w:rsidP="007C449B">
            <w:pPr>
              <w:pStyle w:val="MTabTxt"/>
              <w:rPr>
                <w:b/>
                <w:bCs/>
                <w:sz w:val="20"/>
                <w:szCs w:val="20"/>
              </w:rPr>
            </w:pPr>
            <w:r w:rsidRPr="00FD09A6">
              <w:rPr>
                <w:b/>
                <w:bCs/>
                <w:sz w:val="20"/>
                <w:szCs w:val="20"/>
              </w:rPr>
              <w:t>Substance</w:t>
            </w:r>
          </w:p>
        </w:tc>
        <w:tc>
          <w:tcPr>
            <w:tcW w:w="643" w:type="pct"/>
            <w:tcBorders>
              <w:top w:val="single" w:sz="8" w:space="0" w:color="auto"/>
              <w:bottom w:val="single" w:sz="8" w:space="0" w:color="auto"/>
            </w:tcBorders>
          </w:tcPr>
          <w:p w14:paraId="01F5F7D0" w14:textId="77777777" w:rsidR="005A54E8" w:rsidRPr="00FD09A6" w:rsidRDefault="005A54E8" w:rsidP="007C449B">
            <w:pPr>
              <w:pStyle w:val="MTabTxt"/>
              <w:jc w:val="right"/>
              <w:rPr>
                <w:b/>
                <w:bCs/>
                <w:sz w:val="20"/>
                <w:szCs w:val="20"/>
              </w:rPr>
            </w:pPr>
            <w:r w:rsidRPr="00FD09A6">
              <w:rPr>
                <w:b/>
                <w:bCs/>
                <w:sz w:val="20"/>
                <w:szCs w:val="20"/>
              </w:rPr>
              <w:t xml:space="preserve">Mass </w:t>
            </w:r>
            <w:r w:rsidRPr="00FD09A6">
              <w:rPr>
                <w:b/>
                <w:bCs/>
                <w:sz w:val="20"/>
                <w:szCs w:val="20"/>
              </w:rPr>
              <w:br/>
              <w:t>(kg)</w:t>
            </w:r>
          </w:p>
        </w:tc>
        <w:tc>
          <w:tcPr>
            <w:tcW w:w="735" w:type="pct"/>
            <w:tcBorders>
              <w:top w:val="single" w:sz="8" w:space="0" w:color="auto"/>
              <w:bottom w:val="single" w:sz="8" w:space="0" w:color="auto"/>
            </w:tcBorders>
          </w:tcPr>
          <w:p w14:paraId="54309282" w14:textId="77777777" w:rsidR="005A54E8" w:rsidRPr="00FD09A6" w:rsidRDefault="005A54E8" w:rsidP="007C449B">
            <w:pPr>
              <w:pStyle w:val="MTabTxt"/>
              <w:rPr>
                <w:b/>
                <w:bCs/>
                <w:sz w:val="20"/>
                <w:szCs w:val="20"/>
              </w:rPr>
            </w:pPr>
            <w:r w:rsidRPr="00FD09A6">
              <w:rPr>
                <w:b/>
                <w:bCs/>
                <w:sz w:val="20"/>
                <w:szCs w:val="20"/>
              </w:rPr>
              <w:t>Packaging</w:t>
            </w:r>
          </w:p>
        </w:tc>
        <w:tc>
          <w:tcPr>
            <w:tcW w:w="1376" w:type="pct"/>
            <w:tcBorders>
              <w:top w:val="single" w:sz="8" w:space="0" w:color="auto"/>
              <w:bottom w:val="single" w:sz="8" w:space="0" w:color="auto"/>
            </w:tcBorders>
          </w:tcPr>
          <w:p w14:paraId="6671604D" w14:textId="77777777" w:rsidR="005A54E8" w:rsidRPr="00FD09A6" w:rsidRDefault="005A54E8" w:rsidP="005A54E8">
            <w:pPr>
              <w:pStyle w:val="MTabTxt"/>
              <w:jc w:val="right"/>
              <w:rPr>
                <w:b/>
                <w:bCs/>
                <w:sz w:val="20"/>
                <w:szCs w:val="20"/>
              </w:rPr>
            </w:pPr>
            <w:r w:rsidRPr="00FD09A6">
              <w:rPr>
                <w:b/>
                <w:bCs/>
                <w:sz w:val="20"/>
                <w:szCs w:val="20"/>
              </w:rPr>
              <w:t>Heat loss per unit mass (</w:t>
            </w:r>
            <w:proofErr w:type="spellStart"/>
            <w:r w:rsidRPr="00FD09A6">
              <w:rPr>
                <w:b/>
                <w:bCs/>
                <w:sz w:val="20"/>
                <w:szCs w:val="20"/>
              </w:rPr>
              <w:t>mW</w:t>
            </w:r>
            <w:proofErr w:type="spellEnd"/>
            <w:r w:rsidRPr="00FD09A6">
              <w:rPr>
                <w:b/>
                <w:bCs/>
                <w:sz w:val="20"/>
                <w:szCs w:val="20"/>
              </w:rPr>
              <w:t>/</w:t>
            </w:r>
            <w:proofErr w:type="spellStart"/>
            <w:proofErr w:type="gramStart"/>
            <w:r w:rsidRPr="00FD09A6">
              <w:rPr>
                <w:b/>
                <w:bCs/>
                <w:sz w:val="20"/>
                <w:szCs w:val="20"/>
              </w:rPr>
              <w:t>kg.K</w:t>
            </w:r>
            <w:proofErr w:type="spellEnd"/>
            <w:proofErr w:type="gramEnd"/>
            <w:r w:rsidRPr="00FD09A6">
              <w:rPr>
                <w:b/>
                <w:bCs/>
                <w:sz w:val="20"/>
                <w:szCs w:val="20"/>
              </w:rPr>
              <w:t>)</w:t>
            </w:r>
          </w:p>
        </w:tc>
        <w:tc>
          <w:tcPr>
            <w:tcW w:w="869" w:type="pct"/>
            <w:tcBorders>
              <w:top w:val="single" w:sz="8" w:space="0" w:color="auto"/>
              <w:bottom w:val="single" w:sz="8" w:space="0" w:color="auto"/>
            </w:tcBorders>
          </w:tcPr>
          <w:p w14:paraId="268865AE" w14:textId="77777777" w:rsidR="005A54E8" w:rsidRPr="00FD09A6" w:rsidRDefault="005A54E8" w:rsidP="005A54E8">
            <w:pPr>
              <w:pStyle w:val="MTabTxt"/>
              <w:jc w:val="right"/>
              <w:rPr>
                <w:b/>
                <w:bCs/>
                <w:sz w:val="20"/>
                <w:szCs w:val="20"/>
              </w:rPr>
            </w:pPr>
            <w:r w:rsidRPr="00FD09A6">
              <w:rPr>
                <w:b/>
                <w:bCs/>
                <w:sz w:val="20"/>
                <w:szCs w:val="20"/>
              </w:rPr>
              <w:t xml:space="preserve">SADT/SAPT </w:t>
            </w:r>
            <w:r w:rsidRPr="00FD09A6">
              <w:rPr>
                <w:b/>
                <w:bCs/>
                <w:sz w:val="20"/>
                <w:szCs w:val="20"/>
              </w:rPr>
              <w:br/>
              <w:t>(°C)</w:t>
            </w:r>
          </w:p>
        </w:tc>
      </w:tr>
      <w:tr w:rsidR="00D543C2" w:rsidRPr="00FD09A6" w14:paraId="532D96E1" w14:textId="77777777" w:rsidTr="00D543C2">
        <w:trPr>
          <w:cantSplit/>
        </w:trPr>
        <w:tc>
          <w:tcPr>
            <w:tcW w:w="1376" w:type="pct"/>
            <w:tcBorders>
              <w:bottom w:val="single" w:sz="4" w:space="0" w:color="auto"/>
            </w:tcBorders>
          </w:tcPr>
          <w:p w14:paraId="0D6551C5" w14:textId="77777777" w:rsidR="005A54E8" w:rsidRPr="00FD09A6" w:rsidRDefault="00D543C2" w:rsidP="007C449B">
            <w:pPr>
              <w:pStyle w:val="MTabTxt"/>
              <w:rPr>
                <w:bCs/>
                <w:sz w:val="20"/>
                <w:szCs w:val="20"/>
              </w:rPr>
            </w:pPr>
            <w:r w:rsidRPr="00FD09A6">
              <w:rPr>
                <w:sz w:val="20"/>
                <w:szCs w:val="20"/>
              </w:rPr>
              <w:t>N-</w:t>
            </w:r>
            <w:proofErr w:type="spellStart"/>
            <w:r w:rsidRPr="00FD09A6">
              <w:rPr>
                <w:sz w:val="20"/>
                <w:szCs w:val="20"/>
              </w:rPr>
              <w:t>Vinylformamide</w:t>
            </w:r>
            <w:proofErr w:type="spellEnd"/>
          </w:p>
        </w:tc>
        <w:tc>
          <w:tcPr>
            <w:tcW w:w="643" w:type="pct"/>
            <w:tcBorders>
              <w:bottom w:val="single" w:sz="4" w:space="0" w:color="auto"/>
            </w:tcBorders>
            <w:vAlign w:val="bottom"/>
          </w:tcPr>
          <w:p w14:paraId="02FEAA51" w14:textId="77777777" w:rsidR="005A54E8" w:rsidRPr="00FD09A6" w:rsidRDefault="00D543C2" w:rsidP="007C449B">
            <w:pPr>
              <w:pStyle w:val="MTabTxt"/>
              <w:jc w:val="right"/>
              <w:rPr>
                <w:bCs/>
                <w:sz w:val="20"/>
                <w:szCs w:val="20"/>
              </w:rPr>
            </w:pPr>
            <w:r w:rsidRPr="00FD09A6">
              <w:rPr>
                <w:sz w:val="20"/>
                <w:szCs w:val="20"/>
              </w:rPr>
              <w:t>1000</w:t>
            </w:r>
          </w:p>
        </w:tc>
        <w:tc>
          <w:tcPr>
            <w:tcW w:w="735" w:type="pct"/>
            <w:tcBorders>
              <w:bottom w:val="single" w:sz="4" w:space="0" w:color="auto"/>
            </w:tcBorders>
          </w:tcPr>
          <w:p w14:paraId="7ED89E4B" w14:textId="77777777" w:rsidR="005A54E8" w:rsidRPr="00FD09A6" w:rsidRDefault="00D543C2" w:rsidP="007C449B">
            <w:pPr>
              <w:pStyle w:val="MTabTxt"/>
              <w:rPr>
                <w:bCs/>
                <w:sz w:val="20"/>
                <w:szCs w:val="20"/>
              </w:rPr>
            </w:pPr>
            <w:r w:rsidRPr="00FD09A6">
              <w:rPr>
                <w:sz w:val="20"/>
                <w:szCs w:val="20"/>
              </w:rPr>
              <w:t>31H1</w:t>
            </w:r>
          </w:p>
        </w:tc>
        <w:tc>
          <w:tcPr>
            <w:tcW w:w="1376" w:type="pct"/>
            <w:tcBorders>
              <w:bottom w:val="single" w:sz="4" w:space="0" w:color="auto"/>
            </w:tcBorders>
          </w:tcPr>
          <w:p w14:paraId="573D9E48" w14:textId="77777777" w:rsidR="005A54E8" w:rsidRPr="00FD09A6" w:rsidRDefault="00D543C2" w:rsidP="007C449B">
            <w:pPr>
              <w:pStyle w:val="MTabTxt"/>
              <w:jc w:val="right"/>
              <w:rPr>
                <w:bCs/>
                <w:sz w:val="20"/>
                <w:szCs w:val="20"/>
              </w:rPr>
            </w:pPr>
            <w:r w:rsidRPr="00FD09A6">
              <w:rPr>
                <w:sz w:val="20"/>
                <w:szCs w:val="20"/>
              </w:rPr>
              <w:t>33</w:t>
            </w:r>
          </w:p>
        </w:tc>
        <w:tc>
          <w:tcPr>
            <w:tcW w:w="869" w:type="pct"/>
            <w:tcBorders>
              <w:bottom w:val="single" w:sz="4" w:space="0" w:color="auto"/>
            </w:tcBorders>
            <w:vAlign w:val="bottom"/>
          </w:tcPr>
          <w:p w14:paraId="71EE0473" w14:textId="77777777" w:rsidR="005A54E8" w:rsidRPr="00FD09A6" w:rsidRDefault="00D543C2" w:rsidP="007C449B">
            <w:pPr>
              <w:pStyle w:val="MTabTxt"/>
              <w:jc w:val="right"/>
              <w:rPr>
                <w:bCs/>
                <w:sz w:val="20"/>
                <w:szCs w:val="20"/>
              </w:rPr>
            </w:pPr>
            <w:r w:rsidRPr="00FD09A6">
              <w:rPr>
                <w:sz w:val="20"/>
                <w:szCs w:val="20"/>
              </w:rPr>
              <w:t>55</w:t>
            </w:r>
          </w:p>
        </w:tc>
      </w:tr>
    </w:tbl>
    <w:p w14:paraId="17020D2F" w14:textId="77777777" w:rsidR="00095AB4" w:rsidRPr="00FD09A6" w:rsidRDefault="00095AB4" w:rsidP="00095AB4">
      <w:pPr>
        <w:numPr>
          <w:ilvl w:val="12"/>
          <w:numId w:val="0"/>
        </w:numPr>
        <w:tabs>
          <w:tab w:val="left" w:pos="1134"/>
          <w:tab w:val="left" w:pos="1701"/>
          <w:tab w:val="left" w:pos="2268"/>
          <w:tab w:val="left" w:pos="2835"/>
          <w:tab w:val="left" w:pos="3402"/>
          <w:tab w:val="left" w:pos="3969"/>
        </w:tabs>
        <w:jc w:val="both"/>
      </w:pPr>
    </w:p>
    <w:p w14:paraId="44C07693" w14:textId="77777777" w:rsidR="00095AB4" w:rsidRPr="00FD09A6" w:rsidRDefault="005A54E8" w:rsidP="005A54E8">
      <w:pPr>
        <w:pStyle w:val="SingleTxtG"/>
        <w:tabs>
          <w:tab w:val="left" w:pos="2268"/>
        </w:tabs>
      </w:pPr>
      <w:r w:rsidRPr="00FD09A6">
        <w:tab/>
      </w:r>
      <w:r w:rsidR="00095AB4" w:rsidRPr="00FD09A6">
        <w:t xml:space="preserve">Add the following note “a” under the table: </w:t>
      </w:r>
    </w:p>
    <w:p w14:paraId="2691CF94" w14:textId="77777777" w:rsidR="00095AB4" w:rsidRPr="00FD09A6" w:rsidRDefault="00095AB4" w:rsidP="005A54E8">
      <w:pPr>
        <w:pStyle w:val="SingleTxtG"/>
        <w:ind w:left="2268"/>
        <w:rPr>
          <w:i/>
          <w:iCs/>
        </w:rPr>
      </w:pPr>
      <w:r w:rsidRPr="00FD09A6">
        <w:rPr>
          <w:i/>
          <w:iCs/>
          <w:vertAlign w:val="superscript"/>
        </w:rPr>
        <w:t>“</w:t>
      </w:r>
      <w:proofErr w:type="spellStart"/>
      <w:r w:rsidRPr="00FD09A6">
        <w:rPr>
          <w:i/>
          <w:iCs/>
          <w:vertAlign w:val="superscript"/>
        </w:rPr>
        <w:t>a</w:t>
      </w:r>
      <w:proofErr w:type="spellEnd"/>
      <w:r w:rsidRPr="00FD09A6">
        <w:rPr>
          <w:i/>
          <w:iCs/>
          <w:vertAlign w:val="superscript"/>
        </w:rPr>
        <w:t xml:space="preserve"> </w:t>
      </w:r>
      <w:r w:rsidRPr="00FD09A6">
        <w:rPr>
          <w:i/>
          <w:iCs/>
          <w:vertAlign w:val="superscript"/>
        </w:rPr>
        <w:tab/>
      </w:r>
      <w:r w:rsidRPr="00FD09A6">
        <w:rPr>
          <w:i/>
          <w:iCs/>
        </w:rPr>
        <w:t>These historical examples were determined using heat losses that are higher than those currently recommended for classification purposes (see table 28.4).”.</w:t>
      </w:r>
    </w:p>
    <w:p w14:paraId="42D52301" w14:textId="77777777" w:rsidR="00095AB4" w:rsidRPr="00FD09A6" w:rsidRDefault="00095AB4" w:rsidP="00904ADC">
      <w:pPr>
        <w:pStyle w:val="SingleTxtG"/>
        <w:keepNext/>
        <w:keepLines/>
        <w:rPr>
          <w:sz w:val="22"/>
          <w:szCs w:val="22"/>
        </w:rPr>
      </w:pPr>
      <w:r w:rsidRPr="00FD09A6">
        <w:rPr>
          <w:sz w:val="22"/>
          <w:szCs w:val="22"/>
        </w:rPr>
        <w:lastRenderedPageBreak/>
        <w:t>Figure 28.4.2.2</w:t>
      </w:r>
      <w:r w:rsidRPr="00FD09A6">
        <w:rPr>
          <w:sz w:val="22"/>
          <w:szCs w:val="22"/>
        </w:rPr>
        <w:tab/>
        <w:t>Replace with the following:</w:t>
      </w:r>
    </w:p>
    <w:p w14:paraId="05ACA6B9" w14:textId="77777777" w:rsidR="00095AB4" w:rsidRPr="00FD09A6" w:rsidRDefault="00095AB4" w:rsidP="00095AB4">
      <w:pPr>
        <w:keepNext/>
        <w:keepLines/>
        <w:numPr>
          <w:ilvl w:val="12"/>
          <w:numId w:val="0"/>
        </w:numPr>
        <w:tabs>
          <w:tab w:val="left" w:pos="1134"/>
          <w:tab w:val="left" w:pos="1701"/>
          <w:tab w:val="left" w:pos="2268"/>
          <w:tab w:val="left" w:pos="2835"/>
          <w:tab w:val="left" w:pos="3402"/>
          <w:tab w:val="left" w:pos="3969"/>
        </w:tabs>
        <w:jc w:val="center"/>
        <w:rPr>
          <w:rStyle w:val="SingleTxtGChar"/>
          <w:b/>
          <w:bCs/>
        </w:rPr>
      </w:pPr>
      <w:r w:rsidRPr="00FD09A6">
        <w:rPr>
          <w:rStyle w:val="SingleTxtGChar"/>
          <w:b/>
          <w:bCs/>
        </w:rPr>
        <w:t>“Figure 28.4.</w:t>
      </w:r>
      <w:r w:rsidR="007B5C59" w:rsidRPr="00FD09A6">
        <w:rPr>
          <w:rStyle w:val="SingleTxtGChar"/>
          <w:b/>
          <w:bCs/>
        </w:rPr>
        <w:t>2</w:t>
      </w:r>
      <w:r w:rsidRPr="00FD09A6">
        <w:rPr>
          <w:rStyle w:val="SingleTxtGChar"/>
          <w:b/>
          <w:bCs/>
        </w:rPr>
        <w:t>.2: Example of determination of SADT or SAPT</w:t>
      </w:r>
    </w:p>
    <w:bookmarkStart w:id="6" w:name="_Hlk35359022"/>
    <w:p w14:paraId="4B84B404" w14:textId="77777777" w:rsidR="00095AB4" w:rsidRPr="00FD09A6" w:rsidRDefault="00095AB4" w:rsidP="00095AB4">
      <w:pPr>
        <w:keepNext/>
        <w:keepLines/>
        <w:numPr>
          <w:ilvl w:val="12"/>
          <w:numId w:val="0"/>
        </w:numPr>
        <w:tabs>
          <w:tab w:val="left" w:pos="1134"/>
          <w:tab w:val="left" w:pos="1701"/>
          <w:tab w:val="left" w:pos="2268"/>
          <w:tab w:val="left" w:pos="2835"/>
          <w:tab w:val="left" w:pos="3402"/>
          <w:tab w:val="left" w:pos="3969"/>
        </w:tabs>
        <w:jc w:val="center"/>
        <w:rPr>
          <w:rStyle w:val="SingleTxtGChar"/>
          <w:b/>
          <w:bCs/>
        </w:rPr>
      </w:pPr>
      <w:r w:rsidRPr="00FD09A6">
        <w:object w:dxaOrig="5986" w:dyaOrig="5131" w14:anchorId="1B4925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0pt;height:282.5pt" o:ole="">
            <v:imagedata r:id="rId9" o:title=""/>
          </v:shape>
          <o:OLEObject Type="Embed" ProgID="Visio.Drawing.15" ShapeID="_x0000_i1025" DrawAspect="Content" ObjectID="_1647081783" r:id="rId10"/>
        </w:object>
      </w:r>
      <w:bookmarkEnd w:id="6"/>
    </w:p>
    <w:tbl>
      <w:tblPr>
        <w:tblStyle w:val="TableGrid"/>
        <w:tblW w:w="8504" w:type="dxa"/>
        <w:tblInd w:w="1134"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3"/>
        <w:gridCol w:w="16"/>
        <w:gridCol w:w="3431"/>
        <w:gridCol w:w="105"/>
        <w:gridCol w:w="473"/>
        <w:gridCol w:w="117"/>
        <w:gridCol w:w="3417"/>
        <w:gridCol w:w="22"/>
      </w:tblGrid>
      <w:tr w:rsidR="00095AB4" w:rsidRPr="00FD09A6" w14:paraId="66BCEA49" w14:textId="77777777" w:rsidTr="005A54E8">
        <w:trPr>
          <w:gridAfter w:val="1"/>
          <w:wAfter w:w="26" w:type="dxa"/>
          <w:trHeight w:hRule="exact" w:val="113"/>
        </w:trPr>
        <w:tc>
          <w:tcPr>
            <w:tcW w:w="1153" w:type="dxa"/>
            <w:gridSpan w:val="2"/>
            <w:shd w:val="clear" w:color="auto" w:fill="auto"/>
            <w:vAlign w:val="bottom"/>
          </w:tcPr>
          <w:p w14:paraId="3CFAC8C2" w14:textId="77777777" w:rsidR="00095AB4" w:rsidRPr="00FD09A6" w:rsidRDefault="00095AB4" w:rsidP="00095AB4">
            <w:pPr>
              <w:spacing w:line="220" w:lineRule="exact"/>
              <w:rPr>
                <w:i/>
                <w:szCs w:val="24"/>
              </w:rPr>
            </w:pPr>
            <w:bookmarkStart w:id="7" w:name="_Hlk35359044"/>
          </w:p>
        </w:tc>
        <w:tc>
          <w:tcPr>
            <w:tcW w:w="4362" w:type="dxa"/>
            <w:gridSpan w:val="2"/>
            <w:shd w:val="clear" w:color="auto" w:fill="auto"/>
            <w:vAlign w:val="bottom"/>
          </w:tcPr>
          <w:p w14:paraId="7BF48301" w14:textId="77777777" w:rsidR="00095AB4" w:rsidRPr="00FD09A6" w:rsidRDefault="00095AB4" w:rsidP="00095AB4">
            <w:pPr>
              <w:spacing w:line="220" w:lineRule="exact"/>
              <w:rPr>
                <w:i/>
                <w:szCs w:val="24"/>
              </w:rPr>
            </w:pPr>
          </w:p>
        </w:tc>
        <w:tc>
          <w:tcPr>
            <w:tcW w:w="724" w:type="dxa"/>
            <w:gridSpan w:val="2"/>
            <w:shd w:val="clear" w:color="auto" w:fill="auto"/>
            <w:vAlign w:val="bottom"/>
          </w:tcPr>
          <w:p w14:paraId="6E52B6F8" w14:textId="77777777" w:rsidR="00095AB4" w:rsidRPr="00FD09A6" w:rsidRDefault="00095AB4" w:rsidP="00095AB4">
            <w:pPr>
              <w:spacing w:line="220" w:lineRule="exact"/>
              <w:rPr>
                <w:i/>
                <w:szCs w:val="24"/>
              </w:rPr>
            </w:pPr>
          </w:p>
        </w:tc>
        <w:tc>
          <w:tcPr>
            <w:tcW w:w="4215" w:type="dxa"/>
            <w:shd w:val="clear" w:color="auto" w:fill="auto"/>
            <w:vAlign w:val="bottom"/>
          </w:tcPr>
          <w:p w14:paraId="764240CD" w14:textId="77777777" w:rsidR="00095AB4" w:rsidRPr="00FD09A6" w:rsidRDefault="00095AB4" w:rsidP="00095AB4">
            <w:pPr>
              <w:spacing w:line="220" w:lineRule="exact"/>
              <w:rPr>
                <w:iCs/>
                <w:szCs w:val="24"/>
              </w:rPr>
            </w:pPr>
          </w:p>
        </w:tc>
      </w:tr>
      <w:tr w:rsidR="00095AB4" w:rsidRPr="00FD09A6" w14:paraId="49FEB648" w14:textId="77777777" w:rsidTr="005A54E8">
        <w:tc>
          <w:tcPr>
            <w:tcW w:w="1134" w:type="dxa"/>
            <w:shd w:val="clear" w:color="auto" w:fill="auto"/>
          </w:tcPr>
          <w:p w14:paraId="7874EF6C" w14:textId="77777777" w:rsidR="00095AB4" w:rsidRPr="00FD09A6" w:rsidRDefault="00095AB4" w:rsidP="00095AB4">
            <w:pPr>
              <w:spacing w:before="40" w:line="220" w:lineRule="exact"/>
              <w:rPr>
                <w:rFonts w:asciiTheme="majorBidi" w:hAnsiTheme="majorBidi" w:cstheme="majorBidi"/>
                <w:szCs w:val="24"/>
              </w:rPr>
            </w:pPr>
            <w:r w:rsidRPr="00FD09A6">
              <w:rPr>
                <w:rFonts w:asciiTheme="majorBidi" w:hAnsiTheme="majorBidi" w:cstheme="majorBidi"/>
                <w:noProof/>
                <w:szCs w:val="24"/>
              </w:rPr>
              <mc:AlternateContent>
                <mc:Choice Requires="wps">
                  <w:drawing>
                    <wp:anchor distT="0" distB="0" distL="114300" distR="114300" simplePos="0" relativeHeight="251661312" behindDoc="0" locked="0" layoutInCell="1" allowOverlap="1" wp14:anchorId="603B6B0E" wp14:editId="6286EC86">
                      <wp:simplePos x="0" y="0"/>
                      <wp:positionH relativeFrom="column">
                        <wp:posOffset>20498</wp:posOffset>
                      </wp:positionH>
                      <wp:positionV relativeFrom="paragraph">
                        <wp:posOffset>71158</wp:posOffset>
                      </wp:positionV>
                      <wp:extent cx="52143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21435" cy="0"/>
                              </a:xfrm>
                              <a:prstGeom prst="line">
                                <a:avLst/>
                              </a:prstGeom>
                              <a:ln w="19050" cap="flat" cmpd="sng" algn="ctr">
                                <a:solidFill>
                                  <a:schemeClr val="tx1"/>
                                </a:solidFill>
                                <a:prstDash val="lgDashDot"/>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77D3A9"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pt,5.6pt" to="42.6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" strokecolor="black [3213]" strokeweight="1.5pt">
                      <v:stroke dashstyle="longDashDot"/>
                    </v:line>
                  </w:pict>
                </mc:Fallback>
              </mc:AlternateContent>
            </w:r>
          </w:p>
        </w:tc>
        <w:tc>
          <w:tcPr>
            <w:tcW w:w="4253" w:type="dxa"/>
            <w:gridSpan w:val="2"/>
            <w:shd w:val="clear" w:color="auto" w:fill="auto"/>
          </w:tcPr>
          <w:p w14:paraId="3911FA92" w14:textId="77777777" w:rsidR="00095AB4" w:rsidRPr="00FD09A6" w:rsidRDefault="00095AB4" w:rsidP="00095AB4">
            <w:pPr>
              <w:spacing w:before="40" w:line="220" w:lineRule="exact"/>
              <w:rPr>
                <w:rFonts w:asciiTheme="majorBidi" w:hAnsiTheme="majorBidi" w:cstheme="majorBidi"/>
                <w:szCs w:val="24"/>
              </w:rPr>
            </w:pPr>
            <w:r w:rsidRPr="00FD09A6">
              <w:rPr>
                <w:rFonts w:asciiTheme="majorBidi" w:hAnsiTheme="majorBidi" w:cstheme="majorBidi"/>
                <w:szCs w:val="24"/>
              </w:rPr>
              <w:t>Heat generation curve</w:t>
            </w:r>
          </w:p>
        </w:tc>
        <w:tc>
          <w:tcPr>
            <w:tcW w:w="709" w:type="dxa"/>
            <w:gridSpan w:val="2"/>
            <w:shd w:val="clear" w:color="auto" w:fill="auto"/>
          </w:tcPr>
          <w:p w14:paraId="01C68218" w14:textId="77777777" w:rsidR="00095AB4" w:rsidRPr="00FD09A6" w:rsidRDefault="00095AB4" w:rsidP="00095AB4">
            <w:pPr>
              <w:spacing w:before="40" w:line="220" w:lineRule="exact"/>
              <w:rPr>
                <w:rFonts w:asciiTheme="majorBidi" w:hAnsiTheme="majorBidi" w:cstheme="majorBidi"/>
                <w:szCs w:val="24"/>
              </w:rPr>
            </w:pPr>
            <w:r w:rsidRPr="00FD09A6">
              <w:rPr>
                <w:rFonts w:asciiTheme="majorBidi" w:hAnsiTheme="majorBidi" w:cstheme="majorBidi"/>
                <w:noProof/>
                <w:szCs w:val="24"/>
              </w:rPr>
              <mc:AlternateContent>
                <mc:Choice Requires="wps">
                  <w:drawing>
                    <wp:anchor distT="0" distB="0" distL="114300" distR="114300" simplePos="0" relativeHeight="251662336" behindDoc="0" locked="0" layoutInCell="1" allowOverlap="1" wp14:anchorId="6D2CB4DB" wp14:editId="67233024">
                      <wp:simplePos x="0" y="0"/>
                      <wp:positionH relativeFrom="column">
                        <wp:posOffset>-5867</wp:posOffset>
                      </wp:positionH>
                      <wp:positionV relativeFrom="paragraph">
                        <wp:posOffset>70847</wp:posOffset>
                      </wp:positionV>
                      <wp:extent cx="24182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241825" cy="0"/>
                              </a:xfrm>
                              <a:prstGeom prst="line">
                                <a:avLst/>
                              </a:prstGeom>
                              <a:ln w="19050" cap="flat" cmpd="sng" algn="ctr">
                                <a:solidFill>
                                  <a:schemeClr val="tx1"/>
                                </a:solidFill>
                                <a:prstDash val="solid"/>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6B9284" id="Straight Connector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5.6pt" to="18.6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" strokecolor="black [3213]" strokeweight="1.5pt"/>
                  </w:pict>
                </mc:Fallback>
              </mc:AlternateContent>
            </w:r>
          </w:p>
        </w:tc>
        <w:tc>
          <w:tcPr>
            <w:tcW w:w="4384" w:type="dxa"/>
            <w:gridSpan w:val="3"/>
            <w:shd w:val="clear" w:color="auto" w:fill="auto"/>
          </w:tcPr>
          <w:p w14:paraId="37797809" w14:textId="77777777" w:rsidR="00095AB4" w:rsidRPr="00FD09A6" w:rsidRDefault="00095AB4" w:rsidP="00095AB4">
            <w:pPr>
              <w:spacing w:before="40" w:line="220" w:lineRule="exact"/>
              <w:rPr>
                <w:rFonts w:asciiTheme="majorBidi" w:hAnsiTheme="majorBidi" w:cstheme="majorBidi"/>
                <w:szCs w:val="24"/>
              </w:rPr>
            </w:pPr>
            <w:r w:rsidRPr="00FD09A6">
              <w:rPr>
                <w:rFonts w:asciiTheme="majorBidi" w:hAnsiTheme="majorBidi" w:cstheme="majorBidi"/>
                <w:szCs w:val="24"/>
              </w:rPr>
              <w:t>Heat loss curve L = 0.06 W (Kg K)</w:t>
            </w:r>
          </w:p>
        </w:tc>
      </w:tr>
      <w:tr w:rsidR="00095AB4" w:rsidRPr="00FD09A6" w14:paraId="78442C37" w14:textId="77777777" w:rsidTr="005A54E8">
        <w:tc>
          <w:tcPr>
            <w:tcW w:w="1134" w:type="dxa"/>
            <w:shd w:val="clear" w:color="auto" w:fill="auto"/>
          </w:tcPr>
          <w:p w14:paraId="4BA3BDCD" w14:textId="77777777" w:rsidR="00095AB4" w:rsidRPr="00FD09A6" w:rsidRDefault="00095AB4" w:rsidP="00095AB4">
            <w:pPr>
              <w:spacing w:before="40" w:line="220" w:lineRule="exact"/>
              <w:rPr>
                <w:rFonts w:asciiTheme="majorBidi" w:hAnsiTheme="majorBidi" w:cstheme="majorBidi"/>
                <w:szCs w:val="24"/>
              </w:rPr>
            </w:pPr>
            <w:r w:rsidRPr="00FD09A6">
              <w:rPr>
                <w:rFonts w:asciiTheme="majorBidi" w:hAnsiTheme="majorBidi" w:cstheme="majorBidi"/>
                <w:szCs w:val="24"/>
              </w:rPr>
              <w:t>(A)</w:t>
            </w:r>
          </w:p>
        </w:tc>
        <w:tc>
          <w:tcPr>
            <w:tcW w:w="4253" w:type="dxa"/>
            <w:gridSpan w:val="2"/>
            <w:shd w:val="clear" w:color="auto" w:fill="auto"/>
          </w:tcPr>
          <w:p w14:paraId="63B52C8D" w14:textId="77777777" w:rsidR="00095AB4" w:rsidRPr="00FD09A6" w:rsidRDefault="00095AB4" w:rsidP="00095AB4">
            <w:pPr>
              <w:spacing w:before="40" w:line="220" w:lineRule="exact"/>
              <w:rPr>
                <w:rFonts w:asciiTheme="majorBidi" w:hAnsiTheme="majorBidi" w:cstheme="majorBidi"/>
                <w:szCs w:val="24"/>
              </w:rPr>
            </w:pPr>
            <w:r w:rsidRPr="00FD09A6">
              <w:rPr>
                <w:rFonts w:asciiTheme="majorBidi" w:hAnsiTheme="majorBidi" w:cstheme="majorBidi"/>
                <w:szCs w:val="24"/>
              </w:rPr>
              <w:t xml:space="preserve">Critical ambient temperature </w:t>
            </w:r>
            <w:r w:rsidRPr="00FD09A6">
              <w:rPr>
                <w:rFonts w:asciiTheme="majorBidi" w:hAnsiTheme="majorBidi" w:cstheme="majorBidi"/>
                <w:szCs w:val="24"/>
              </w:rPr>
              <w:br/>
              <w:t>(intercept of heat loss with the abscissa)</w:t>
            </w:r>
          </w:p>
        </w:tc>
        <w:tc>
          <w:tcPr>
            <w:tcW w:w="709" w:type="dxa"/>
            <w:gridSpan w:val="2"/>
            <w:shd w:val="clear" w:color="auto" w:fill="auto"/>
          </w:tcPr>
          <w:p w14:paraId="387AF736" w14:textId="77777777" w:rsidR="00095AB4" w:rsidRPr="00FD09A6" w:rsidRDefault="00095AB4" w:rsidP="00095AB4">
            <w:pPr>
              <w:spacing w:before="40" w:line="220" w:lineRule="exact"/>
              <w:rPr>
                <w:rFonts w:asciiTheme="majorBidi" w:hAnsiTheme="majorBidi" w:cstheme="majorBidi"/>
                <w:szCs w:val="24"/>
              </w:rPr>
            </w:pPr>
            <w:r w:rsidRPr="00FD09A6">
              <w:rPr>
                <w:rFonts w:asciiTheme="majorBidi" w:hAnsiTheme="majorBidi" w:cstheme="majorBidi"/>
                <w:szCs w:val="24"/>
              </w:rPr>
              <w:t>(B)</w:t>
            </w:r>
          </w:p>
        </w:tc>
        <w:tc>
          <w:tcPr>
            <w:tcW w:w="4384" w:type="dxa"/>
            <w:gridSpan w:val="3"/>
            <w:shd w:val="clear" w:color="auto" w:fill="auto"/>
          </w:tcPr>
          <w:p w14:paraId="606AB239" w14:textId="77777777" w:rsidR="00095AB4" w:rsidRPr="00FD09A6" w:rsidRDefault="00095AB4" w:rsidP="00095AB4">
            <w:pPr>
              <w:spacing w:before="40" w:line="220" w:lineRule="exact"/>
              <w:rPr>
                <w:rFonts w:asciiTheme="majorBidi" w:hAnsiTheme="majorBidi" w:cstheme="majorBidi"/>
                <w:szCs w:val="24"/>
              </w:rPr>
            </w:pPr>
            <w:r w:rsidRPr="00FD09A6">
              <w:rPr>
                <w:rFonts w:asciiTheme="majorBidi" w:hAnsiTheme="majorBidi" w:cstheme="majorBidi"/>
                <w:szCs w:val="24"/>
              </w:rPr>
              <w:t>SADT or SAPT (Critical ambient temperature rounded up to next higher multiple of 5°C)</w:t>
            </w:r>
          </w:p>
        </w:tc>
      </w:tr>
    </w:tbl>
    <w:bookmarkEnd w:id="7"/>
    <w:p w14:paraId="6A612F51" w14:textId="77777777" w:rsidR="00095AB4" w:rsidRPr="00FD09A6" w:rsidRDefault="00095AB4" w:rsidP="00095AB4">
      <w:pPr>
        <w:pStyle w:val="SingleTxtG"/>
        <w:jc w:val="right"/>
      </w:pPr>
      <w:r w:rsidRPr="00FD09A6">
        <w:t>”.</w:t>
      </w:r>
    </w:p>
    <w:p w14:paraId="2D6121A6" w14:textId="77777777" w:rsidR="00095AB4" w:rsidRPr="00FD09A6" w:rsidRDefault="00095AB4" w:rsidP="00D543C2">
      <w:pPr>
        <w:pStyle w:val="SingleTxtG"/>
        <w:keepNext/>
        <w:keepLines/>
        <w:tabs>
          <w:tab w:val="left" w:pos="2268"/>
        </w:tabs>
        <w:ind w:left="2268" w:hanging="1134"/>
      </w:pPr>
      <w:r w:rsidRPr="00FD09A6">
        <w:t>28.4.3.1.2</w:t>
      </w:r>
      <w:r w:rsidRPr="00FD09A6">
        <w:tab/>
        <w:t>Delete. Current paragraph 28.4.3.1.3 becomes new paragraph 28.4.3.1.2.</w:t>
      </w:r>
    </w:p>
    <w:p w14:paraId="0254B460" w14:textId="77777777" w:rsidR="00095AB4" w:rsidRPr="00FD09A6" w:rsidRDefault="00095AB4" w:rsidP="00D543C2">
      <w:pPr>
        <w:pStyle w:val="SingleTxtG"/>
        <w:keepNext/>
        <w:keepLines/>
        <w:tabs>
          <w:tab w:val="left" w:pos="2268"/>
        </w:tabs>
        <w:ind w:left="2268" w:hanging="1134"/>
      </w:pPr>
      <w:r w:rsidRPr="00FD09A6">
        <w:t>28.4.3.1.2 (new, former 28.4.3.1.3) Amend the beginning of the first sentence to read as follows: “The usually robust construction of readily available apparatus, …”.</w:t>
      </w:r>
    </w:p>
    <w:p w14:paraId="06987CE7" w14:textId="77777777" w:rsidR="00095AB4" w:rsidRPr="00FD09A6" w:rsidRDefault="00095AB4" w:rsidP="00D543C2">
      <w:pPr>
        <w:pStyle w:val="SingleTxtG"/>
        <w:tabs>
          <w:tab w:val="left" w:pos="2268"/>
        </w:tabs>
      </w:pPr>
      <w:r w:rsidRPr="00FD09A6">
        <w:t xml:space="preserve">28.4.3.2 </w:t>
      </w:r>
      <w:r w:rsidRPr="00FD09A6">
        <w:tab/>
        <w:t>Amend to read as follows:</w:t>
      </w:r>
    </w:p>
    <w:p w14:paraId="22FC5BF9" w14:textId="77777777" w:rsidR="00095AB4" w:rsidRPr="00FD09A6" w:rsidRDefault="00095AB4" w:rsidP="00D543C2">
      <w:pPr>
        <w:pStyle w:val="SingleTxtG"/>
        <w:tabs>
          <w:tab w:val="left" w:pos="2268"/>
        </w:tabs>
      </w:pPr>
      <w:r w:rsidRPr="00FD09A6">
        <w:t>“28.4.3.2</w:t>
      </w:r>
      <w:r w:rsidRPr="00FD09A6">
        <w:tab/>
      </w:r>
      <w:r w:rsidRPr="00FD09A6">
        <w:rPr>
          <w:i/>
        </w:rPr>
        <w:t>Apparatus and materials</w:t>
      </w:r>
    </w:p>
    <w:p w14:paraId="466136D0" w14:textId="77777777" w:rsidR="00095AB4" w:rsidRPr="00FD09A6" w:rsidRDefault="00095AB4" w:rsidP="00D543C2">
      <w:pPr>
        <w:pStyle w:val="SingleTxtG"/>
        <w:tabs>
          <w:tab w:val="left" w:pos="2268"/>
        </w:tabs>
      </w:pPr>
      <w:r w:rsidRPr="00FD09A6">
        <w:t>28.4.3.2.1</w:t>
      </w:r>
      <w:r w:rsidRPr="00FD09A6">
        <w:tab/>
        <w:t>Isothermal calorimetry (IC)</w:t>
      </w:r>
    </w:p>
    <w:p w14:paraId="1A80B294" w14:textId="77777777" w:rsidR="00095AB4" w:rsidRPr="00741695" w:rsidRDefault="00095AB4" w:rsidP="00D543C2">
      <w:pPr>
        <w:pStyle w:val="SingleTxtG"/>
        <w:tabs>
          <w:tab w:val="left" w:pos="2268"/>
        </w:tabs>
      </w:pPr>
      <w:r w:rsidRPr="00FD09A6">
        <w:tab/>
      </w:r>
      <w:r w:rsidRPr="00FD09A6">
        <w:tab/>
        <w:t>Appropriate isothermal calorimeters can be used. The equipment should be able to measure heat generation values of 1 </w:t>
      </w:r>
      <w:proofErr w:type="spellStart"/>
      <w:r w:rsidRPr="00FD09A6">
        <w:t>mW</w:t>
      </w:r>
      <w:proofErr w:type="spellEnd"/>
      <w:r w:rsidRPr="00FD09A6">
        <w:t xml:space="preserve">/kg to 1500 </w:t>
      </w:r>
      <w:proofErr w:type="spellStart"/>
      <w:r w:rsidRPr="00FD09A6">
        <w:t>mW</w:t>
      </w:r>
      <w:proofErr w:type="spellEnd"/>
      <w:r w:rsidRPr="00FD09A6">
        <w:t>/kg in a temperature range of -20 °C to 200 °C. The maximum error in the heat generation should be less than 5 %. The equipment should be capable of maintaining the temperature to within 0.2 °C of the set</w:t>
      </w:r>
      <w:r w:rsidRPr="00741695">
        <w:t xml:space="preserve"> temperature. Sample mass of test material should be at least 200 mg. Closed pressure resistant sample holders should be used and the material of the sample holder should not have catalytic effect on the decomposition behaviour of the test substance. This can be achieved by selecting the appropriate materials for the sample holders or by an appropriate passivation method of the sample holders.</w:t>
      </w:r>
    </w:p>
    <w:p w14:paraId="564F8DDD" w14:textId="77777777" w:rsidR="00095AB4" w:rsidRPr="00741695" w:rsidRDefault="00095AB4" w:rsidP="00D543C2">
      <w:pPr>
        <w:pStyle w:val="SingleTxtG"/>
        <w:tabs>
          <w:tab w:val="left" w:pos="2268"/>
        </w:tabs>
        <w:rPr>
          <w:strike/>
        </w:rPr>
      </w:pPr>
      <w:r w:rsidRPr="00741695">
        <w:t>28.4.3.2.2</w:t>
      </w:r>
      <w:r w:rsidRPr="00741695">
        <w:tab/>
        <w:t xml:space="preserve">The sample </w:t>
      </w:r>
      <w:r w:rsidRPr="00741695">
        <w:rPr>
          <w:color w:val="000000" w:themeColor="text1"/>
        </w:rPr>
        <w:t>holder</w:t>
      </w:r>
      <w:r w:rsidRPr="00741695">
        <w:t xml:space="preserve"> is placed on or around heat flow meter. The amount of substance in the sample holder is at least 200 mg. The material of the holder should be compatible with the sample. If an external reference is used it should be handled identical to the sample. </w:t>
      </w:r>
    </w:p>
    <w:p w14:paraId="450236AB" w14:textId="77777777" w:rsidR="00095AB4" w:rsidRDefault="00095AB4" w:rsidP="00D543C2">
      <w:pPr>
        <w:pStyle w:val="SingleTxtG"/>
        <w:tabs>
          <w:tab w:val="left" w:pos="2268"/>
        </w:tabs>
      </w:pPr>
      <w:r w:rsidRPr="00741695">
        <w:t>28.4.3.2.3</w:t>
      </w:r>
      <w:r w:rsidRPr="00741695">
        <w:tab/>
        <w:t>The heat flow from the sample is continuously recorded as a function of time (differential measurement) by a recorder or computer.</w:t>
      </w:r>
      <w:r>
        <w:t>”.</w:t>
      </w:r>
    </w:p>
    <w:p w14:paraId="00F820BB" w14:textId="77777777" w:rsidR="00095AB4" w:rsidRPr="00741695" w:rsidRDefault="00095AB4" w:rsidP="00904ADC">
      <w:pPr>
        <w:pStyle w:val="SingleTxtG"/>
        <w:keepNext/>
        <w:keepLines/>
        <w:tabs>
          <w:tab w:val="left" w:pos="2268"/>
        </w:tabs>
      </w:pPr>
      <w:r>
        <w:lastRenderedPageBreak/>
        <w:t>28.4.3.3</w:t>
      </w:r>
      <w:r>
        <w:tab/>
        <w:t>Amend to read as follows:</w:t>
      </w:r>
      <w:r w:rsidRPr="00741695">
        <w:t xml:space="preserve"> </w:t>
      </w:r>
    </w:p>
    <w:p w14:paraId="4A0C5AE8" w14:textId="77777777" w:rsidR="00095AB4" w:rsidRPr="00741695" w:rsidRDefault="00095AB4" w:rsidP="00D543C2">
      <w:pPr>
        <w:pStyle w:val="SingleTxtG"/>
        <w:tabs>
          <w:tab w:val="left" w:pos="2268"/>
        </w:tabs>
      </w:pPr>
      <w:r>
        <w:t>“</w:t>
      </w:r>
      <w:r w:rsidRPr="00741695">
        <w:t>28.4.3.3</w:t>
      </w:r>
      <w:r w:rsidRPr="00741695">
        <w:tab/>
      </w:r>
      <w:r w:rsidRPr="00741695">
        <w:rPr>
          <w:i/>
          <w:iCs/>
        </w:rPr>
        <w:t>Procedure</w:t>
      </w:r>
    </w:p>
    <w:p w14:paraId="5708603B" w14:textId="77777777" w:rsidR="00095AB4" w:rsidRPr="00741695" w:rsidRDefault="00095AB4" w:rsidP="00D543C2">
      <w:pPr>
        <w:pStyle w:val="SingleTxtG"/>
        <w:tabs>
          <w:tab w:val="left" w:pos="2268"/>
        </w:tabs>
      </w:pPr>
      <w:r w:rsidRPr="00741695">
        <w:t>28.4.3.3.1</w:t>
      </w:r>
      <w:r w:rsidRPr="00741695">
        <w:tab/>
        <w:t>Calibration procedure</w:t>
      </w:r>
    </w:p>
    <w:p w14:paraId="77609697" w14:textId="77777777" w:rsidR="00095AB4" w:rsidRPr="00741695" w:rsidRDefault="00095AB4" w:rsidP="00095AB4">
      <w:pPr>
        <w:pStyle w:val="SingleTxtG"/>
        <w:tabs>
          <w:tab w:val="left" w:pos="2268"/>
        </w:tabs>
      </w:pPr>
      <w:r w:rsidRPr="00741695">
        <w:tab/>
      </w:r>
      <w:r w:rsidRPr="00741695">
        <w:tab/>
        <w:t>Before a measurement can be performed, the blank signal and the sensitivity of the heat flow meter need to be determined by the applicable calibration procedure for the equipment used covering the temperature range of the measurement.</w:t>
      </w:r>
    </w:p>
    <w:p w14:paraId="4F7E12EB" w14:textId="77777777" w:rsidR="00095AB4" w:rsidRPr="00D543C2" w:rsidRDefault="00095AB4" w:rsidP="00095AB4">
      <w:pPr>
        <w:pStyle w:val="SingleTxtG"/>
      </w:pPr>
      <w:r w:rsidRPr="00D543C2">
        <w:t>28.4.3.3.2</w:t>
      </w:r>
      <w:r w:rsidRPr="00D543C2">
        <w:tab/>
        <w:t xml:space="preserve">Test procedure </w:t>
      </w:r>
    </w:p>
    <w:p w14:paraId="32A8A926" w14:textId="77777777" w:rsidR="00095AB4" w:rsidRPr="00D543C2" w:rsidRDefault="00095AB4" w:rsidP="00095AB4">
      <w:pPr>
        <w:pStyle w:val="SingleTxtG"/>
      </w:pPr>
      <w:r w:rsidRPr="00D543C2">
        <w:tab/>
      </w:r>
      <w:r w:rsidRPr="00D543C2">
        <w:tab/>
      </w:r>
      <w:r w:rsidRPr="00D543C2">
        <w:tab/>
        <w:t>The test procedure is as follows:</w:t>
      </w:r>
    </w:p>
    <w:p w14:paraId="0B6DE03D" w14:textId="77777777" w:rsidR="00095AB4" w:rsidRPr="00D543C2" w:rsidRDefault="00095AB4" w:rsidP="00095AB4">
      <w:pPr>
        <w:pStyle w:val="SingleTxtG"/>
        <w:ind w:left="2835" w:hanging="567"/>
      </w:pPr>
      <w:r w:rsidRPr="00D543C2">
        <w:t>(a)</w:t>
      </w:r>
      <w:r w:rsidRPr="00D543C2">
        <w:tab/>
        <w:t xml:space="preserve">Set the apparatus for the desired test temperature. The temperature selected should be </w:t>
      </w:r>
      <w:proofErr w:type="gramStart"/>
      <w:r w:rsidRPr="00D543C2">
        <w:t>sufficient</w:t>
      </w:r>
      <w:proofErr w:type="gramEnd"/>
      <w:r w:rsidRPr="00D543C2">
        <w:t xml:space="preserve"> to give a rate of heat generation between 5 </w:t>
      </w:r>
      <w:proofErr w:type="spellStart"/>
      <w:r w:rsidRPr="00D543C2">
        <w:t>mW</w:t>
      </w:r>
      <w:proofErr w:type="spellEnd"/>
      <w:r w:rsidRPr="00D543C2">
        <w:t xml:space="preserve"> to 1000 </w:t>
      </w:r>
      <w:proofErr w:type="spellStart"/>
      <w:r w:rsidRPr="00D543C2">
        <w:t>mW</w:t>
      </w:r>
      <w:proofErr w:type="spellEnd"/>
      <w:r w:rsidRPr="00D543C2">
        <w:t xml:space="preserve"> per kg of substance or for tanks a maximum heat generation rate between 1 and 100 </w:t>
      </w:r>
      <w:proofErr w:type="spellStart"/>
      <w:r w:rsidRPr="00D543C2">
        <w:t>mW</w:t>
      </w:r>
      <w:proofErr w:type="spellEnd"/>
      <w:r w:rsidRPr="00D543C2">
        <w:t>/kg;</w:t>
      </w:r>
    </w:p>
    <w:p w14:paraId="114037F0" w14:textId="77777777" w:rsidR="00095AB4" w:rsidRPr="00D543C2" w:rsidRDefault="00095AB4" w:rsidP="00095AB4">
      <w:pPr>
        <w:pStyle w:val="SingleTxtG"/>
        <w:ind w:left="2835" w:hanging="567"/>
        <w:rPr>
          <w:strike/>
        </w:rPr>
      </w:pPr>
      <w:r w:rsidRPr="00D543C2">
        <w:t>(b)</w:t>
      </w:r>
      <w:r w:rsidRPr="00D543C2">
        <w:tab/>
        <w:t xml:space="preserve">Fill the sample holder with the weighed sample and with a representative quantity of packaging material (if metal) and insert the holder into the apparatus; </w:t>
      </w:r>
    </w:p>
    <w:p w14:paraId="67AEB95E" w14:textId="77777777" w:rsidR="00095AB4" w:rsidRPr="00D543C2" w:rsidRDefault="00095AB4" w:rsidP="00095AB4">
      <w:pPr>
        <w:pStyle w:val="SingleTxtG"/>
        <w:ind w:left="2835" w:hanging="567"/>
        <w:rPr>
          <w:sz w:val="22"/>
          <w:szCs w:val="22"/>
          <w:vertAlign w:val="superscript"/>
        </w:rPr>
      </w:pPr>
      <w:r w:rsidRPr="00D543C2">
        <w:rPr>
          <w:rStyle w:val="SingleTxtGChar"/>
        </w:rPr>
        <w:t>(c)</w:t>
      </w:r>
      <w:r w:rsidRPr="00D543C2">
        <w:rPr>
          <w:rStyle w:val="SingleTxtGChar"/>
        </w:rPr>
        <w:tab/>
        <w:t xml:space="preserve">Start monitoring the rate of heat production. The duration of each test depends on the test temperature and on the rate of heat production. </w:t>
      </w:r>
      <w:r w:rsidRPr="00D543C2">
        <w:rPr>
          <w:rStyle w:val="SingleTxtGChar"/>
        </w:rPr>
        <w:br/>
        <w:t>The measuring time as given in Figure 28.4.3.1 can be used as guidance unless it leads to unrealistic measuring times (e.g. greater than 1000 hours). These measuring times are given to achieve a certain degree of conversion of the substance in order to take auto-catalytic effects into account;</w:t>
      </w:r>
      <w:r w:rsidR="00CB1B31">
        <w:rPr>
          <w:rStyle w:val="SingleTxtGChar"/>
          <w:vertAlign w:val="superscript"/>
        </w:rPr>
        <w:t>3</w:t>
      </w:r>
    </w:p>
    <w:p w14:paraId="350A3A6B" w14:textId="77777777" w:rsidR="00095AB4" w:rsidRPr="00D543C2" w:rsidRDefault="00095AB4" w:rsidP="00095AB4">
      <w:pPr>
        <w:pStyle w:val="SingleTxtG"/>
        <w:ind w:left="2835" w:hanging="567"/>
      </w:pPr>
      <w:r w:rsidRPr="00D543C2">
        <w:t>(d)</w:t>
      </w:r>
      <w:r w:rsidRPr="00D543C2">
        <w:tab/>
        <w:t>At the end of the test the change in sample mass should be determined;</w:t>
      </w:r>
    </w:p>
    <w:p w14:paraId="646FEA98" w14:textId="77777777" w:rsidR="00095AB4" w:rsidRPr="00D543C2" w:rsidRDefault="00095AB4" w:rsidP="00095AB4">
      <w:pPr>
        <w:pStyle w:val="SingleTxtG"/>
        <w:ind w:left="2835" w:hanging="567"/>
      </w:pPr>
      <w:r w:rsidRPr="00D543C2">
        <w:t>(e)</w:t>
      </w:r>
      <w:r w:rsidRPr="00D543C2">
        <w:tab/>
        <w:t>The test is repeated with new samples at temperature intervals of 5 °C so that there are at least five results with a maximum heat generation rate between 5 and 100 </w:t>
      </w:r>
      <w:proofErr w:type="spellStart"/>
      <w:r w:rsidRPr="00D543C2">
        <w:t>mW</w:t>
      </w:r>
      <w:proofErr w:type="spellEnd"/>
      <w:r w:rsidRPr="00D543C2">
        <w:t xml:space="preserve">/kg or for tanks a maximum heat generation rate between 1-100 </w:t>
      </w:r>
      <w:proofErr w:type="spellStart"/>
      <w:r w:rsidRPr="00D543C2">
        <w:t>mW</w:t>
      </w:r>
      <w:proofErr w:type="spellEnd"/>
      <w:r w:rsidRPr="00D543C2">
        <w:t>/kg.”.</w:t>
      </w:r>
    </w:p>
    <w:p w14:paraId="3487AD40" w14:textId="77777777" w:rsidR="00095AB4" w:rsidRPr="00613F40" w:rsidRDefault="00095AB4" w:rsidP="00D543C2">
      <w:pPr>
        <w:pStyle w:val="SingleTxtG"/>
        <w:tabs>
          <w:tab w:val="left" w:pos="2268"/>
        </w:tabs>
      </w:pPr>
      <w:r>
        <w:tab/>
      </w:r>
      <w:r w:rsidRPr="00613F40">
        <w:t>Insert a new footnote “</w:t>
      </w:r>
      <w:r w:rsidR="004E7A50">
        <w:t>2</w:t>
      </w:r>
      <w:r w:rsidRPr="00613F40">
        <w:t>” to read as follows:</w:t>
      </w:r>
    </w:p>
    <w:p w14:paraId="540E3688" w14:textId="77777777" w:rsidR="00095AB4" w:rsidRPr="004E7A50" w:rsidRDefault="00095AB4" w:rsidP="00D543C2">
      <w:pPr>
        <w:pStyle w:val="SingleTxtG"/>
        <w:tabs>
          <w:tab w:val="left" w:pos="2835"/>
        </w:tabs>
        <w:ind w:left="2268"/>
        <w:rPr>
          <w:b/>
          <w:bCs/>
          <w:i/>
          <w:iCs/>
        </w:rPr>
      </w:pPr>
      <w:r w:rsidRPr="004E7A50">
        <w:rPr>
          <w:i/>
          <w:iCs/>
        </w:rPr>
        <w:t>“</w:t>
      </w:r>
      <w:r w:rsidR="00CB1B31">
        <w:rPr>
          <w:i/>
          <w:iCs/>
          <w:vertAlign w:val="superscript"/>
        </w:rPr>
        <w:t>3</w:t>
      </w:r>
      <w:r w:rsidRPr="004E7A50">
        <w:rPr>
          <w:i/>
          <w:iCs/>
        </w:rPr>
        <w:tab/>
      </w:r>
      <w:r w:rsidRPr="00CB1B31">
        <w:rPr>
          <w:i/>
          <w:iCs/>
        </w:rPr>
        <w:t>References:</w:t>
      </w:r>
    </w:p>
    <w:p w14:paraId="404EE7C8" w14:textId="77777777" w:rsidR="00095AB4" w:rsidRPr="004E7A50" w:rsidRDefault="00095AB4" w:rsidP="00D543C2">
      <w:pPr>
        <w:pStyle w:val="SingleTxtG"/>
        <w:tabs>
          <w:tab w:val="left" w:pos="2835"/>
        </w:tabs>
        <w:ind w:left="2268"/>
        <w:rPr>
          <w:i/>
          <w:iCs/>
        </w:rPr>
      </w:pPr>
      <w:r w:rsidRPr="004E7A50">
        <w:rPr>
          <w:i/>
          <w:iCs/>
        </w:rPr>
        <w:t>1</w:t>
      </w:r>
      <w:r w:rsidR="004E7A50">
        <w:rPr>
          <w:i/>
          <w:iCs/>
        </w:rPr>
        <w:t xml:space="preserve">) </w:t>
      </w:r>
      <w:r w:rsidRPr="004E7A50">
        <w:rPr>
          <w:i/>
          <w:iCs/>
        </w:rPr>
        <w:t xml:space="preserve"> J. L. C. van </w:t>
      </w:r>
      <w:proofErr w:type="spellStart"/>
      <w:r w:rsidRPr="004E7A50">
        <w:rPr>
          <w:i/>
          <w:iCs/>
        </w:rPr>
        <w:t>Geel</w:t>
      </w:r>
      <w:proofErr w:type="spellEnd"/>
      <w:r w:rsidRPr="004E7A50">
        <w:rPr>
          <w:i/>
          <w:iCs/>
        </w:rPr>
        <w:t xml:space="preserve">, Investigations into Self-Ignition Hazard of Nitrate Ester Propellants, </w:t>
      </w:r>
      <w:r w:rsidRPr="004E7A50">
        <w:rPr>
          <w:i/>
          <w:iCs/>
        </w:rPr>
        <w:tab/>
        <w:t>Thesis, Technical University of Delft, The Netherlands, 1969.</w:t>
      </w:r>
    </w:p>
    <w:p w14:paraId="2E1EBE79" w14:textId="77777777" w:rsidR="00095AB4" w:rsidRPr="00613F40" w:rsidRDefault="00095AB4" w:rsidP="00D543C2">
      <w:pPr>
        <w:pStyle w:val="SingleTxtG"/>
        <w:tabs>
          <w:tab w:val="left" w:pos="2835"/>
        </w:tabs>
        <w:ind w:left="2268"/>
        <w:rPr>
          <w:i/>
          <w:iCs/>
        </w:rPr>
      </w:pPr>
      <w:r w:rsidRPr="004E7A50">
        <w:rPr>
          <w:i/>
          <w:iCs/>
        </w:rPr>
        <w:t>2</w:t>
      </w:r>
      <w:r w:rsidR="004E7A50">
        <w:rPr>
          <w:i/>
          <w:iCs/>
        </w:rPr>
        <w:t xml:space="preserve">) </w:t>
      </w:r>
      <w:r w:rsidRPr="004E7A50">
        <w:rPr>
          <w:i/>
          <w:iCs/>
        </w:rPr>
        <w:t xml:space="preserve"> </w:t>
      </w:r>
      <w:proofErr w:type="spellStart"/>
      <w:r w:rsidRPr="004E7A50">
        <w:rPr>
          <w:i/>
          <w:iCs/>
        </w:rPr>
        <w:t>Barendregt</w:t>
      </w:r>
      <w:proofErr w:type="spellEnd"/>
      <w:r w:rsidRPr="004E7A50">
        <w:rPr>
          <w:i/>
          <w:iCs/>
        </w:rPr>
        <w:t>, R.B., Thermal Investigation of Unstable Substances, Including a Comparison of Different Thermal Analytical Techniques, Thesis, Technical University of Delft, The Netherlands, 1981.”</w:t>
      </w:r>
    </w:p>
    <w:p w14:paraId="6C7DE120" w14:textId="77777777" w:rsidR="00095AB4" w:rsidRPr="00613F40" w:rsidRDefault="00095AB4" w:rsidP="00904ADC">
      <w:pPr>
        <w:pStyle w:val="SingleTxtG"/>
        <w:keepNext/>
        <w:keepLines/>
      </w:pPr>
      <w:r>
        <w:lastRenderedPageBreak/>
        <w:t>Figure 28.4.3.1</w:t>
      </w:r>
      <w:r>
        <w:tab/>
        <w:t>Insert the following new figure:</w:t>
      </w:r>
    </w:p>
    <w:p w14:paraId="3432792B" w14:textId="77777777" w:rsidR="00095AB4" w:rsidRPr="00741695" w:rsidRDefault="00095AB4" w:rsidP="00904ADC">
      <w:pPr>
        <w:pStyle w:val="SingleTxtG"/>
        <w:keepNext/>
        <w:keepLines/>
        <w:jc w:val="center"/>
      </w:pPr>
      <w:r>
        <w:rPr>
          <w:b/>
          <w:bCs/>
        </w:rPr>
        <w:t>“</w:t>
      </w:r>
      <w:r w:rsidRPr="00613F40">
        <w:rPr>
          <w:b/>
          <w:bCs/>
        </w:rPr>
        <w:t>Figure 28.4.3.1:  Measuring period as a function of maximum heat generation measured</w:t>
      </w:r>
    </w:p>
    <w:p w14:paraId="0F5F39DF" w14:textId="77777777" w:rsidR="00095AB4" w:rsidRDefault="00095AB4" w:rsidP="00095AB4">
      <w:pPr>
        <w:pStyle w:val="SingleTxtG"/>
        <w:jc w:val="center"/>
      </w:pPr>
      <w:r w:rsidRPr="00F52C6C">
        <w:rPr>
          <w:noProof/>
        </w:rPr>
        <w:drawing>
          <wp:inline distT="0" distB="0" distL="0" distR="0" wp14:anchorId="4BFAB536" wp14:editId="6C06B42D">
            <wp:extent cx="4213555" cy="2516428"/>
            <wp:effectExtent l="0" t="0" r="15875" b="17780"/>
            <wp:docPr id="6" name="Chart 6">
              <a:extLst xmlns:a="http://schemas.openxmlformats.org/drawingml/2006/main">
                <a:ext uri="{FF2B5EF4-FFF2-40B4-BE49-F238E27FC236}">
                  <a16:creationId xmlns:a16="http://schemas.microsoft.com/office/drawing/2014/main" id="{00000000-0008-0000-0000-00001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t>”.</w:t>
      </w:r>
    </w:p>
    <w:p w14:paraId="533BCBEB" w14:textId="77777777" w:rsidR="00095AB4" w:rsidRPr="009F372C" w:rsidRDefault="00095AB4" w:rsidP="00D543C2">
      <w:pPr>
        <w:pStyle w:val="SingleTxtG"/>
        <w:tabs>
          <w:tab w:val="left" w:pos="2268"/>
        </w:tabs>
        <w:ind w:left="2268" w:hanging="1134"/>
      </w:pPr>
      <w:r w:rsidRPr="009F372C">
        <w:t>28.4.3.4.1 and 28.4.3.4.2</w:t>
      </w:r>
      <w:r w:rsidRPr="009F372C">
        <w:tab/>
        <w:t>Delete. Current 28.4.3.4.3 becomes 28.4.3.4.1.</w:t>
      </w:r>
    </w:p>
    <w:p w14:paraId="380AE125" w14:textId="77777777" w:rsidR="00095AB4" w:rsidRPr="009F372C" w:rsidRDefault="00095AB4" w:rsidP="00D543C2">
      <w:pPr>
        <w:pStyle w:val="SingleTxtG"/>
        <w:tabs>
          <w:tab w:val="left" w:pos="2268"/>
        </w:tabs>
        <w:ind w:left="2268" w:hanging="1134"/>
      </w:pPr>
      <w:r w:rsidRPr="009F372C">
        <w:t>28.4.3.5</w:t>
      </w:r>
      <w:r w:rsidRPr="009F372C">
        <w:tab/>
      </w:r>
      <w:r>
        <w:t xml:space="preserve">Insert a reference </w:t>
      </w:r>
      <w:r w:rsidR="00CB1B31">
        <w:t xml:space="preserve">to note “a” </w:t>
      </w:r>
      <w:r>
        <w:t>against the names of all current substances listed in the table and add the following entries at the end:</w:t>
      </w:r>
    </w:p>
    <w:tbl>
      <w:tblPr>
        <w:tblW w:w="5000" w:type="pct"/>
        <w:tblCellMar>
          <w:left w:w="120" w:type="dxa"/>
          <w:right w:w="120" w:type="dxa"/>
        </w:tblCellMar>
        <w:tblLook w:val="0000" w:firstRow="0" w:lastRow="0" w:firstColumn="0" w:lastColumn="0" w:noHBand="0" w:noVBand="0"/>
      </w:tblPr>
      <w:tblGrid>
        <w:gridCol w:w="4445"/>
        <w:gridCol w:w="750"/>
        <w:gridCol w:w="1218"/>
        <w:gridCol w:w="1774"/>
        <w:gridCol w:w="1452"/>
      </w:tblGrid>
      <w:tr w:rsidR="00074DEE" w:rsidRPr="00904ADC" w14:paraId="4A6FC04C" w14:textId="77777777" w:rsidTr="00074DEE">
        <w:trPr>
          <w:cantSplit/>
        </w:trPr>
        <w:tc>
          <w:tcPr>
            <w:tcW w:w="2306" w:type="pct"/>
            <w:tcBorders>
              <w:top w:val="single" w:sz="8" w:space="0" w:color="auto"/>
              <w:bottom w:val="single" w:sz="8" w:space="0" w:color="auto"/>
            </w:tcBorders>
          </w:tcPr>
          <w:p w14:paraId="146C1C10" w14:textId="77777777" w:rsidR="00074DEE" w:rsidRPr="00904ADC" w:rsidRDefault="00074DEE" w:rsidP="007C449B">
            <w:pPr>
              <w:pStyle w:val="MTabTxt"/>
              <w:rPr>
                <w:b/>
                <w:bCs/>
                <w:sz w:val="20"/>
                <w:szCs w:val="20"/>
              </w:rPr>
            </w:pPr>
            <w:r w:rsidRPr="00904ADC">
              <w:rPr>
                <w:b/>
                <w:bCs/>
                <w:sz w:val="20"/>
                <w:szCs w:val="20"/>
              </w:rPr>
              <w:t>Substance</w:t>
            </w:r>
          </w:p>
        </w:tc>
        <w:tc>
          <w:tcPr>
            <w:tcW w:w="389" w:type="pct"/>
            <w:tcBorders>
              <w:top w:val="single" w:sz="8" w:space="0" w:color="auto"/>
              <w:bottom w:val="single" w:sz="8" w:space="0" w:color="auto"/>
            </w:tcBorders>
          </w:tcPr>
          <w:p w14:paraId="127D6091" w14:textId="77777777" w:rsidR="00074DEE" w:rsidRPr="00904ADC" w:rsidRDefault="00074DEE" w:rsidP="00904ADC">
            <w:pPr>
              <w:pStyle w:val="MTabTxt"/>
              <w:jc w:val="right"/>
              <w:rPr>
                <w:b/>
                <w:bCs/>
                <w:sz w:val="20"/>
                <w:szCs w:val="20"/>
              </w:rPr>
            </w:pPr>
            <w:r w:rsidRPr="00904ADC">
              <w:rPr>
                <w:b/>
                <w:bCs/>
                <w:sz w:val="20"/>
                <w:szCs w:val="20"/>
              </w:rPr>
              <w:t>Mass</w:t>
            </w:r>
            <w:r w:rsidR="00904ADC" w:rsidRPr="00904ADC">
              <w:rPr>
                <w:b/>
                <w:bCs/>
                <w:sz w:val="20"/>
                <w:szCs w:val="20"/>
              </w:rPr>
              <w:br/>
            </w:r>
            <w:r w:rsidRPr="00904ADC">
              <w:rPr>
                <w:b/>
                <w:bCs/>
                <w:sz w:val="20"/>
                <w:szCs w:val="20"/>
              </w:rPr>
              <w:t>(kg)</w:t>
            </w:r>
          </w:p>
        </w:tc>
        <w:tc>
          <w:tcPr>
            <w:tcW w:w="632" w:type="pct"/>
            <w:tcBorders>
              <w:top w:val="single" w:sz="8" w:space="0" w:color="auto"/>
              <w:bottom w:val="single" w:sz="8" w:space="0" w:color="auto"/>
            </w:tcBorders>
          </w:tcPr>
          <w:p w14:paraId="6EEE4A7A" w14:textId="77777777" w:rsidR="00074DEE" w:rsidRPr="00904ADC" w:rsidRDefault="00074DEE" w:rsidP="007C449B">
            <w:pPr>
              <w:pStyle w:val="MTabTxt"/>
              <w:rPr>
                <w:b/>
                <w:bCs/>
                <w:sz w:val="20"/>
                <w:szCs w:val="20"/>
              </w:rPr>
            </w:pPr>
            <w:r w:rsidRPr="00904ADC">
              <w:rPr>
                <w:b/>
                <w:bCs/>
                <w:sz w:val="20"/>
                <w:szCs w:val="20"/>
              </w:rPr>
              <w:t>Packaging</w:t>
            </w:r>
          </w:p>
        </w:tc>
        <w:tc>
          <w:tcPr>
            <w:tcW w:w="920" w:type="pct"/>
            <w:tcBorders>
              <w:top w:val="single" w:sz="8" w:space="0" w:color="auto"/>
              <w:bottom w:val="single" w:sz="8" w:space="0" w:color="auto"/>
            </w:tcBorders>
          </w:tcPr>
          <w:p w14:paraId="46AC262D" w14:textId="77777777" w:rsidR="00074DEE" w:rsidRPr="00904ADC" w:rsidRDefault="00074DEE" w:rsidP="007C449B">
            <w:pPr>
              <w:pStyle w:val="MTabTxt"/>
              <w:jc w:val="right"/>
              <w:rPr>
                <w:b/>
                <w:bCs/>
                <w:sz w:val="20"/>
                <w:szCs w:val="20"/>
              </w:rPr>
            </w:pPr>
            <w:r w:rsidRPr="00904ADC">
              <w:rPr>
                <w:b/>
                <w:bCs/>
                <w:sz w:val="20"/>
                <w:szCs w:val="20"/>
              </w:rPr>
              <w:t>Heat loss per unit mass (</w:t>
            </w:r>
            <w:proofErr w:type="spellStart"/>
            <w:r w:rsidRPr="00904ADC">
              <w:rPr>
                <w:b/>
                <w:bCs/>
                <w:sz w:val="20"/>
                <w:szCs w:val="20"/>
              </w:rPr>
              <w:t>mW</w:t>
            </w:r>
            <w:proofErr w:type="spellEnd"/>
            <w:r w:rsidRPr="00904ADC">
              <w:rPr>
                <w:b/>
                <w:bCs/>
                <w:sz w:val="20"/>
                <w:szCs w:val="20"/>
              </w:rPr>
              <w:t>/</w:t>
            </w:r>
            <w:proofErr w:type="spellStart"/>
            <w:proofErr w:type="gramStart"/>
            <w:r w:rsidRPr="00904ADC">
              <w:rPr>
                <w:b/>
                <w:bCs/>
                <w:sz w:val="20"/>
                <w:szCs w:val="20"/>
              </w:rPr>
              <w:t>kg.K</w:t>
            </w:r>
            <w:proofErr w:type="spellEnd"/>
            <w:proofErr w:type="gramEnd"/>
            <w:r w:rsidRPr="00904ADC">
              <w:rPr>
                <w:b/>
                <w:bCs/>
                <w:sz w:val="20"/>
                <w:szCs w:val="20"/>
              </w:rPr>
              <w:t>)</w:t>
            </w:r>
          </w:p>
        </w:tc>
        <w:tc>
          <w:tcPr>
            <w:tcW w:w="753" w:type="pct"/>
            <w:tcBorders>
              <w:top w:val="single" w:sz="8" w:space="0" w:color="auto"/>
              <w:bottom w:val="single" w:sz="8" w:space="0" w:color="auto"/>
            </w:tcBorders>
          </w:tcPr>
          <w:p w14:paraId="55416FED" w14:textId="77777777" w:rsidR="00074DEE" w:rsidRPr="00904ADC" w:rsidRDefault="00074DEE" w:rsidP="00904ADC">
            <w:pPr>
              <w:pStyle w:val="MTabTxt"/>
              <w:jc w:val="right"/>
              <w:rPr>
                <w:b/>
                <w:bCs/>
                <w:sz w:val="20"/>
                <w:szCs w:val="20"/>
              </w:rPr>
            </w:pPr>
            <w:r w:rsidRPr="00904ADC">
              <w:rPr>
                <w:b/>
                <w:bCs/>
                <w:sz w:val="20"/>
                <w:szCs w:val="20"/>
              </w:rPr>
              <w:t>SADT/SAPT</w:t>
            </w:r>
            <w:r w:rsidR="00904ADC" w:rsidRPr="00904ADC">
              <w:rPr>
                <w:b/>
                <w:bCs/>
                <w:sz w:val="20"/>
                <w:szCs w:val="20"/>
              </w:rPr>
              <w:br/>
            </w:r>
            <w:r w:rsidRPr="00904ADC">
              <w:rPr>
                <w:b/>
                <w:bCs/>
                <w:sz w:val="20"/>
                <w:szCs w:val="20"/>
              </w:rPr>
              <w:t>(°C)</w:t>
            </w:r>
          </w:p>
        </w:tc>
      </w:tr>
      <w:tr w:rsidR="005D2A23" w:rsidRPr="00904ADC" w14:paraId="6CCC2F58" w14:textId="77777777" w:rsidTr="00074DEE">
        <w:trPr>
          <w:cantSplit/>
        </w:trPr>
        <w:tc>
          <w:tcPr>
            <w:tcW w:w="2306" w:type="pct"/>
          </w:tcPr>
          <w:p w14:paraId="3C30FE59" w14:textId="77777777" w:rsidR="00074DEE" w:rsidRPr="00904ADC" w:rsidRDefault="005D2A23" w:rsidP="007C449B">
            <w:pPr>
              <w:pStyle w:val="MTabTxt"/>
              <w:rPr>
                <w:sz w:val="20"/>
                <w:szCs w:val="20"/>
              </w:rPr>
            </w:pPr>
            <w:r w:rsidRPr="00904ADC">
              <w:rPr>
                <w:sz w:val="20"/>
                <w:szCs w:val="20"/>
              </w:rPr>
              <w:t xml:space="preserve">Cumyl </w:t>
            </w:r>
            <w:proofErr w:type="spellStart"/>
            <w:r w:rsidRPr="00904ADC">
              <w:rPr>
                <w:sz w:val="20"/>
                <w:szCs w:val="20"/>
              </w:rPr>
              <w:t>peroxyneodecanoate</w:t>
            </w:r>
            <w:proofErr w:type="spellEnd"/>
            <w:r w:rsidRPr="00904ADC">
              <w:rPr>
                <w:sz w:val="20"/>
                <w:szCs w:val="20"/>
              </w:rPr>
              <w:t xml:space="preserve"> (75%)</w:t>
            </w:r>
          </w:p>
        </w:tc>
        <w:tc>
          <w:tcPr>
            <w:tcW w:w="389" w:type="pct"/>
          </w:tcPr>
          <w:p w14:paraId="3E9A74E6" w14:textId="77777777" w:rsidR="00074DEE" w:rsidRPr="00904ADC" w:rsidRDefault="00074DEE" w:rsidP="007C449B">
            <w:pPr>
              <w:pStyle w:val="MTabTxt"/>
              <w:jc w:val="right"/>
              <w:rPr>
                <w:sz w:val="20"/>
                <w:szCs w:val="20"/>
              </w:rPr>
            </w:pPr>
            <w:r w:rsidRPr="00904ADC">
              <w:rPr>
                <w:sz w:val="20"/>
                <w:szCs w:val="20"/>
              </w:rPr>
              <w:t>25</w:t>
            </w:r>
          </w:p>
        </w:tc>
        <w:tc>
          <w:tcPr>
            <w:tcW w:w="632" w:type="pct"/>
          </w:tcPr>
          <w:p w14:paraId="468369DB" w14:textId="77777777" w:rsidR="00074DEE" w:rsidRPr="00904ADC" w:rsidRDefault="005D2A23" w:rsidP="007C449B">
            <w:pPr>
              <w:pStyle w:val="MTabTxt"/>
              <w:rPr>
                <w:sz w:val="20"/>
                <w:szCs w:val="20"/>
              </w:rPr>
            </w:pPr>
            <w:r w:rsidRPr="00904ADC">
              <w:rPr>
                <w:sz w:val="20"/>
                <w:szCs w:val="20"/>
              </w:rPr>
              <w:t>3H1</w:t>
            </w:r>
          </w:p>
        </w:tc>
        <w:tc>
          <w:tcPr>
            <w:tcW w:w="920" w:type="pct"/>
          </w:tcPr>
          <w:p w14:paraId="3A80C948" w14:textId="77777777" w:rsidR="00074DEE" w:rsidRPr="00904ADC" w:rsidRDefault="005D2A23" w:rsidP="007C449B">
            <w:pPr>
              <w:pStyle w:val="MTabTxt"/>
              <w:jc w:val="right"/>
              <w:rPr>
                <w:sz w:val="20"/>
                <w:szCs w:val="20"/>
              </w:rPr>
            </w:pPr>
            <w:r w:rsidRPr="00904ADC">
              <w:rPr>
                <w:sz w:val="20"/>
                <w:szCs w:val="20"/>
              </w:rPr>
              <w:t>40</w:t>
            </w:r>
          </w:p>
        </w:tc>
        <w:tc>
          <w:tcPr>
            <w:tcW w:w="753" w:type="pct"/>
          </w:tcPr>
          <w:p w14:paraId="79B69702" w14:textId="77777777" w:rsidR="00074DEE" w:rsidRPr="00904ADC" w:rsidRDefault="005D2A23" w:rsidP="007C449B">
            <w:pPr>
              <w:pStyle w:val="MTabTxt"/>
              <w:jc w:val="right"/>
              <w:rPr>
                <w:sz w:val="20"/>
                <w:szCs w:val="20"/>
              </w:rPr>
            </w:pPr>
            <w:r w:rsidRPr="00904ADC">
              <w:rPr>
                <w:sz w:val="20"/>
                <w:szCs w:val="20"/>
              </w:rPr>
              <w:t>10</w:t>
            </w:r>
          </w:p>
        </w:tc>
      </w:tr>
      <w:tr w:rsidR="005D2A23" w:rsidRPr="00904ADC" w14:paraId="469A4B2A" w14:textId="77777777" w:rsidTr="00074DEE">
        <w:trPr>
          <w:cantSplit/>
        </w:trPr>
        <w:tc>
          <w:tcPr>
            <w:tcW w:w="2306" w:type="pct"/>
          </w:tcPr>
          <w:p w14:paraId="70413A7A" w14:textId="77777777" w:rsidR="005D2A23" w:rsidRPr="00904ADC" w:rsidRDefault="005D2A23" w:rsidP="007C449B">
            <w:pPr>
              <w:pStyle w:val="MTabTxt"/>
              <w:rPr>
                <w:sz w:val="20"/>
                <w:szCs w:val="20"/>
              </w:rPr>
            </w:pPr>
            <w:r w:rsidRPr="00904ADC">
              <w:rPr>
                <w:sz w:val="20"/>
                <w:szCs w:val="20"/>
              </w:rPr>
              <w:t xml:space="preserve">tert-Butyl </w:t>
            </w:r>
            <w:proofErr w:type="spellStart"/>
            <w:r w:rsidRPr="00904ADC">
              <w:rPr>
                <w:sz w:val="20"/>
                <w:szCs w:val="20"/>
              </w:rPr>
              <w:t>peroxyneodecanoate</w:t>
            </w:r>
            <w:proofErr w:type="spellEnd"/>
          </w:p>
        </w:tc>
        <w:tc>
          <w:tcPr>
            <w:tcW w:w="389" w:type="pct"/>
          </w:tcPr>
          <w:p w14:paraId="116D4FBC" w14:textId="77777777" w:rsidR="005D2A23" w:rsidRPr="00904ADC" w:rsidRDefault="005D2A23" w:rsidP="005D2A23">
            <w:pPr>
              <w:pStyle w:val="MTabTxt"/>
              <w:jc w:val="right"/>
              <w:rPr>
                <w:sz w:val="20"/>
                <w:szCs w:val="20"/>
              </w:rPr>
            </w:pPr>
            <w:r w:rsidRPr="00904ADC">
              <w:rPr>
                <w:sz w:val="20"/>
                <w:szCs w:val="20"/>
              </w:rPr>
              <w:t>25</w:t>
            </w:r>
          </w:p>
        </w:tc>
        <w:tc>
          <w:tcPr>
            <w:tcW w:w="632" w:type="pct"/>
          </w:tcPr>
          <w:p w14:paraId="2998AB0D" w14:textId="77777777" w:rsidR="005D2A23" w:rsidRPr="00904ADC" w:rsidRDefault="005D2A23" w:rsidP="007C449B">
            <w:pPr>
              <w:pStyle w:val="MTabTxt"/>
              <w:rPr>
                <w:sz w:val="20"/>
                <w:szCs w:val="20"/>
              </w:rPr>
            </w:pPr>
            <w:r w:rsidRPr="00904ADC">
              <w:rPr>
                <w:sz w:val="20"/>
                <w:szCs w:val="20"/>
              </w:rPr>
              <w:t>3H1</w:t>
            </w:r>
          </w:p>
        </w:tc>
        <w:tc>
          <w:tcPr>
            <w:tcW w:w="920" w:type="pct"/>
          </w:tcPr>
          <w:p w14:paraId="60E6DDB3" w14:textId="77777777" w:rsidR="005D2A23" w:rsidRPr="00904ADC" w:rsidRDefault="005D2A23" w:rsidP="005D2A23">
            <w:pPr>
              <w:pStyle w:val="MTabTxt"/>
              <w:jc w:val="right"/>
              <w:rPr>
                <w:sz w:val="20"/>
                <w:szCs w:val="20"/>
              </w:rPr>
            </w:pPr>
            <w:r w:rsidRPr="00904ADC">
              <w:rPr>
                <w:sz w:val="20"/>
                <w:szCs w:val="20"/>
              </w:rPr>
              <w:t>40</w:t>
            </w:r>
          </w:p>
        </w:tc>
        <w:tc>
          <w:tcPr>
            <w:tcW w:w="753" w:type="pct"/>
          </w:tcPr>
          <w:p w14:paraId="13D3FCEA" w14:textId="77777777" w:rsidR="005D2A23" w:rsidRPr="00904ADC" w:rsidRDefault="005D2A23" w:rsidP="005D2A23">
            <w:pPr>
              <w:pStyle w:val="MTabTxt"/>
              <w:jc w:val="right"/>
              <w:rPr>
                <w:sz w:val="20"/>
                <w:szCs w:val="20"/>
              </w:rPr>
            </w:pPr>
            <w:r w:rsidRPr="00904ADC">
              <w:rPr>
                <w:sz w:val="20"/>
                <w:szCs w:val="20"/>
              </w:rPr>
              <w:t>15</w:t>
            </w:r>
          </w:p>
        </w:tc>
      </w:tr>
      <w:tr w:rsidR="00074DEE" w:rsidRPr="00904ADC" w14:paraId="6FF47064" w14:textId="77777777" w:rsidTr="00074DEE">
        <w:trPr>
          <w:cantSplit/>
        </w:trPr>
        <w:tc>
          <w:tcPr>
            <w:tcW w:w="2306" w:type="pct"/>
            <w:tcBorders>
              <w:bottom w:val="single" w:sz="8" w:space="0" w:color="auto"/>
            </w:tcBorders>
          </w:tcPr>
          <w:p w14:paraId="28425FE7" w14:textId="77777777" w:rsidR="00074DEE" w:rsidRPr="00904ADC" w:rsidRDefault="005D2A23" w:rsidP="007C449B">
            <w:pPr>
              <w:pStyle w:val="MTabTxt"/>
              <w:rPr>
                <w:sz w:val="20"/>
                <w:szCs w:val="20"/>
              </w:rPr>
            </w:pPr>
            <w:r w:rsidRPr="00904ADC">
              <w:rPr>
                <w:sz w:val="20"/>
                <w:szCs w:val="20"/>
              </w:rPr>
              <w:t>N-</w:t>
            </w:r>
            <w:proofErr w:type="spellStart"/>
            <w:r w:rsidRPr="00904ADC">
              <w:rPr>
                <w:sz w:val="20"/>
                <w:szCs w:val="20"/>
              </w:rPr>
              <w:t>Vinylformamide</w:t>
            </w:r>
            <w:proofErr w:type="spellEnd"/>
          </w:p>
        </w:tc>
        <w:tc>
          <w:tcPr>
            <w:tcW w:w="389" w:type="pct"/>
            <w:tcBorders>
              <w:bottom w:val="single" w:sz="8" w:space="0" w:color="auto"/>
            </w:tcBorders>
          </w:tcPr>
          <w:p w14:paraId="1565EC00" w14:textId="77777777" w:rsidR="00074DEE" w:rsidRPr="00904ADC" w:rsidRDefault="005D2A23" w:rsidP="005D2A23">
            <w:pPr>
              <w:pStyle w:val="MTabTxt"/>
              <w:jc w:val="right"/>
              <w:rPr>
                <w:sz w:val="20"/>
                <w:szCs w:val="20"/>
              </w:rPr>
            </w:pPr>
            <w:r w:rsidRPr="00904ADC">
              <w:rPr>
                <w:sz w:val="20"/>
                <w:szCs w:val="20"/>
              </w:rPr>
              <w:t>1000</w:t>
            </w:r>
          </w:p>
        </w:tc>
        <w:tc>
          <w:tcPr>
            <w:tcW w:w="632" w:type="pct"/>
            <w:tcBorders>
              <w:bottom w:val="single" w:sz="8" w:space="0" w:color="auto"/>
            </w:tcBorders>
          </w:tcPr>
          <w:p w14:paraId="021B6FA1" w14:textId="77777777" w:rsidR="00074DEE" w:rsidRPr="00904ADC" w:rsidRDefault="005D2A23" w:rsidP="007C449B">
            <w:pPr>
              <w:pStyle w:val="MTabTxt"/>
              <w:rPr>
                <w:sz w:val="20"/>
                <w:szCs w:val="20"/>
              </w:rPr>
            </w:pPr>
            <w:r w:rsidRPr="00904ADC">
              <w:rPr>
                <w:sz w:val="20"/>
                <w:szCs w:val="20"/>
              </w:rPr>
              <w:t>31H1</w:t>
            </w:r>
          </w:p>
        </w:tc>
        <w:tc>
          <w:tcPr>
            <w:tcW w:w="920" w:type="pct"/>
            <w:tcBorders>
              <w:bottom w:val="single" w:sz="8" w:space="0" w:color="auto"/>
            </w:tcBorders>
          </w:tcPr>
          <w:p w14:paraId="71962CBB" w14:textId="77777777" w:rsidR="00074DEE" w:rsidRPr="00904ADC" w:rsidRDefault="005D2A23" w:rsidP="005D2A23">
            <w:pPr>
              <w:pStyle w:val="MTabTxt"/>
              <w:jc w:val="right"/>
              <w:rPr>
                <w:sz w:val="20"/>
                <w:szCs w:val="20"/>
              </w:rPr>
            </w:pPr>
            <w:r w:rsidRPr="00904ADC">
              <w:rPr>
                <w:sz w:val="20"/>
                <w:szCs w:val="20"/>
              </w:rPr>
              <w:t>33</w:t>
            </w:r>
          </w:p>
        </w:tc>
        <w:tc>
          <w:tcPr>
            <w:tcW w:w="753" w:type="pct"/>
            <w:tcBorders>
              <w:bottom w:val="single" w:sz="8" w:space="0" w:color="auto"/>
            </w:tcBorders>
          </w:tcPr>
          <w:p w14:paraId="293EF973" w14:textId="77777777" w:rsidR="00074DEE" w:rsidRPr="00904ADC" w:rsidRDefault="005D2A23" w:rsidP="005D2A23">
            <w:pPr>
              <w:pStyle w:val="MTabTxt"/>
              <w:jc w:val="right"/>
              <w:rPr>
                <w:sz w:val="20"/>
                <w:szCs w:val="20"/>
              </w:rPr>
            </w:pPr>
            <w:r w:rsidRPr="00904ADC">
              <w:rPr>
                <w:sz w:val="20"/>
                <w:szCs w:val="20"/>
              </w:rPr>
              <w:t>55</w:t>
            </w:r>
          </w:p>
        </w:tc>
      </w:tr>
    </w:tbl>
    <w:p w14:paraId="0F888E56" w14:textId="77777777" w:rsidR="00095AB4" w:rsidRDefault="00095AB4" w:rsidP="00095AB4">
      <w:pPr>
        <w:numPr>
          <w:ilvl w:val="12"/>
          <w:numId w:val="0"/>
        </w:numPr>
        <w:tabs>
          <w:tab w:val="left" w:pos="1418"/>
        </w:tabs>
        <w:jc w:val="both"/>
        <w:rPr>
          <w:sz w:val="22"/>
          <w:szCs w:val="22"/>
        </w:rPr>
      </w:pPr>
      <w:r>
        <w:rPr>
          <w:sz w:val="22"/>
          <w:szCs w:val="22"/>
        </w:rPr>
        <w:tab/>
      </w:r>
    </w:p>
    <w:p w14:paraId="04C94333" w14:textId="77777777" w:rsidR="00095AB4" w:rsidRPr="009F372C" w:rsidRDefault="00095AB4" w:rsidP="00095AB4">
      <w:pPr>
        <w:pStyle w:val="SingleTxtG"/>
      </w:pPr>
      <w:r w:rsidRPr="009F372C">
        <w:t xml:space="preserve">Add the following note </w:t>
      </w:r>
      <w:r w:rsidR="005D2A23">
        <w:t>“a”</w:t>
      </w:r>
      <w:r w:rsidR="004E7A50">
        <w:t xml:space="preserve"> </w:t>
      </w:r>
      <w:r w:rsidRPr="009F372C">
        <w:t>under the table:</w:t>
      </w:r>
    </w:p>
    <w:p w14:paraId="3823B9B8" w14:textId="77777777" w:rsidR="00095AB4" w:rsidRPr="005D2A23" w:rsidRDefault="00095AB4" w:rsidP="00095AB4">
      <w:pPr>
        <w:pStyle w:val="SingleTxtG"/>
        <w:rPr>
          <w:i/>
          <w:iCs/>
        </w:rPr>
      </w:pPr>
      <w:r>
        <w:rPr>
          <w:b/>
          <w:vertAlign w:val="superscript"/>
        </w:rPr>
        <w:t>“</w:t>
      </w:r>
      <w:proofErr w:type="spellStart"/>
      <w:r w:rsidRPr="005D2A23">
        <w:rPr>
          <w:b/>
          <w:vertAlign w:val="superscript"/>
        </w:rPr>
        <w:t>a</w:t>
      </w:r>
      <w:proofErr w:type="spellEnd"/>
      <w:r w:rsidRPr="005D2A23">
        <w:rPr>
          <w:b/>
          <w:vertAlign w:val="superscript"/>
        </w:rPr>
        <w:t xml:space="preserve"> </w:t>
      </w:r>
      <w:r w:rsidRPr="005D2A23">
        <w:rPr>
          <w:i/>
          <w:iCs/>
        </w:rPr>
        <w:t>These historical examples were determined using heat losses that are higher than those currently recommended for classification purposes (see table 28.4).”.</w:t>
      </w:r>
    </w:p>
    <w:p w14:paraId="4D98988B" w14:textId="77777777" w:rsidR="00095AB4" w:rsidRPr="0085508E" w:rsidRDefault="00095AB4" w:rsidP="00095AB4">
      <w:pPr>
        <w:pStyle w:val="SingleTxtG"/>
      </w:pPr>
      <w:r w:rsidRPr="0085508E">
        <w:t>Current figures 28.4.3.1 and 28.4.3.2</w:t>
      </w:r>
      <w:r w:rsidRPr="0085508E">
        <w:tab/>
        <w:t>Delete.</w:t>
      </w:r>
    </w:p>
    <w:p w14:paraId="7220D805" w14:textId="77777777" w:rsidR="00095AB4" w:rsidRPr="0085508E" w:rsidRDefault="00095AB4" w:rsidP="00904ADC">
      <w:pPr>
        <w:pStyle w:val="SingleTxtG"/>
        <w:keepNext/>
        <w:keepLines/>
      </w:pPr>
      <w:r w:rsidRPr="0085508E">
        <w:lastRenderedPageBreak/>
        <w:t>Insert the following new figure 28.4.3.2:</w:t>
      </w:r>
    </w:p>
    <w:p w14:paraId="710C3B9D" w14:textId="77777777" w:rsidR="00095AB4" w:rsidRDefault="00095AB4" w:rsidP="00095AB4">
      <w:pPr>
        <w:keepNext/>
        <w:keepLines/>
        <w:numPr>
          <w:ilvl w:val="12"/>
          <w:numId w:val="0"/>
        </w:numPr>
        <w:tabs>
          <w:tab w:val="left" w:pos="1134"/>
          <w:tab w:val="left" w:pos="1701"/>
          <w:tab w:val="left" w:pos="2268"/>
          <w:tab w:val="left" w:pos="2835"/>
          <w:tab w:val="left" w:pos="3402"/>
          <w:tab w:val="left" w:pos="3969"/>
        </w:tabs>
        <w:jc w:val="center"/>
        <w:rPr>
          <w:rStyle w:val="SingleTxtGChar"/>
          <w:b/>
          <w:bCs/>
        </w:rPr>
      </w:pPr>
      <w:r>
        <w:rPr>
          <w:rStyle w:val="SingleTxtGChar"/>
          <w:b/>
          <w:bCs/>
        </w:rPr>
        <w:t>“</w:t>
      </w:r>
      <w:r w:rsidRPr="0085508E">
        <w:rPr>
          <w:rStyle w:val="SingleTxtGChar"/>
          <w:b/>
          <w:bCs/>
        </w:rPr>
        <w:t>Figure 28.4.3.2: Example of determination of SADT or SAPT</w:t>
      </w:r>
    </w:p>
    <w:p w14:paraId="7D57E35A" w14:textId="77777777" w:rsidR="00095AB4" w:rsidRDefault="00095AB4" w:rsidP="00095AB4">
      <w:pPr>
        <w:keepNext/>
        <w:keepLines/>
        <w:numPr>
          <w:ilvl w:val="12"/>
          <w:numId w:val="0"/>
        </w:numPr>
        <w:tabs>
          <w:tab w:val="left" w:pos="1134"/>
          <w:tab w:val="left" w:pos="1701"/>
          <w:tab w:val="left" w:pos="2268"/>
          <w:tab w:val="left" w:pos="2835"/>
          <w:tab w:val="left" w:pos="3402"/>
          <w:tab w:val="left" w:pos="3969"/>
        </w:tabs>
        <w:jc w:val="center"/>
        <w:rPr>
          <w:rStyle w:val="SingleTxtGChar"/>
          <w:b/>
          <w:bCs/>
        </w:rPr>
      </w:pPr>
      <w:r>
        <w:object w:dxaOrig="5986" w:dyaOrig="5131" w14:anchorId="583B2133">
          <v:shape id="_x0000_i1026" type="#_x0000_t75" style="width:330pt;height:282.5pt" o:ole="">
            <v:imagedata r:id="rId9" o:title=""/>
          </v:shape>
          <o:OLEObject Type="Embed" ProgID="Visio.Drawing.15" ShapeID="_x0000_i1026" DrawAspect="Content" ObjectID="_1647081784" r:id="rId12"/>
        </w:object>
      </w:r>
    </w:p>
    <w:tbl>
      <w:tblPr>
        <w:tblStyle w:val="TableGrid"/>
        <w:tblW w:w="8659" w:type="dxa"/>
        <w:tblInd w:w="1134"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3"/>
        <w:gridCol w:w="16"/>
        <w:gridCol w:w="3431"/>
        <w:gridCol w:w="105"/>
        <w:gridCol w:w="628"/>
        <w:gridCol w:w="118"/>
        <w:gridCol w:w="3417"/>
        <w:gridCol w:w="21"/>
      </w:tblGrid>
      <w:tr w:rsidR="00095AB4" w:rsidRPr="005D2A23" w14:paraId="205902A1" w14:textId="77777777" w:rsidTr="005D2A23">
        <w:trPr>
          <w:gridAfter w:val="1"/>
          <w:wAfter w:w="21" w:type="dxa"/>
          <w:trHeight w:hRule="exact" w:val="113"/>
        </w:trPr>
        <w:tc>
          <w:tcPr>
            <w:tcW w:w="939" w:type="dxa"/>
            <w:gridSpan w:val="2"/>
            <w:shd w:val="clear" w:color="auto" w:fill="auto"/>
            <w:vAlign w:val="bottom"/>
          </w:tcPr>
          <w:p w14:paraId="2FB9F480" w14:textId="77777777" w:rsidR="00095AB4" w:rsidRPr="005D2A23" w:rsidRDefault="00095AB4" w:rsidP="00095AB4">
            <w:pPr>
              <w:spacing w:line="220" w:lineRule="exact"/>
              <w:rPr>
                <w:i/>
                <w:szCs w:val="24"/>
              </w:rPr>
            </w:pPr>
          </w:p>
        </w:tc>
        <w:tc>
          <w:tcPr>
            <w:tcW w:w="3536" w:type="dxa"/>
            <w:gridSpan w:val="2"/>
            <w:shd w:val="clear" w:color="auto" w:fill="auto"/>
            <w:vAlign w:val="bottom"/>
          </w:tcPr>
          <w:p w14:paraId="0BE58F45" w14:textId="77777777" w:rsidR="00095AB4" w:rsidRPr="005D2A23" w:rsidRDefault="00095AB4" w:rsidP="00095AB4">
            <w:pPr>
              <w:spacing w:line="220" w:lineRule="exact"/>
              <w:rPr>
                <w:i/>
                <w:szCs w:val="24"/>
              </w:rPr>
            </w:pPr>
          </w:p>
        </w:tc>
        <w:tc>
          <w:tcPr>
            <w:tcW w:w="746" w:type="dxa"/>
            <w:gridSpan w:val="2"/>
            <w:shd w:val="clear" w:color="auto" w:fill="auto"/>
            <w:vAlign w:val="bottom"/>
          </w:tcPr>
          <w:p w14:paraId="00B60976" w14:textId="77777777" w:rsidR="00095AB4" w:rsidRPr="005D2A23" w:rsidRDefault="00095AB4" w:rsidP="00095AB4">
            <w:pPr>
              <w:spacing w:line="220" w:lineRule="exact"/>
              <w:rPr>
                <w:i/>
                <w:szCs w:val="24"/>
              </w:rPr>
            </w:pPr>
          </w:p>
        </w:tc>
        <w:tc>
          <w:tcPr>
            <w:tcW w:w="3417" w:type="dxa"/>
            <w:shd w:val="clear" w:color="auto" w:fill="auto"/>
            <w:vAlign w:val="bottom"/>
          </w:tcPr>
          <w:p w14:paraId="62959A9A" w14:textId="77777777" w:rsidR="00095AB4" w:rsidRPr="005D2A23" w:rsidRDefault="00095AB4" w:rsidP="00095AB4">
            <w:pPr>
              <w:spacing w:line="220" w:lineRule="exact"/>
              <w:rPr>
                <w:iCs/>
                <w:szCs w:val="24"/>
              </w:rPr>
            </w:pPr>
          </w:p>
        </w:tc>
      </w:tr>
      <w:tr w:rsidR="00095AB4" w:rsidRPr="005D2A23" w14:paraId="2F78FD0A" w14:textId="77777777" w:rsidTr="005D2A23">
        <w:tc>
          <w:tcPr>
            <w:tcW w:w="923" w:type="dxa"/>
            <w:shd w:val="clear" w:color="auto" w:fill="auto"/>
          </w:tcPr>
          <w:p w14:paraId="11C6A306" w14:textId="77777777" w:rsidR="00095AB4" w:rsidRPr="005D2A23" w:rsidRDefault="00095AB4" w:rsidP="00095AB4">
            <w:pPr>
              <w:spacing w:before="40" w:line="220" w:lineRule="exact"/>
              <w:rPr>
                <w:rFonts w:asciiTheme="majorBidi" w:hAnsiTheme="majorBidi" w:cstheme="majorBidi"/>
                <w:szCs w:val="24"/>
              </w:rPr>
            </w:pPr>
            <w:r w:rsidRPr="005D2A23">
              <w:rPr>
                <w:rFonts w:asciiTheme="majorBidi" w:hAnsiTheme="majorBidi" w:cstheme="majorBidi"/>
                <w:noProof/>
                <w:szCs w:val="24"/>
              </w:rPr>
              <mc:AlternateContent>
                <mc:Choice Requires="wps">
                  <w:drawing>
                    <wp:anchor distT="0" distB="0" distL="114300" distR="114300" simplePos="0" relativeHeight="251659264" behindDoc="0" locked="0" layoutInCell="1" allowOverlap="1" wp14:anchorId="6F758F4B" wp14:editId="0C07346C">
                      <wp:simplePos x="0" y="0"/>
                      <wp:positionH relativeFrom="column">
                        <wp:posOffset>20498</wp:posOffset>
                      </wp:positionH>
                      <wp:positionV relativeFrom="paragraph">
                        <wp:posOffset>71158</wp:posOffset>
                      </wp:positionV>
                      <wp:extent cx="52143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21435" cy="0"/>
                              </a:xfrm>
                              <a:prstGeom prst="line">
                                <a:avLst/>
                              </a:prstGeom>
                              <a:ln w="19050" cap="flat" cmpd="sng" algn="ctr">
                                <a:solidFill>
                                  <a:schemeClr val="tx1"/>
                                </a:solidFill>
                                <a:prstDash val="lgDashDot"/>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448387"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pt,5.6pt" to="42.6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" strokecolor="black [3213]" strokeweight="1.5pt">
                      <v:stroke dashstyle="longDashDot"/>
                    </v:line>
                  </w:pict>
                </mc:Fallback>
              </mc:AlternateContent>
            </w:r>
          </w:p>
        </w:tc>
        <w:tc>
          <w:tcPr>
            <w:tcW w:w="3447" w:type="dxa"/>
            <w:gridSpan w:val="2"/>
            <w:shd w:val="clear" w:color="auto" w:fill="auto"/>
          </w:tcPr>
          <w:p w14:paraId="0C68CA11" w14:textId="77777777" w:rsidR="00095AB4" w:rsidRPr="005D2A23" w:rsidRDefault="00095AB4" w:rsidP="00095AB4">
            <w:pPr>
              <w:spacing w:before="40" w:line="220" w:lineRule="exact"/>
              <w:rPr>
                <w:rFonts w:asciiTheme="majorBidi" w:hAnsiTheme="majorBidi" w:cstheme="majorBidi"/>
                <w:szCs w:val="24"/>
              </w:rPr>
            </w:pPr>
            <w:r w:rsidRPr="005D2A23">
              <w:rPr>
                <w:rFonts w:asciiTheme="majorBidi" w:hAnsiTheme="majorBidi" w:cstheme="majorBidi"/>
                <w:szCs w:val="24"/>
              </w:rPr>
              <w:t>Heat generation curve</w:t>
            </w:r>
          </w:p>
        </w:tc>
        <w:tc>
          <w:tcPr>
            <w:tcW w:w="733" w:type="dxa"/>
            <w:gridSpan w:val="2"/>
            <w:shd w:val="clear" w:color="auto" w:fill="auto"/>
          </w:tcPr>
          <w:p w14:paraId="2B1C9A16" w14:textId="77777777" w:rsidR="00095AB4" w:rsidRPr="005D2A23" w:rsidRDefault="00095AB4" w:rsidP="00095AB4">
            <w:pPr>
              <w:spacing w:before="40" w:line="220" w:lineRule="exact"/>
              <w:rPr>
                <w:rFonts w:asciiTheme="majorBidi" w:hAnsiTheme="majorBidi" w:cstheme="majorBidi"/>
                <w:szCs w:val="24"/>
              </w:rPr>
            </w:pPr>
            <w:r w:rsidRPr="005D2A23">
              <w:rPr>
                <w:rFonts w:asciiTheme="majorBidi" w:hAnsiTheme="majorBidi" w:cstheme="majorBidi"/>
                <w:noProof/>
                <w:szCs w:val="24"/>
              </w:rPr>
              <mc:AlternateContent>
                <mc:Choice Requires="wps">
                  <w:drawing>
                    <wp:anchor distT="0" distB="0" distL="114300" distR="114300" simplePos="0" relativeHeight="251660288" behindDoc="0" locked="0" layoutInCell="1" allowOverlap="1" wp14:anchorId="0B72D699" wp14:editId="4F9F6A5F">
                      <wp:simplePos x="0" y="0"/>
                      <wp:positionH relativeFrom="column">
                        <wp:posOffset>-5253</wp:posOffset>
                      </wp:positionH>
                      <wp:positionV relativeFrom="paragraph">
                        <wp:posOffset>72101</wp:posOffset>
                      </wp:positionV>
                      <wp:extent cx="394854"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394854" cy="0"/>
                              </a:xfrm>
                              <a:prstGeom prst="line">
                                <a:avLst/>
                              </a:prstGeom>
                              <a:ln w="19050" cap="flat" cmpd="sng" algn="ctr">
                                <a:solidFill>
                                  <a:schemeClr val="tx1"/>
                                </a:solidFill>
                                <a:prstDash val="solid"/>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860D3F"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5.7pt" to="30.7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" strokecolor="black [3213]" strokeweight="1.5pt"/>
                  </w:pict>
                </mc:Fallback>
              </mc:AlternateContent>
            </w:r>
          </w:p>
        </w:tc>
        <w:tc>
          <w:tcPr>
            <w:tcW w:w="3556" w:type="dxa"/>
            <w:gridSpan w:val="3"/>
            <w:shd w:val="clear" w:color="auto" w:fill="auto"/>
          </w:tcPr>
          <w:p w14:paraId="03500268" w14:textId="77777777" w:rsidR="00095AB4" w:rsidRPr="005D2A23" w:rsidRDefault="00095AB4" w:rsidP="00095AB4">
            <w:pPr>
              <w:spacing w:before="40" w:line="220" w:lineRule="exact"/>
              <w:rPr>
                <w:rFonts w:asciiTheme="majorBidi" w:hAnsiTheme="majorBidi" w:cstheme="majorBidi"/>
                <w:szCs w:val="24"/>
              </w:rPr>
            </w:pPr>
            <w:r w:rsidRPr="005D2A23">
              <w:rPr>
                <w:rFonts w:asciiTheme="majorBidi" w:hAnsiTheme="majorBidi" w:cstheme="majorBidi"/>
                <w:szCs w:val="24"/>
              </w:rPr>
              <w:t>Heat loss curve L = 0.06 W (Kg K)</w:t>
            </w:r>
          </w:p>
        </w:tc>
      </w:tr>
      <w:tr w:rsidR="00095AB4" w:rsidRPr="005D2A23" w14:paraId="2300EE1F" w14:textId="77777777" w:rsidTr="005D2A23">
        <w:tc>
          <w:tcPr>
            <w:tcW w:w="923" w:type="dxa"/>
            <w:shd w:val="clear" w:color="auto" w:fill="auto"/>
          </w:tcPr>
          <w:p w14:paraId="4F903762" w14:textId="77777777" w:rsidR="00095AB4" w:rsidRPr="005D2A23" w:rsidRDefault="00095AB4" w:rsidP="00095AB4">
            <w:pPr>
              <w:spacing w:before="40" w:line="220" w:lineRule="exact"/>
              <w:rPr>
                <w:rFonts w:asciiTheme="majorBidi" w:hAnsiTheme="majorBidi" w:cstheme="majorBidi"/>
                <w:szCs w:val="24"/>
              </w:rPr>
            </w:pPr>
            <w:r w:rsidRPr="005D2A23">
              <w:rPr>
                <w:rFonts w:asciiTheme="majorBidi" w:hAnsiTheme="majorBidi" w:cstheme="majorBidi"/>
                <w:szCs w:val="24"/>
              </w:rPr>
              <w:t>(A)</w:t>
            </w:r>
          </w:p>
        </w:tc>
        <w:tc>
          <w:tcPr>
            <w:tcW w:w="3447" w:type="dxa"/>
            <w:gridSpan w:val="2"/>
            <w:shd w:val="clear" w:color="auto" w:fill="auto"/>
          </w:tcPr>
          <w:p w14:paraId="6AA997C5" w14:textId="77777777" w:rsidR="00095AB4" w:rsidRPr="005D2A23" w:rsidRDefault="00095AB4" w:rsidP="00095AB4">
            <w:pPr>
              <w:spacing w:before="40" w:line="220" w:lineRule="exact"/>
              <w:rPr>
                <w:rFonts w:asciiTheme="majorBidi" w:hAnsiTheme="majorBidi" w:cstheme="majorBidi"/>
                <w:szCs w:val="24"/>
              </w:rPr>
            </w:pPr>
            <w:r w:rsidRPr="005D2A23">
              <w:rPr>
                <w:rFonts w:asciiTheme="majorBidi" w:hAnsiTheme="majorBidi" w:cstheme="majorBidi"/>
                <w:szCs w:val="24"/>
              </w:rPr>
              <w:t xml:space="preserve">Critical ambient temperature </w:t>
            </w:r>
            <w:r w:rsidRPr="005D2A23">
              <w:rPr>
                <w:rFonts w:asciiTheme="majorBidi" w:hAnsiTheme="majorBidi" w:cstheme="majorBidi"/>
                <w:szCs w:val="24"/>
              </w:rPr>
              <w:br/>
              <w:t>(intercept of heat loss with the abscissa)</w:t>
            </w:r>
          </w:p>
        </w:tc>
        <w:tc>
          <w:tcPr>
            <w:tcW w:w="733" w:type="dxa"/>
            <w:gridSpan w:val="2"/>
            <w:shd w:val="clear" w:color="auto" w:fill="auto"/>
          </w:tcPr>
          <w:p w14:paraId="0730535C" w14:textId="77777777" w:rsidR="00095AB4" w:rsidRPr="005D2A23" w:rsidRDefault="00095AB4" w:rsidP="00095AB4">
            <w:pPr>
              <w:spacing w:before="40" w:line="220" w:lineRule="exact"/>
              <w:rPr>
                <w:rFonts w:asciiTheme="majorBidi" w:hAnsiTheme="majorBidi" w:cstheme="majorBidi"/>
                <w:szCs w:val="24"/>
              </w:rPr>
            </w:pPr>
            <w:r w:rsidRPr="005D2A23">
              <w:rPr>
                <w:rFonts w:asciiTheme="majorBidi" w:hAnsiTheme="majorBidi" w:cstheme="majorBidi"/>
                <w:szCs w:val="24"/>
              </w:rPr>
              <w:t>(B)</w:t>
            </w:r>
          </w:p>
        </w:tc>
        <w:tc>
          <w:tcPr>
            <w:tcW w:w="3556" w:type="dxa"/>
            <w:gridSpan w:val="3"/>
            <w:shd w:val="clear" w:color="auto" w:fill="auto"/>
          </w:tcPr>
          <w:p w14:paraId="63FAAE63" w14:textId="77777777" w:rsidR="00095AB4" w:rsidRPr="005D2A23" w:rsidRDefault="00095AB4" w:rsidP="00095AB4">
            <w:pPr>
              <w:spacing w:before="40" w:line="220" w:lineRule="exact"/>
              <w:rPr>
                <w:rFonts w:asciiTheme="majorBidi" w:hAnsiTheme="majorBidi" w:cstheme="majorBidi"/>
                <w:szCs w:val="24"/>
              </w:rPr>
            </w:pPr>
            <w:r w:rsidRPr="005D2A23">
              <w:rPr>
                <w:rFonts w:asciiTheme="majorBidi" w:hAnsiTheme="majorBidi" w:cstheme="majorBidi"/>
                <w:szCs w:val="24"/>
              </w:rPr>
              <w:t>SADT or SAPT (Critical ambient temperature rounded up to next higher multiple of 5°C)</w:t>
            </w:r>
          </w:p>
        </w:tc>
      </w:tr>
    </w:tbl>
    <w:p w14:paraId="75BBF326" w14:textId="77777777" w:rsidR="00095AB4" w:rsidRDefault="00095AB4" w:rsidP="00095AB4">
      <w:pPr>
        <w:pStyle w:val="SingleTxtG"/>
        <w:jc w:val="right"/>
      </w:pPr>
      <w:r>
        <w:t>”.</w:t>
      </w:r>
    </w:p>
    <w:p w14:paraId="466BFB7B" w14:textId="77777777" w:rsidR="00095AB4" w:rsidRDefault="00095AB4" w:rsidP="00095AB4">
      <w:pPr>
        <w:pStyle w:val="SingleTxtG"/>
        <w:tabs>
          <w:tab w:val="left" w:pos="2268"/>
        </w:tabs>
        <w:ind w:left="2268" w:hanging="1134"/>
      </w:pPr>
      <w:r w:rsidRPr="0085508E">
        <w:t>28.4.4.1.1</w:t>
      </w:r>
      <w:r w:rsidRPr="0085508E">
        <w:tab/>
        <w:t>In the first sentence insert “or polymerization” after “exothermic decomposition” and amend the last sentence to read as follows: “The method can be used for the determination of the SADT or SAPT of a liquid substance in its packaging, including IBCs and small tanks (up to 2 m3) as well as for a solid substance in its packaging up to 50 kg.”.</w:t>
      </w:r>
    </w:p>
    <w:p w14:paraId="379B6F22" w14:textId="77777777" w:rsidR="00095AB4" w:rsidRDefault="00095AB4" w:rsidP="00095AB4">
      <w:pPr>
        <w:pStyle w:val="SingleTxtG"/>
        <w:tabs>
          <w:tab w:val="left" w:pos="2268"/>
        </w:tabs>
        <w:ind w:left="2268" w:hanging="1134"/>
      </w:pPr>
      <w:r w:rsidRPr="0085508E">
        <w:t>28.4.4.2.2</w:t>
      </w:r>
      <w:r w:rsidRPr="0085508E">
        <w:tab/>
        <w:t>In the first sentence replace “cell” by “test chamber”.</w:t>
      </w:r>
    </w:p>
    <w:p w14:paraId="61032FD6" w14:textId="77777777" w:rsidR="00095AB4" w:rsidRDefault="00095AB4" w:rsidP="00095AB4">
      <w:pPr>
        <w:pStyle w:val="SingleTxtG"/>
        <w:tabs>
          <w:tab w:val="left" w:pos="2268"/>
        </w:tabs>
        <w:ind w:left="2268" w:hanging="1134"/>
      </w:pPr>
      <w:r w:rsidRPr="0085508E">
        <w:t>28.4.4.2.3</w:t>
      </w:r>
      <w:r>
        <w:tab/>
        <w:t>In the first sentence replace “1.5 to 2.0 mm” by “1.5 mm to 2.0 mm” and “is used” by “can be used”.</w:t>
      </w:r>
    </w:p>
    <w:p w14:paraId="524EFF54" w14:textId="77777777" w:rsidR="00095AB4" w:rsidRDefault="00095AB4" w:rsidP="00095AB4">
      <w:pPr>
        <w:pStyle w:val="SingleTxtG"/>
        <w:tabs>
          <w:tab w:val="left" w:pos="2268"/>
        </w:tabs>
        <w:ind w:left="2268" w:hanging="1134"/>
      </w:pPr>
      <w:r>
        <w:tab/>
        <w:t xml:space="preserve">Amend the end of the paragraph to read as follows: </w:t>
      </w:r>
    </w:p>
    <w:p w14:paraId="3BA62A82" w14:textId="77777777" w:rsidR="00095AB4" w:rsidRPr="0085508E" w:rsidRDefault="00095AB4" w:rsidP="00095AB4">
      <w:pPr>
        <w:pStyle w:val="SingleTxtG"/>
        <w:ind w:left="2268"/>
      </w:pPr>
      <w:r>
        <w:tab/>
      </w:r>
      <w:r w:rsidRPr="0085508E">
        <w:t>“The air temperature in the double walled metal chamber should be controlled so that the desired temperature for a liquid inert sample in the Dewar vessel to be maintained with a deviation of not more than ± 1 °C for up to 10 days. The air temperature in the double walled metal chamber and the sample temperature in the Dewar should be measured and recorded.</w:t>
      </w:r>
      <w:r>
        <w:t>”.</w:t>
      </w:r>
    </w:p>
    <w:p w14:paraId="70B993C4" w14:textId="77777777" w:rsidR="00095AB4" w:rsidRPr="0085508E" w:rsidRDefault="00095AB4" w:rsidP="00095AB4">
      <w:pPr>
        <w:pStyle w:val="SingleTxtG"/>
        <w:tabs>
          <w:tab w:val="left" w:pos="2268"/>
        </w:tabs>
        <w:ind w:left="2268" w:hanging="1134"/>
      </w:pPr>
      <w:r w:rsidRPr="0085508E">
        <w:t>28.4.4.2.4</w:t>
      </w:r>
      <w:r w:rsidRPr="0085508E">
        <w:tab/>
        <w:t>Amend the third sentence to read as follows: “The air temperature in the oven and the sample temperature in the Dewar should be measured and recorded.”.</w:t>
      </w:r>
    </w:p>
    <w:p w14:paraId="1A66BE8A" w14:textId="77777777" w:rsidR="00095AB4" w:rsidRPr="00135CE9" w:rsidRDefault="00095AB4" w:rsidP="00095AB4">
      <w:pPr>
        <w:pStyle w:val="SingleTxtG"/>
        <w:tabs>
          <w:tab w:val="left" w:pos="2268"/>
        </w:tabs>
        <w:ind w:left="2268" w:hanging="1134"/>
      </w:pPr>
      <w:r w:rsidRPr="00135CE9">
        <w:t>28.4.4.2.5</w:t>
      </w:r>
      <w:r>
        <w:tab/>
        <w:t>Add the following sentence at the end of the paragraph: “</w:t>
      </w:r>
      <w:r w:rsidRPr="00135CE9">
        <w:t>The air temperature in the chamber and the sample temperature in the Dewar should be measured and recorded.”.</w:t>
      </w:r>
    </w:p>
    <w:p w14:paraId="72A8832E" w14:textId="77777777" w:rsidR="00095AB4" w:rsidRPr="005D2A23" w:rsidRDefault="00095AB4" w:rsidP="005D2A23">
      <w:pPr>
        <w:pStyle w:val="SingleTxtG"/>
        <w:tabs>
          <w:tab w:val="left" w:pos="2268"/>
        </w:tabs>
        <w:ind w:left="2268" w:hanging="1134"/>
      </w:pPr>
      <w:r w:rsidRPr="005D2A23">
        <w:t>28.4.4.2.6</w:t>
      </w:r>
      <w:r w:rsidRPr="005D2A23">
        <w:tab/>
        <w:t>Amend the first sentence to read as follows: “Dewar vessels, with their closure system, are used with heat loss characteristics which are representative of the maximum package size under investigation (see also table 28.4).”.</w:t>
      </w:r>
    </w:p>
    <w:p w14:paraId="45BD6DC0" w14:textId="77777777" w:rsidR="00095AB4" w:rsidRPr="005D2A23" w:rsidRDefault="00095AB4" w:rsidP="005D2A23">
      <w:pPr>
        <w:pStyle w:val="SingleTxtG"/>
        <w:tabs>
          <w:tab w:val="left" w:pos="2268"/>
        </w:tabs>
        <w:ind w:left="2268" w:hanging="1134"/>
      </w:pPr>
      <w:r w:rsidRPr="005D2A23">
        <w:lastRenderedPageBreak/>
        <w:tab/>
        <w:t>Amend the end of the second sentence to read “should be made of inert material”.</w:t>
      </w:r>
    </w:p>
    <w:p w14:paraId="0F284A47" w14:textId="77777777" w:rsidR="00095AB4" w:rsidRPr="005D2A23" w:rsidRDefault="00095AB4" w:rsidP="005D2A23">
      <w:pPr>
        <w:pStyle w:val="SingleTxtG"/>
        <w:tabs>
          <w:tab w:val="left" w:pos="2268"/>
        </w:tabs>
        <w:ind w:left="2268" w:hanging="1134"/>
      </w:pPr>
      <w:r>
        <w:tab/>
      </w:r>
      <w:r w:rsidRPr="005D2A23">
        <w:t xml:space="preserve">Amend the beginning of the fourth sentence to read: “An example of a closure system” and insert “and wetted solids” after “medium volatility”. </w:t>
      </w:r>
    </w:p>
    <w:p w14:paraId="17B62C02" w14:textId="77777777" w:rsidR="00095AB4" w:rsidRPr="005D2A23" w:rsidRDefault="00095AB4" w:rsidP="005D2A23">
      <w:pPr>
        <w:pStyle w:val="SingleTxtG"/>
        <w:tabs>
          <w:tab w:val="left" w:pos="2268"/>
        </w:tabs>
        <w:ind w:left="2268" w:hanging="1134"/>
      </w:pPr>
      <w:r w:rsidRPr="005D2A23">
        <w:tab/>
        <w:t>Amend the fifth sentence to read as follows: “Samples which are highly volatile at the test temperature should be tested in a pressure-tight vessel that is made of a material compatible with the sample and fitted with a pressure relief valve.”.</w:t>
      </w:r>
    </w:p>
    <w:p w14:paraId="42C314A1" w14:textId="77777777" w:rsidR="00095AB4" w:rsidRPr="005D2A23" w:rsidRDefault="00095AB4" w:rsidP="005D2A23">
      <w:pPr>
        <w:pStyle w:val="SingleTxtG"/>
        <w:tabs>
          <w:tab w:val="left" w:pos="2268"/>
        </w:tabs>
        <w:ind w:left="2268" w:hanging="1134"/>
      </w:pPr>
      <w:r w:rsidRPr="005D2A23">
        <w:t>28.4.4.2.7</w:t>
      </w:r>
      <w:r w:rsidRPr="005D2A23">
        <w:tab/>
        <w:t>Replace the second sentence with the following: “Small adjustments to the heat loss characteristics of the Dewar can be achieved by varying the closure system.”.</w:t>
      </w:r>
    </w:p>
    <w:p w14:paraId="50FB3E67" w14:textId="77777777" w:rsidR="00095AB4" w:rsidRPr="005D2A23" w:rsidRDefault="00095AB4" w:rsidP="005D2A23">
      <w:pPr>
        <w:pStyle w:val="SingleTxtG"/>
        <w:tabs>
          <w:tab w:val="left" w:pos="2268"/>
        </w:tabs>
        <w:ind w:left="2268"/>
      </w:pPr>
      <w:r w:rsidRPr="005D2A23">
        <w:t>In the last sentence replace “0.5 litres” by “0.3 litres”.</w:t>
      </w:r>
    </w:p>
    <w:p w14:paraId="5195CE0F" w14:textId="77777777" w:rsidR="00095AB4" w:rsidRPr="001E538A" w:rsidRDefault="00095AB4" w:rsidP="00095AB4">
      <w:pPr>
        <w:pStyle w:val="SingleTxtG"/>
        <w:ind w:left="2268" w:hanging="1134"/>
      </w:pPr>
      <w:r w:rsidRPr="001E538A">
        <w:t>28.4.4.2.8</w:t>
      </w:r>
      <w:r w:rsidRPr="001E538A">
        <w:tab/>
        <w:t xml:space="preserve">Amend the first sentence to read as follows: “Dewar vessels with a volume of 300 – 500 ml, filled at 80% with a liquid substance, with a heat loss of less than or equal to 40 </w:t>
      </w:r>
      <w:proofErr w:type="spellStart"/>
      <w:r w:rsidRPr="001E538A">
        <w:t>mW</w:t>
      </w:r>
      <w:proofErr w:type="spellEnd"/>
      <w:r w:rsidRPr="001E538A">
        <w:t>/</w:t>
      </w:r>
      <w:proofErr w:type="spellStart"/>
      <w:proofErr w:type="gramStart"/>
      <w:r w:rsidRPr="001E538A">
        <w:t>kg.K</w:t>
      </w:r>
      <w:proofErr w:type="spellEnd"/>
      <w:proofErr w:type="gramEnd"/>
      <w:r w:rsidRPr="001E538A">
        <w:t xml:space="preserve"> are normally suitable for representing a 225 </w:t>
      </w:r>
      <w:r w:rsidRPr="001E538A">
        <w:rPr>
          <w:i/>
          <w:iCs/>
        </w:rPr>
        <w:t xml:space="preserve">l </w:t>
      </w:r>
      <w:r w:rsidRPr="001E538A">
        <w:t>package with a liquid substance.”.</w:t>
      </w:r>
    </w:p>
    <w:p w14:paraId="7B0EEAB7" w14:textId="77777777" w:rsidR="00095AB4" w:rsidRPr="001E538A" w:rsidRDefault="005D2A23" w:rsidP="00095AB4">
      <w:pPr>
        <w:pStyle w:val="SingleTxtG"/>
        <w:ind w:left="2268" w:hanging="1134"/>
        <w:rPr>
          <w:strike/>
        </w:rPr>
      </w:pPr>
      <w:r w:rsidRPr="001E538A">
        <w:tab/>
      </w:r>
      <w:r w:rsidR="00095AB4" w:rsidRPr="001E538A">
        <w:t xml:space="preserve">Delete the last sentence “For example…and small tanks.” </w:t>
      </w:r>
    </w:p>
    <w:p w14:paraId="064F6373" w14:textId="77777777" w:rsidR="00095AB4" w:rsidRPr="005D2A23" w:rsidRDefault="00095AB4" w:rsidP="005D2A23">
      <w:pPr>
        <w:pStyle w:val="SingleTxtG"/>
        <w:tabs>
          <w:tab w:val="left" w:pos="2268"/>
        </w:tabs>
        <w:ind w:left="2268" w:hanging="1134"/>
      </w:pPr>
      <w:r w:rsidRPr="001E538A">
        <w:t>28.4.4.3.1</w:t>
      </w:r>
      <w:r w:rsidRPr="001E538A">
        <w:tab/>
        <w:t>In the first sentence, replace “under test” with “to be tested”. Amend the third sentence to read as follows: “In case of cylindrical Dewar vessel the temperature probe is inserted centrally 1/3 of the inner height of the Dewar from the bottom of the Dewar vessel.”.</w:t>
      </w:r>
    </w:p>
    <w:p w14:paraId="2EA6D4B9" w14:textId="77777777" w:rsidR="00095AB4" w:rsidRPr="005D2A23" w:rsidRDefault="00095AB4" w:rsidP="005D2A23">
      <w:pPr>
        <w:pStyle w:val="SingleTxtG"/>
        <w:tabs>
          <w:tab w:val="left" w:pos="2268"/>
        </w:tabs>
        <w:ind w:left="2268" w:hanging="1134"/>
      </w:pPr>
      <w:r w:rsidRPr="005D2A23">
        <w:t>28.4.4.3.2</w:t>
      </w:r>
      <w:r w:rsidRPr="005D2A23">
        <w:tab/>
        <w:t xml:space="preserve">In the last but one sentence </w:t>
      </w:r>
      <w:proofErr w:type="gramStart"/>
      <w:r w:rsidRPr="005D2A23">
        <w:t>replace</w:t>
      </w:r>
      <w:proofErr w:type="gramEnd"/>
      <w:r w:rsidR="001E538A">
        <w:t xml:space="preserve"> “</w:t>
      </w:r>
      <w:r w:rsidRPr="005D2A23">
        <w:t>if this occurs sooner” by “whichever occurs sooner”. Delete the last sentence (“Note the time…maximum temperature.).</w:t>
      </w:r>
    </w:p>
    <w:p w14:paraId="513B7B8C" w14:textId="77777777" w:rsidR="00095AB4" w:rsidRPr="005D2A23" w:rsidRDefault="00095AB4" w:rsidP="005D2A23">
      <w:pPr>
        <w:pStyle w:val="SingleTxtG"/>
        <w:tabs>
          <w:tab w:val="left" w:pos="2268"/>
        </w:tabs>
        <w:ind w:left="2268" w:hanging="1134"/>
      </w:pPr>
      <w:r w:rsidRPr="005D2A23">
        <w:t>28.4.4.3.4</w:t>
      </w:r>
      <w:r w:rsidRPr="005D2A23">
        <w:tab/>
        <w:t xml:space="preserve">Delete the first sentence (“Repeat…steps”.). Amend the new first sentence to read as follows: “If the substance is being tested to determine if temperature control is necessary, perform sufficient tests, in steps of 5 °C using fresh samples,  to determine the SADT or SAPT to the nearest 5 °C or to determine if the SADT or SAPT is equal to or less than the applicable temperature specified in Table 28.2. </w:t>
      </w:r>
    </w:p>
    <w:p w14:paraId="71FF887E" w14:textId="77777777" w:rsidR="00095AB4" w:rsidRPr="005D2A23" w:rsidRDefault="00095AB4" w:rsidP="005D2A23">
      <w:pPr>
        <w:pStyle w:val="SingleTxtG"/>
        <w:tabs>
          <w:tab w:val="left" w:pos="2268"/>
        </w:tabs>
        <w:ind w:left="2268" w:hanging="1134"/>
      </w:pPr>
      <w:r w:rsidRPr="005D2A23">
        <w:t>28.4.4.4.1</w:t>
      </w:r>
      <w:r w:rsidRPr="005D2A23">
        <w:tab/>
        <w:t>Amend the first sentence to read as follows: “The SADT or SAPT is reported as the lowest chamber temperature at which the sample temperature exceeds the chamber temperature by 6 °C or more within the seven days testing time frame (see 28.4.4.3.2).”. In the second sentence delete “test” before “chamber”.</w:t>
      </w:r>
    </w:p>
    <w:p w14:paraId="7324336B" w14:textId="77777777" w:rsidR="00095AB4" w:rsidRPr="005D2A23" w:rsidRDefault="00095AB4" w:rsidP="005D2A23">
      <w:pPr>
        <w:pStyle w:val="SingleTxtG"/>
        <w:tabs>
          <w:tab w:val="left" w:pos="2268"/>
        </w:tabs>
        <w:ind w:left="2268" w:hanging="1134"/>
      </w:pPr>
      <w:r w:rsidRPr="005D2A23">
        <w:t>28.4.4.5</w:t>
      </w:r>
      <w:r w:rsidRPr="005D2A23">
        <w:tab/>
        <w:t xml:space="preserve">Insert a reference to a new note “c” after the name of all the substances currently listed in the table except </w:t>
      </w:r>
      <w:r w:rsidR="001E538A">
        <w:t xml:space="preserve">for </w:t>
      </w:r>
      <w:r w:rsidRPr="005D2A23">
        <w:t>“2,2'-Azodi(</w:t>
      </w:r>
      <w:proofErr w:type="spellStart"/>
      <w:r w:rsidRPr="005D2A23">
        <w:t>isobutyronitrile</w:t>
      </w:r>
      <w:proofErr w:type="spellEnd"/>
      <w:r w:rsidRPr="005D2A23">
        <w:t>)”.</w:t>
      </w:r>
    </w:p>
    <w:p w14:paraId="4ED59492" w14:textId="77777777" w:rsidR="00095AB4" w:rsidRPr="005D2A23" w:rsidRDefault="00095AB4" w:rsidP="005D2A23">
      <w:pPr>
        <w:pStyle w:val="SingleTxtG"/>
        <w:tabs>
          <w:tab w:val="left" w:pos="2268"/>
        </w:tabs>
        <w:ind w:left="2268"/>
      </w:pPr>
      <w:r w:rsidRPr="005D2A23">
        <w:t>In the entry for 2,2'-Azodi(</w:t>
      </w:r>
      <w:proofErr w:type="spellStart"/>
      <w:r w:rsidRPr="005D2A23">
        <w:t>isobutyronitrile</w:t>
      </w:r>
      <w:proofErr w:type="spellEnd"/>
      <w:r w:rsidRPr="005D2A23">
        <w:t>), replace “0.18” by “0.28” and “62” by”27”.</w:t>
      </w:r>
    </w:p>
    <w:p w14:paraId="72B172E3" w14:textId="77777777" w:rsidR="00095AB4" w:rsidRPr="005D2A23" w:rsidRDefault="00095AB4" w:rsidP="005D2A23">
      <w:pPr>
        <w:pStyle w:val="SingleTxtG"/>
        <w:tabs>
          <w:tab w:val="left" w:pos="2268"/>
        </w:tabs>
        <w:ind w:left="2268"/>
      </w:pPr>
      <w:r w:rsidRPr="005D2A23">
        <w:t>Insert the following new entries at the end of the current list:</w:t>
      </w:r>
    </w:p>
    <w:tbl>
      <w:tblPr>
        <w:tblW w:w="5000" w:type="pct"/>
        <w:tblCellMar>
          <w:left w:w="120" w:type="dxa"/>
          <w:right w:w="120" w:type="dxa"/>
        </w:tblCellMar>
        <w:tblLook w:val="0000" w:firstRow="0" w:lastRow="0" w:firstColumn="0" w:lastColumn="0" w:noHBand="0" w:noVBand="0"/>
      </w:tblPr>
      <w:tblGrid>
        <w:gridCol w:w="5161"/>
        <w:gridCol w:w="1382"/>
        <w:gridCol w:w="1621"/>
        <w:gridCol w:w="1475"/>
      </w:tblGrid>
      <w:tr w:rsidR="005D2A23" w:rsidRPr="00904ADC" w14:paraId="097876AF" w14:textId="77777777" w:rsidTr="007C449B">
        <w:trPr>
          <w:cantSplit/>
        </w:trPr>
        <w:tc>
          <w:tcPr>
            <w:tcW w:w="2677" w:type="pct"/>
            <w:tcBorders>
              <w:top w:val="single" w:sz="8" w:space="0" w:color="auto"/>
              <w:bottom w:val="single" w:sz="8" w:space="0" w:color="auto"/>
            </w:tcBorders>
          </w:tcPr>
          <w:p w14:paraId="1C91641B" w14:textId="77777777" w:rsidR="005D2A23" w:rsidRPr="00904ADC" w:rsidRDefault="005D2A23" w:rsidP="007C449B">
            <w:pPr>
              <w:pStyle w:val="MTabTxt"/>
              <w:rPr>
                <w:b/>
                <w:bCs/>
                <w:sz w:val="20"/>
                <w:szCs w:val="20"/>
              </w:rPr>
            </w:pPr>
            <w:r w:rsidRPr="00904ADC">
              <w:rPr>
                <w:b/>
                <w:bCs/>
                <w:sz w:val="20"/>
                <w:szCs w:val="20"/>
              </w:rPr>
              <w:t>Substance</w:t>
            </w:r>
          </w:p>
        </w:tc>
        <w:tc>
          <w:tcPr>
            <w:tcW w:w="717" w:type="pct"/>
            <w:tcBorders>
              <w:top w:val="single" w:sz="8" w:space="0" w:color="auto"/>
              <w:bottom w:val="single" w:sz="8" w:space="0" w:color="auto"/>
            </w:tcBorders>
          </w:tcPr>
          <w:p w14:paraId="10BA1A2E" w14:textId="77777777" w:rsidR="005D2A23" w:rsidRPr="00904ADC" w:rsidRDefault="005D2A23" w:rsidP="007C449B">
            <w:pPr>
              <w:pStyle w:val="MTabTxt"/>
              <w:jc w:val="right"/>
              <w:rPr>
                <w:b/>
                <w:bCs/>
                <w:sz w:val="20"/>
                <w:szCs w:val="20"/>
              </w:rPr>
            </w:pPr>
            <w:r w:rsidRPr="00904ADC">
              <w:rPr>
                <w:b/>
                <w:bCs/>
                <w:sz w:val="20"/>
                <w:szCs w:val="20"/>
              </w:rPr>
              <w:t>Sample mass (kg)</w:t>
            </w:r>
          </w:p>
        </w:tc>
        <w:tc>
          <w:tcPr>
            <w:tcW w:w="841" w:type="pct"/>
            <w:tcBorders>
              <w:top w:val="single" w:sz="8" w:space="0" w:color="auto"/>
              <w:bottom w:val="single" w:sz="8" w:space="0" w:color="auto"/>
            </w:tcBorders>
          </w:tcPr>
          <w:p w14:paraId="4E8B1D4B" w14:textId="77777777" w:rsidR="005D2A23" w:rsidRPr="00904ADC" w:rsidRDefault="005D2A23" w:rsidP="007C449B">
            <w:pPr>
              <w:pStyle w:val="MTabTxt"/>
              <w:jc w:val="right"/>
              <w:rPr>
                <w:b/>
                <w:bCs/>
                <w:sz w:val="20"/>
                <w:szCs w:val="20"/>
              </w:rPr>
            </w:pPr>
            <w:r w:rsidRPr="00904ADC">
              <w:rPr>
                <w:b/>
                <w:bCs/>
                <w:sz w:val="20"/>
                <w:szCs w:val="20"/>
              </w:rPr>
              <w:t>Dewar heat loss (</w:t>
            </w:r>
            <w:proofErr w:type="spellStart"/>
            <w:r w:rsidRPr="00904ADC">
              <w:rPr>
                <w:b/>
                <w:bCs/>
                <w:sz w:val="20"/>
                <w:szCs w:val="20"/>
              </w:rPr>
              <w:t>mW</w:t>
            </w:r>
            <w:proofErr w:type="spellEnd"/>
            <w:r w:rsidRPr="00904ADC">
              <w:rPr>
                <w:b/>
                <w:bCs/>
                <w:sz w:val="20"/>
                <w:szCs w:val="20"/>
              </w:rPr>
              <w:t>/</w:t>
            </w:r>
            <w:proofErr w:type="spellStart"/>
            <w:proofErr w:type="gramStart"/>
            <w:r w:rsidRPr="00904ADC">
              <w:rPr>
                <w:b/>
                <w:bCs/>
                <w:sz w:val="20"/>
                <w:szCs w:val="20"/>
              </w:rPr>
              <w:t>kg.K</w:t>
            </w:r>
            <w:proofErr w:type="spellEnd"/>
            <w:proofErr w:type="gramEnd"/>
            <w:r w:rsidRPr="00904ADC">
              <w:rPr>
                <w:b/>
                <w:bCs/>
                <w:sz w:val="20"/>
                <w:szCs w:val="20"/>
              </w:rPr>
              <w:t>)</w:t>
            </w:r>
          </w:p>
        </w:tc>
        <w:tc>
          <w:tcPr>
            <w:tcW w:w="765" w:type="pct"/>
            <w:tcBorders>
              <w:top w:val="single" w:sz="8" w:space="0" w:color="auto"/>
              <w:bottom w:val="single" w:sz="8" w:space="0" w:color="auto"/>
            </w:tcBorders>
          </w:tcPr>
          <w:p w14:paraId="49EFA422" w14:textId="77777777" w:rsidR="005D2A23" w:rsidRPr="00904ADC" w:rsidRDefault="005D2A23" w:rsidP="00904ADC">
            <w:pPr>
              <w:pStyle w:val="MTabTxt"/>
              <w:jc w:val="right"/>
              <w:rPr>
                <w:b/>
                <w:bCs/>
                <w:sz w:val="20"/>
                <w:szCs w:val="20"/>
              </w:rPr>
            </w:pPr>
            <w:r w:rsidRPr="00904ADC">
              <w:rPr>
                <w:b/>
                <w:bCs/>
                <w:sz w:val="20"/>
                <w:szCs w:val="20"/>
              </w:rPr>
              <w:t>SADT/SAPT</w:t>
            </w:r>
            <w:r w:rsidR="00904ADC" w:rsidRPr="00904ADC">
              <w:rPr>
                <w:b/>
                <w:bCs/>
                <w:sz w:val="20"/>
                <w:szCs w:val="20"/>
              </w:rPr>
              <w:br/>
            </w:r>
            <w:r w:rsidRPr="00904ADC">
              <w:rPr>
                <w:b/>
                <w:bCs/>
                <w:sz w:val="20"/>
                <w:szCs w:val="20"/>
              </w:rPr>
              <w:t>(°C)</w:t>
            </w:r>
          </w:p>
        </w:tc>
      </w:tr>
      <w:tr w:rsidR="005D2A23" w:rsidRPr="00904ADC" w14:paraId="1CA6E685" w14:textId="77777777" w:rsidTr="007C449B">
        <w:trPr>
          <w:cantSplit/>
        </w:trPr>
        <w:tc>
          <w:tcPr>
            <w:tcW w:w="2677" w:type="pct"/>
          </w:tcPr>
          <w:p w14:paraId="6D6DD23E" w14:textId="77777777" w:rsidR="005D2A23" w:rsidRPr="00904ADC" w:rsidRDefault="005D2A23" w:rsidP="007C449B">
            <w:pPr>
              <w:pStyle w:val="MTabTxt"/>
              <w:rPr>
                <w:sz w:val="20"/>
                <w:szCs w:val="20"/>
              </w:rPr>
            </w:pPr>
            <w:proofErr w:type="spellStart"/>
            <w:r w:rsidRPr="00904ADC">
              <w:rPr>
                <w:sz w:val="20"/>
                <w:szCs w:val="20"/>
              </w:rPr>
              <w:t>Dilauroyl</w:t>
            </w:r>
            <w:proofErr w:type="spellEnd"/>
            <w:r w:rsidRPr="00904ADC">
              <w:rPr>
                <w:sz w:val="20"/>
                <w:szCs w:val="20"/>
              </w:rPr>
              <w:t xml:space="preserve"> peroxide, technically pure</w:t>
            </w:r>
          </w:p>
        </w:tc>
        <w:tc>
          <w:tcPr>
            <w:tcW w:w="717" w:type="pct"/>
          </w:tcPr>
          <w:p w14:paraId="292776FB" w14:textId="77777777" w:rsidR="005D2A23" w:rsidRPr="00904ADC" w:rsidRDefault="005D2A23" w:rsidP="007C449B">
            <w:pPr>
              <w:pStyle w:val="MTabTxt"/>
              <w:jc w:val="right"/>
              <w:rPr>
                <w:sz w:val="20"/>
                <w:szCs w:val="20"/>
              </w:rPr>
            </w:pPr>
            <w:r w:rsidRPr="00904ADC">
              <w:rPr>
                <w:sz w:val="20"/>
                <w:szCs w:val="20"/>
              </w:rPr>
              <w:t>0.16</w:t>
            </w:r>
          </w:p>
        </w:tc>
        <w:tc>
          <w:tcPr>
            <w:tcW w:w="841" w:type="pct"/>
          </w:tcPr>
          <w:p w14:paraId="6A0C48BB" w14:textId="77777777" w:rsidR="005D2A23" w:rsidRPr="00904ADC" w:rsidRDefault="005D2A23" w:rsidP="007C449B">
            <w:pPr>
              <w:pStyle w:val="MTabTxt"/>
              <w:jc w:val="right"/>
              <w:rPr>
                <w:sz w:val="20"/>
                <w:szCs w:val="20"/>
              </w:rPr>
            </w:pPr>
            <w:r w:rsidRPr="00904ADC">
              <w:rPr>
                <w:sz w:val="20"/>
                <w:szCs w:val="20"/>
              </w:rPr>
              <w:t>26</w:t>
            </w:r>
          </w:p>
        </w:tc>
        <w:tc>
          <w:tcPr>
            <w:tcW w:w="765" w:type="pct"/>
          </w:tcPr>
          <w:p w14:paraId="744F2E0F" w14:textId="77777777" w:rsidR="005D2A23" w:rsidRPr="00904ADC" w:rsidRDefault="005D2A23" w:rsidP="007C449B">
            <w:pPr>
              <w:pStyle w:val="MTabTxt"/>
              <w:jc w:val="right"/>
              <w:rPr>
                <w:sz w:val="20"/>
                <w:szCs w:val="20"/>
              </w:rPr>
            </w:pPr>
            <w:r w:rsidRPr="00904ADC">
              <w:rPr>
                <w:sz w:val="20"/>
                <w:szCs w:val="20"/>
              </w:rPr>
              <w:t>50</w:t>
            </w:r>
          </w:p>
        </w:tc>
      </w:tr>
      <w:tr w:rsidR="005D2A23" w:rsidRPr="00904ADC" w14:paraId="44C61107" w14:textId="77777777" w:rsidTr="007C449B">
        <w:trPr>
          <w:cantSplit/>
        </w:trPr>
        <w:tc>
          <w:tcPr>
            <w:tcW w:w="2677" w:type="pct"/>
          </w:tcPr>
          <w:p w14:paraId="49E6338A" w14:textId="77777777" w:rsidR="005D2A23" w:rsidRPr="00904ADC" w:rsidRDefault="005D2A23" w:rsidP="007C449B">
            <w:pPr>
              <w:pStyle w:val="MTabTxt"/>
              <w:rPr>
                <w:sz w:val="20"/>
                <w:szCs w:val="20"/>
              </w:rPr>
            </w:pPr>
            <w:proofErr w:type="spellStart"/>
            <w:r w:rsidRPr="00904ADC">
              <w:rPr>
                <w:sz w:val="20"/>
                <w:szCs w:val="20"/>
              </w:rPr>
              <w:t>Didecanoyl</w:t>
            </w:r>
            <w:proofErr w:type="spellEnd"/>
            <w:r w:rsidRPr="00904ADC">
              <w:rPr>
                <w:sz w:val="20"/>
                <w:szCs w:val="20"/>
              </w:rPr>
              <w:t xml:space="preserve"> peroxide technically pure</w:t>
            </w:r>
          </w:p>
        </w:tc>
        <w:tc>
          <w:tcPr>
            <w:tcW w:w="717" w:type="pct"/>
          </w:tcPr>
          <w:p w14:paraId="1F5409F4" w14:textId="77777777" w:rsidR="005D2A23" w:rsidRPr="00904ADC" w:rsidRDefault="005D2A23" w:rsidP="007C449B">
            <w:pPr>
              <w:pStyle w:val="MTabTxt"/>
              <w:jc w:val="right"/>
              <w:rPr>
                <w:sz w:val="20"/>
                <w:szCs w:val="20"/>
              </w:rPr>
            </w:pPr>
            <w:r w:rsidRPr="00904ADC">
              <w:rPr>
                <w:sz w:val="20"/>
                <w:szCs w:val="20"/>
              </w:rPr>
              <w:t>0.20</w:t>
            </w:r>
          </w:p>
        </w:tc>
        <w:tc>
          <w:tcPr>
            <w:tcW w:w="841" w:type="pct"/>
          </w:tcPr>
          <w:p w14:paraId="760EA0CA" w14:textId="77777777" w:rsidR="005D2A23" w:rsidRPr="00904ADC" w:rsidRDefault="005D2A23" w:rsidP="007C449B">
            <w:pPr>
              <w:pStyle w:val="MTabTxt"/>
              <w:jc w:val="right"/>
              <w:rPr>
                <w:sz w:val="20"/>
                <w:szCs w:val="20"/>
              </w:rPr>
            </w:pPr>
            <w:r w:rsidRPr="00904ADC">
              <w:rPr>
                <w:sz w:val="20"/>
                <w:szCs w:val="20"/>
              </w:rPr>
              <w:t>28</w:t>
            </w:r>
          </w:p>
        </w:tc>
        <w:tc>
          <w:tcPr>
            <w:tcW w:w="765" w:type="pct"/>
          </w:tcPr>
          <w:p w14:paraId="2A3B6CB4" w14:textId="77777777" w:rsidR="005D2A23" w:rsidRPr="00904ADC" w:rsidRDefault="005D2A23" w:rsidP="007C449B">
            <w:pPr>
              <w:pStyle w:val="MTabTxt"/>
              <w:jc w:val="right"/>
              <w:rPr>
                <w:sz w:val="20"/>
                <w:szCs w:val="20"/>
              </w:rPr>
            </w:pPr>
            <w:r w:rsidRPr="00904ADC">
              <w:rPr>
                <w:sz w:val="20"/>
                <w:szCs w:val="20"/>
              </w:rPr>
              <w:t>40</w:t>
            </w:r>
          </w:p>
        </w:tc>
      </w:tr>
      <w:tr w:rsidR="005D2A23" w:rsidRPr="00904ADC" w14:paraId="08DE1246" w14:textId="77777777" w:rsidTr="007C449B">
        <w:trPr>
          <w:cantSplit/>
        </w:trPr>
        <w:tc>
          <w:tcPr>
            <w:tcW w:w="2677" w:type="pct"/>
            <w:tcBorders>
              <w:bottom w:val="single" w:sz="8" w:space="0" w:color="auto"/>
            </w:tcBorders>
          </w:tcPr>
          <w:p w14:paraId="7D881900" w14:textId="77777777" w:rsidR="005D2A23" w:rsidRPr="00904ADC" w:rsidRDefault="005D2A23" w:rsidP="007C449B">
            <w:pPr>
              <w:pStyle w:val="MTabTxt"/>
              <w:rPr>
                <w:sz w:val="20"/>
                <w:szCs w:val="20"/>
              </w:rPr>
            </w:pPr>
            <w:r w:rsidRPr="00904ADC">
              <w:rPr>
                <w:sz w:val="20"/>
                <w:szCs w:val="20"/>
              </w:rPr>
              <w:t>N-</w:t>
            </w:r>
            <w:proofErr w:type="spellStart"/>
            <w:r w:rsidRPr="00904ADC">
              <w:rPr>
                <w:sz w:val="20"/>
                <w:szCs w:val="20"/>
              </w:rPr>
              <w:t>Vinylformamide</w:t>
            </w:r>
            <w:proofErr w:type="spellEnd"/>
          </w:p>
        </w:tc>
        <w:tc>
          <w:tcPr>
            <w:tcW w:w="717" w:type="pct"/>
            <w:tcBorders>
              <w:bottom w:val="single" w:sz="8" w:space="0" w:color="auto"/>
            </w:tcBorders>
          </w:tcPr>
          <w:p w14:paraId="6933FE92" w14:textId="77777777" w:rsidR="005D2A23" w:rsidRPr="00904ADC" w:rsidRDefault="005D2A23" w:rsidP="007C449B">
            <w:pPr>
              <w:pStyle w:val="MTabTxt"/>
              <w:jc w:val="right"/>
              <w:rPr>
                <w:sz w:val="20"/>
                <w:szCs w:val="20"/>
              </w:rPr>
            </w:pPr>
            <w:r w:rsidRPr="00904ADC">
              <w:rPr>
                <w:sz w:val="20"/>
                <w:szCs w:val="20"/>
              </w:rPr>
              <w:t>0.40</w:t>
            </w:r>
          </w:p>
        </w:tc>
        <w:tc>
          <w:tcPr>
            <w:tcW w:w="841" w:type="pct"/>
            <w:tcBorders>
              <w:bottom w:val="single" w:sz="8" w:space="0" w:color="auto"/>
            </w:tcBorders>
          </w:tcPr>
          <w:p w14:paraId="0ABA24B3" w14:textId="77777777" w:rsidR="005D2A23" w:rsidRPr="00904ADC" w:rsidRDefault="005D2A23" w:rsidP="007C449B">
            <w:pPr>
              <w:pStyle w:val="MTabTxt"/>
              <w:jc w:val="right"/>
              <w:rPr>
                <w:sz w:val="20"/>
                <w:szCs w:val="20"/>
              </w:rPr>
            </w:pPr>
            <w:r w:rsidRPr="00904ADC">
              <w:rPr>
                <w:sz w:val="20"/>
                <w:szCs w:val="20"/>
              </w:rPr>
              <w:t>33</w:t>
            </w:r>
          </w:p>
        </w:tc>
        <w:tc>
          <w:tcPr>
            <w:tcW w:w="765" w:type="pct"/>
            <w:tcBorders>
              <w:bottom w:val="single" w:sz="8" w:space="0" w:color="auto"/>
            </w:tcBorders>
          </w:tcPr>
          <w:p w14:paraId="221E8B98" w14:textId="77777777" w:rsidR="005D2A23" w:rsidRPr="00904ADC" w:rsidRDefault="005D2A23" w:rsidP="007C449B">
            <w:pPr>
              <w:pStyle w:val="MTabTxt"/>
              <w:jc w:val="right"/>
              <w:rPr>
                <w:sz w:val="20"/>
                <w:szCs w:val="20"/>
              </w:rPr>
            </w:pPr>
            <w:r w:rsidRPr="00904ADC">
              <w:rPr>
                <w:sz w:val="20"/>
                <w:szCs w:val="20"/>
              </w:rPr>
              <w:t>55</w:t>
            </w:r>
          </w:p>
        </w:tc>
      </w:tr>
    </w:tbl>
    <w:p w14:paraId="4A6FC8EB" w14:textId="77777777" w:rsidR="00095AB4" w:rsidRPr="00E82BA4" w:rsidRDefault="00095AB4" w:rsidP="00095AB4">
      <w:pPr>
        <w:pStyle w:val="SingleTxtG"/>
      </w:pPr>
      <w:r w:rsidRPr="00E82BA4">
        <w:t xml:space="preserve">Insert the following new note “c” under the table: </w:t>
      </w:r>
    </w:p>
    <w:p w14:paraId="3D7BAFC5" w14:textId="77777777" w:rsidR="00095AB4" w:rsidRDefault="00095AB4" w:rsidP="00095AB4">
      <w:pPr>
        <w:pStyle w:val="SingleTxtG"/>
        <w:rPr>
          <w:i/>
          <w:iCs/>
        </w:rPr>
      </w:pPr>
      <w:r w:rsidRPr="00E82BA4">
        <w:rPr>
          <w:b/>
          <w:bCs/>
          <w:i/>
          <w:iCs/>
          <w:color w:val="FF0000"/>
          <w:vertAlign w:val="superscript"/>
        </w:rPr>
        <w:tab/>
      </w:r>
      <w:r w:rsidRPr="00E82BA4">
        <w:rPr>
          <w:b/>
          <w:bCs/>
          <w:i/>
          <w:iCs/>
          <w:vertAlign w:val="superscript"/>
        </w:rPr>
        <w:t>“c</w:t>
      </w:r>
      <w:r w:rsidRPr="00E82BA4">
        <w:rPr>
          <w:i/>
          <w:iCs/>
        </w:rPr>
        <w:tab/>
        <w:t xml:space="preserve">These historical examples were determined using heat losses that are higher than those currently recommended for classification purposes (see </w:t>
      </w:r>
      <w:r>
        <w:rPr>
          <w:i/>
          <w:iCs/>
        </w:rPr>
        <w:t>T</w:t>
      </w:r>
      <w:r w:rsidRPr="00E82BA4">
        <w:rPr>
          <w:i/>
          <w:iCs/>
        </w:rPr>
        <w:t>able 28.4).”.</w:t>
      </w:r>
    </w:p>
    <w:p w14:paraId="4D12EE95" w14:textId="77777777" w:rsidR="00F47A58" w:rsidRDefault="00B23B84" w:rsidP="00F47A58">
      <w:pPr>
        <w:pStyle w:val="SingleTxtG"/>
        <w:spacing w:after="240"/>
      </w:pPr>
      <w:r>
        <w:t xml:space="preserve">Current </w:t>
      </w:r>
      <w:r w:rsidR="00095AB4" w:rsidRPr="005D2A23">
        <w:t>Figure 28.4.4.2 remains unchanged</w:t>
      </w:r>
      <w:r w:rsidR="00A2289E">
        <w:t>.</w:t>
      </w:r>
    </w:p>
    <w:p w14:paraId="6A57B80C" w14:textId="77777777" w:rsidR="00AF5DE1" w:rsidRPr="00892C35" w:rsidRDefault="00095AB4" w:rsidP="00F47A58">
      <w:pPr>
        <w:pStyle w:val="SingleTxtG"/>
        <w:spacing w:after="240"/>
        <w:jc w:val="center"/>
      </w:pPr>
      <w:r w:rsidRPr="00741695">
        <w:t>________________</w:t>
      </w:r>
      <w:bookmarkEnd w:id="2"/>
    </w:p>
    <w:sectPr w:rsidR="00AF5DE1" w:rsidRPr="00892C35" w:rsidSect="00892C35">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792FE" w14:textId="77777777" w:rsidR="00095AB4" w:rsidRPr="00C47B2E" w:rsidRDefault="00095AB4" w:rsidP="00C47B2E">
      <w:pPr>
        <w:pStyle w:val="Footer"/>
      </w:pPr>
    </w:p>
  </w:endnote>
  <w:endnote w:type="continuationSeparator" w:id="0">
    <w:p w14:paraId="0125B756" w14:textId="77777777" w:rsidR="00095AB4" w:rsidRPr="00C47B2E" w:rsidRDefault="00095AB4" w:rsidP="00C47B2E">
      <w:pPr>
        <w:pStyle w:val="Footer"/>
      </w:pPr>
    </w:p>
  </w:endnote>
  <w:endnote w:type="continuationNotice" w:id="1">
    <w:p w14:paraId="084A07B1" w14:textId="77777777" w:rsidR="00095AB4" w:rsidRPr="00C47B2E" w:rsidRDefault="00095AB4"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36E03" w14:textId="77777777" w:rsidR="00095AB4" w:rsidRPr="00892C35" w:rsidRDefault="00095AB4" w:rsidP="00892C35">
    <w:pPr>
      <w:pStyle w:val="Footer"/>
      <w:tabs>
        <w:tab w:val="right" w:pos="9598"/>
        <w:tab w:val="right" w:pos="9638"/>
      </w:tabs>
      <w:rPr>
        <w:sz w:val="18"/>
      </w:rPr>
    </w:pPr>
    <w:r w:rsidRPr="00892C35">
      <w:rPr>
        <w:b/>
        <w:sz w:val="18"/>
      </w:rPr>
      <w:fldChar w:fldCharType="begin"/>
    </w:r>
    <w:r w:rsidRPr="00892C35">
      <w:rPr>
        <w:b/>
        <w:sz w:val="18"/>
      </w:rPr>
      <w:instrText xml:space="preserve"> PAGE  \* MERGEFORMAT </w:instrText>
    </w:r>
    <w:r w:rsidRPr="00892C35">
      <w:rPr>
        <w:b/>
        <w:sz w:val="18"/>
      </w:rPr>
      <w:fldChar w:fldCharType="separate"/>
    </w:r>
    <w:r w:rsidRPr="00892C35">
      <w:rPr>
        <w:b/>
        <w:noProof/>
        <w:sz w:val="18"/>
      </w:rPr>
      <w:t>2</w:t>
    </w:r>
    <w:r w:rsidRPr="00892C3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CCB08" w14:textId="77777777" w:rsidR="00095AB4" w:rsidRPr="00E00FE4" w:rsidRDefault="00095AB4" w:rsidP="00892C35">
    <w:pPr>
      <w:pStyle w:val="Footer"/>
      <w:tabs>
        <w:tab w:val="left" w:pos="5775"/>
        <w:tab w:val="right" w:pos="9598"/>
        <w:tab w:val="right" w:pos="9638"/>
      </w:tabs>
      <w:rPr>
        <w:b/>
        <w:bCs/>
        <w:sz w:val="18"/>
      </w:rPr>
    </w:pPr>
    <w:r>
      <w:rPr>
        <w:b/>
        <w:sz w:val="18"/>
      </w:rPr>
      <w:tab/>
    </w:r>
    <w:r w:rsidR="005A1F49">
      <w:rPr>
        <w:b/>
        <w:sz w:val="18"/>
      </w:rPr>
      <w:tab/>
    </w:r>
    <w:r w:rsidRPr="00E00FE4">
      <w:rPr>
        <w:b/>
        <w:bCs/>
        <w:sz w:val="18"/>
      </w:rPr>
      <w:fldChar w:fldCharType="begin"/>
    </w:r>
    <w:r w:rsidRPr="00E00FE4">
      <w:rPr>
        <w:b/>
        <w:bCs/>
        <w:sz w:val="18"/>
      </w:rPr>
      <w:instrText xml:space="preserve"> PAGE  \* MERGEFORMAT </w:instrText>
    </w:r>
    <w:r w:rsidRPr="00E00FE4">
      <w:rPr>
        <w:b/>
        <w:bCs/>
        <w:sz w:val="18"/>
      </w:rPr>
      <w:fldChar w:fldCharType="separate"/>
    </w:r>
    <w:r w:rsidRPr="00E00FE4">
      <w:rPr>
        <w:b/>
        <w:bCs/>
        <w:noProof/>
        <w:sz w:val="18"/>
      </w:rPr>
      <w:t>3</w:t>
    </w:r>
    <w:r w:rsidRPr="00E00FE4">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3CE9C" w14:textId="77777777" w:rsidR="00095AB4" w:rsidRPr="00892C35" w:rsidRDefault="00095AB4"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69C088CA" wp14:editId="1A4CA472">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E1D82" w14:textId="77777777" w:rsidR="00095AB4" w:rsidRPr="00C47B2E" w:rsidRDefault="00095AB4" w:rsidP="00C47B2E">
      <w:pPr>
        <w:tabs>
          <w:tab w:val="right" w:pos="2155"/>
        </w:tabs>
        <w:spacing w:after="80" w:line="240" w:lineRule="auto"/>
        <w:ind w:left="680"/>
      </w:pPr>
      <w:r>
        <w:rPr>
          <w:u w:val="single"/>
        </w:rPr>
        <w:tab/>
      </w:r>
    </w:p>
  </w:footnote>
  <w:footnote w:type="continuationSeparator" w:id="0">
    <w:p w14:paraId="3D3970C4" w14:textId="77777777" w:rsidR="00095AB4" w:rsidRPr="00C47B2E" w:rsidRDefault="00095AB4" w:rsidP="005E716E">
      <w:pPr>
        <w:tabs>
          <w:tab w:val="right" w:pos="2155"/>
        </w:tabs>
        <w:spacing w:after="80" w:line="240" w:lineRule="auto"/>
        <w:ind w:left="680"/>
      </w:pPr>
      <w:r>
        <w:rPr>
          <w:u w:val="single"/>
        </w:rPr>
        <w:tab/>
      </w:r>
    </w:p>
  </w:footnote>
  <w:footnote w:type="continuationNotice" w:id="1">
    <w:p w14:paraId="451A79E5" w14:textId="77777777" w:rsidR="00095AB4" w:rsidRPr="00C47B2E" w:rsidRDefault="00095AB4" w:rsidP="00C47B2E">
      <w:pPr>
        <w:pStyle w:val="Footer"/>
      </w:pPr>
    </w:p>
  </w:footnote>
  <w:footnote w:id="2">
    <w:p w14:paraId="094D74F2" w14:textId="77777777" w:rsidR="008E3E3E" w:rsidRPr="008E3E3E" w:rsidRDefault="008E3E3E">
      <w:pPr>
        <w:pStyle w:val="FootnoteText"/>
        <w:rPr>
          <w:lang w:val="fr-CH"/>
        </w:rPr>
      </w:pPr>
      <w:r>
        <w:rPr>
          <w:rStyle w:val="FootnoteReference"/>
        </w:rPr>
        <w:tab/>
      </w:r>
      <w:r w:rsidRPr="008E3E3E">
        <w:rPr>
          <w:rStyle w:val="FootnoteReference"/>
          <w:sz w:val="20"/>
          <w:vertAlign w:val="baseline"/>
        </w:rPr>
        <w:t>*</w:t>
      </w:r>
      <w:r>
        <w:rPr>
          <w:rStyle w:val="FootnoteReference"/>
          <w:sz w:val="20"/>
          <w:vertAlign w:val="baseline"/>
        </w:rPr>
        <w:tab/>
      </w:r>
      <w:r w:rsidRPr="00493B59">
        <w:rPr>
          <w:lang w:val="en-US"/>
        </w:rPr>
        <w:t xml:space="preserve">2020 (A/74/6 (Sect.20) and Supplementary, </w:t>
      </w:r>
      <w:proofErr w:type="spellStart"/>
      <w:r w:rsidRPr="00493B59">
        <w:rPr>
          <w:lang w:val="en-US"/>
        </w:rPr>
        <w:t>Subprogramme</w:t>
      </w:r>
      <w:proofErr w:type="spellEnd"/>
      <w:r w:rsidRPr="00493B59">
        <w:rPr>
          <w:lang w:val="en-US"/>
        </w:rPr>
        <w:t xml:space="preserve"> 2</w:t>
      </w:r>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15FC1" w14:textId="72FE039F" w:rsidR="00095AB4" w:rsidRPr="00892C35" w:rsidRDefault="009376D2" w:rsidP="00904ADC">
    <w:pPr>
      <w:pStyle w:val="Header"/>
    </w:pPr>
    <w:r>
      <w:fldChar w:fldCharType="begin"/>
    </w:r>
    <w:r>
      <w:instrText xml:space="preserve"> TITLE  \* MERGEFORMAT </w:instrText>
    </w:r>
    <w:r>
      <w:fldChar w:fldCharType="separate"/>
    </w:r>
    <w:r>
      <w:t>ST/SG/AC.10/C.3/2020/3</w:t>
    </w:r>
    <w:r>
      <w:fldChar w:fldCharType="end"/>
    </w:r>
    <w:r w:rsidR="00095AB4">
      <w:br/>
    </w:r>
    <w:r w:rsidR="007423AA">
      <w:t>ST/SG/AC.10/C.4/2020/4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8705C" w14:textId="7DAB7620" w:rsidR="00095AB4" w:rsidRPr="00E65306" w:rsidRDefault="009376D2" w:rsidP="00892C35">
    <w:pPr>
      <w:pStyle w:val="Header"/>
      <w:jc w:val="right"/>
      <w:rPr>
        <w:iCs/>
      </w:rPr>
    </w:pPr>
    <w:r>
      <w:fldChar w:fldCharType="begin"/>
    </w:r>
    <w:r>
      <w:instrText xml:space="preserve"> TITLE  \* MERGEFORMAT </w:instrText>
    </w:r>
    <w:r>
      <w:fldChar w:fldCharType="separate"/>
    </w:r>
    <w:r>
      <w:t>ST/SG/AC.10/C.3/2020/3</w:t>
    </w:r>
    <w:r>
      <w:fldChar w:fldCharType="end"/>
    </w:r>
    <w:r w:rsidR="00095AB4">
      <w:br/>
    </w:r>
    <w:r w:rsidR="007423AA">
      <w:rPr>
        <w:iCs/>
      </w:rPr>
      <w:t>ST/SG/AC.10/C.4/2020/4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65751" w14:textId="77777777" w:rsidR="00E00FE4" w:rsidRDefault="00E00FE4" w:rsidP="00904ADC">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1"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6"/>
  </w:num>
  <w:num w:numId="3">
    <w:abstractNumId w:val="2"/>
  </w:num>
  <w:num w:numId="4">
    <w:abstractNumId w:val="8"/>
  </w:num>
  <w:num w:numId="5">
    <w:abstractNumId w:val="9"/>
  </w:num>
  <w:num w:numId="6">
    <w:abstractNumId w:val="13"/>
  </w:num>
  <w:num w:numId="7">
    <w:abstractNumId w:val="5"/>
  </w:num>
  <w:num w:numId="8">
    <w:abstractNumId w:val="3"/>
  </w:num>
  <w:num w:numId="9">
    <w:abstractNumId w:val="11"/>
  </w:num>
  <w:num w:numId="10">
    <w:abstractNumId w:val="3"/>
  </w:num>
  <w:num w:numId="11">
    <w:abstractNumId w:val="11"/>
  </w:num>
  <w:num w:numId="12">
    <w:abstractNumId w:val="4"/>
  </w:num>
  <w:num w:numId="13">
    <w:abstractNumId w:val="4"/>
  </w:num>
  <w:num w:numId="14">
    <w:abstractNumId w:val="10"/>
  </w:num>
  <w:num w:numId="15">
    <w:abstractNumId w:val="12"/>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567"/>
  <w:hyphenationZone w:val="425"/>
  <w:evenAndOddHeaders/>
  <w:characterSpacingControl w:val="doNotCompress"/>
  <w:hdrShapeDefaults>
    <o:shapedefaults v:ext="edit" spidmax="2048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C35"/>
    <w:rsid w:val="00046E92"/>
    <w:rsid w:val="00063C90"/>
    <w:rsid w:val="00074DEE"/>
    <w:rsid w:val="000771E5"/>
    <w:rsid w:val="00095AB4"/>
    <w:rsid w:val="00101B98"/>
    <w:rsid w:val="00123C9D"/>
    <w:rsid w:val="001514D1"/>
    <w:rsid w:val="0018523F"/>
    <w:rsid w:val="00193164"/>
    <w:rsid w:val="001B7407"/>
    <w:rsid w:val="001D0646"/>
    <w:rsid w:val="001D3482"/>
    <w:rsid w:val="001E371D"/>
    <w:rsid w:val="001E538A"/>
    <w:rsid w:val="001F085A"/>
    <w:rsid w:val="00247E2C"/>
    <w:rsid w:val="002719A0"/>
    <w:rsid w:val="002A32CB"/>
    <w:rsid w:val="002D5B2C"/>
    <w:rsid w:val="002D6C53"/>
    <w:rsid w:val="002F5595"/>
    <w:rsid w:val="00334F6A"/>
    <w:rsid w:val="00342AC8"/>
    <w:rsid w:val="00343302"/>
    <w:rsid w:val="003979DE"/>
    <w:rsid w:val="003B4550"/>
    <w:rsid w:val="003D2A18"/>
    <w:rsid w:val="00413386"/>
    <w:rsid w:val="00461253"/>
    <w:rsid w:val="004858F5"/>
    <w:rsid w:val="004A2814"/>
    <w:rsid w:val="004C0622"/>
    <w:rsid w:val="004E7A50"/>
    <w:rsid w:val="005042C2"/>
    <w:rsid w:val="005A1F49"/>
    <w:rsid w:val="005A54E8"/>
    <w:rsid w:val="005D2A23"/>
    <w:rsid w:val="005E716E"/>
    <w:rsid w:val="00617857"/>
    <w:rsid w:val="006476E1"/>
    <w:rsid w:val="006604DF"/>
    <w:rsid w:val="00671529"/>
    <w:rsid w:val="0070489D"/>
    <w:rsid w:val="007268F9"/>
    <w:rsid w:val="007423AA"/>
    <w:rsid w:val="00750282"/>
    <w:rsid w:val="00764440"/>
    <w:rsid w:val="0077101B"/>
    <w:rsid w:val="007B5C59"/>
    <w:rsid w:val="007C015C"/>
    <w:rsid w:val="007C52B0"/>
    <w:rsid w:val="007C6033"/>
    <w:rsid w:val="007C608F"/>
    <w:rsid w:val="007F3842"/>
    <w:rsid w:val="008147C8"/>
    <w:rsid w:val="0081753A"/>
    <w:rsid w:val="00857D23"/>
    <w:rsid w:val="00892C35"/>
    <w:rsid w:val="008A40B6"/>
    <w:rsid w:val="008B33E5"/>
    <w:rsid w:val="008E3E3E"/>
    <w:rsid w:val="009005AD"/>
    <w:rsid w:val="00904ADC"/>
    <w:rsid w:val="009177BD"/>
    <w:rsid w:val="00921EAE"/>
    <w:rsid w:val="009376D2"/>
    <w:rsid w:val="009411B4"/>
    <w:rsid w:val="00946F1D"/>
    <w:rsid w:val="00982134"/>
    <w:rsid w:val="009D0139"/>
    <w:rsid w:val="009D717D"/>
    <w:rsid w:val="009F5CDC"/>
    <w:rsid w:val="00A072D7"/>
    <w:rsid w:val="00A2289E"/>
    <w:rsid w:val="00A775CF"/>
    <w:rsid w:val="00AD1A9C"/>
    <w:rsid w:val="00AF5DE1"/>
    <w:rsid w:val="00B06045"/>
    <w:rsid w:val="00B206DD"/>
    <w:rsid w:val="00B23B84"/>
    <w:rsid w:val="00B52EF4"/>
    <w:rsid w:val="00B777AD"/>
    <w:rsid w:val="00C03015"/>
    <w:rsid w:val="00C0358D"/>
    <w:rsid w:val="00C22D7B"/>
    <w:rsid w:val="00C35A27"/>
    <w:rsid w:val="00C47B2E"/>
    <w:rsid w:val="00C70AA5"/>
    <w:rsid w:val="00CB1B31"/>
    <w:rsid w:val="00CC2F9E"/>
    <w:rsid w:val="00CF7460"/>
    <w:rsid w:val="00D212ED"/>
    <w:rsid w:val="00D543C2"/>
    <w:rsid w:val="00D63CD2"/>
    <w:rsid w:val="00D86E57"/>
    <w:rsid w:val="00D871EC"/>
    <w:rsid w:val="00D87DC2"/>
    <w:rsid w:val="00D94B05"/>
    <w:rsid w:val="00E00FE4"/>
    <w:rsid w:val="00E02C2B"/>
    <w:rsid w:val="00E21C27"/>
    <w:rsid w:val="00E26BCF"/>
    <w:rsid w:val="00E45148"/>
    <w:rsid w:val="00E52109"/>
    <w:rsid w:val="00E65306"/>
    <w:rsid w:val="00E75317"/>
    <w:rsid w:val="00EA740F"/>
    <w:rsid w:val="00EC0CE6"/>
    <w:rsid w:val="00EC7C1D"/>
    <w:rsid w:val="00ED6C48"/>
    <w:rsid w:val="00EE3045"/>
    <w:rsid w:val="00EE3846"/>
    <w:rsid w:val="00F30201"/>
    <w:rsid w:val="00F47A58"/>
    <w:rsid w:val="00F65F5D"/>
    <w:rsid w:val="00F81A22"/>
    <w:rsid w:val="00F86A3A"/>
    <w:rsid w:val="00FD09A6"/>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EDCAB2A"/>
  <w15:docId w15:val="{0963D2C5-05E1-4FD3-ABD5-3DFB8219B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uiPriority w:val="59"/>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rsid w:val="007C608F"/>
    <w:rPr>
      <w:b/>
      <w:sz w:val="28"/>
    </w:rPr>
  </w:style>
  <w:style w:type="character" w:customStyle="1" w:styleId="SingleTxtGChar">
    <w:name w:val="_ Single Txt_G Char"/>
    <w:link w:val="SingleTxtG"/>
    <w:rsid w:val="007C608F"/>
  </w:style>
  <w:style w:type="character" w:customStyle="1" w:styleId="H1GChar">
    <w:name w:val="_ H_1_G Char"/>
    <w:link w:val="H1G"/>
    <w:locked/>
    <w:rsid w:val="007C608F"/>
    <w:rPr>
      <w:b/>
      <w:sz w:val="24"/>
    </w:rPr>
  </w:style>
  <w:style w:type="paragraph" w:customStyle="1" w:styleId="ManualHeading2">
    <w:name w:val="Manual Heading 2"/>
    <w:basedOn w:val="Normal"/>
    <w:next w:val="Normal"/>
    <w:rsid w:val="00095AB4"/>
    <w:pPr>
      <w:keepNext/>
      <w:keepLines/>
      <w:numPr>
        <w:ilvl w:val="12"/>
      </w:numPr>
      <w:tabs>
        <w:tab w:val="left" w:pos="1418"/>
      </w:tabs>
      <w:suppressAutoHyphens w:val="0"/>
      <w:kinsoku/>
      <w:overflowPunct/>
      <w:snapToGrid/>
      <w:spacing w:line="240" w:lineRule="auto"/>
      <w:jc w:val="both"/>
    </w:pPr>
    <w:rPr>
      <w:rFonts w:eastAsia="Times New Roman"/>
      <w:b/>
      <w:sz w:val="22"/>
      <w:szCs w:val="22"/>
      <w:lang w:eastAsia="fr-FR"/>
    </w:rPr>
  </w:style>
  <w:style w:type="paragraph" w:customStyle="1" w:styleId="MTabTxt">
    <w:name w:val="MTabTxt"/>
    <w:basedOn w:val="Normal"/>
    <w:link w:val="MTabTxtChar"/>
    <w:qFormat/>
    <w:rsid w:val="009177BD"/>
    <w:pPr>
      <w:numPr>
        <w:ilvl w:val="12"/>
      </w:numPr>
      <w:kinsoku/>
      <w:overflowPunct/>
      <w:snapToGrid/>
      <w:spacing w:before="40" w:after="40" w:line="240" w:lineRule="auto"/>
    </w:pPr>
    <w:rPr>
      <w:sz w:val="22"/>
      <w:szCs w:val="22"/>
      <w:lang w:eastAsia="fr-FR"/>
    </w:rPr>
  </w:style>
  <w:style w:type="character" w:customStyle="1" w:styleId="MTabTxtChar">
    <w:name w:val="MTabTxt Char"/>
    <w:basedOn w:val="DefaultParagraphFont"/>
    <w:link w:val="MTabTxt"/>
    <w:rsid w:val="009177BD"/>
    <w:rPr>
      <w:sz w:val="22"/>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Visio_Drawing1.vsdx"/><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package" Target="embeddings/Microsoft_Visio_Drawing.vsdx"/><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d60c-my.sharepoint.com/personal/peter_schuurman_nouryon_com/Documents/IGUS/IGUS%202019/Ad%20Hoc%20Test%20series%20H/Graph%20measuring%20times%20test%20series%20H.3.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scatterChart>
        <c:scatterStyle val="lineMarker"/>
        <c:varyColors val="0"/>
        <c:ser>
          <c:idx val="0"/>
          <c:order val="0"/>
          <c:spPr>
            <a:ln w="28575" cap="rnd" cmpd="sng" algn="ctr">
              <a:solidFill>
                <a:schemeClr val="dk1">
                  <a:tint val="88500"/>
                  <a:shade val="95000"/>
                  <a:satMod val="105000"/>
                </a:schemeClr>
              </a:solidFill>
              <a:prstDash val="solid"/>
              <a:round/>
            </a:ln>
            <a:effectLst/>
          </c:spPr>
          <c:marker>
            <c:symbol val="none"/>
          </c:marker>
          <c:xVal>
            <c:numRef>
              <c:f>Sheet1!$A$1:$A$5</c:f>
              <c:numCache>
                <c:formatCode>0</c:formatCode>
                <c:ptCount val="5"/>
                <c:pt idx="0" formatCode="General">
                  <c:v>1</c:v>
                </c:pt>
                <c:pt idx="1">
                  <c:v>10</c:v>
                </c:pt>
                <c:pt idx="2">
                  <c:v>100</c:v>
                </c:pt>
                <c:pt idx="3">
                  <c:v>1000</c:v>
                </c:pt>
                <c:pt idx="4">
                  <c:v>10000</c:v>
                </c:pt>
              </c:numCache>
            </c:numRef>
          </c:xVal>
          <c:yVal>
            <c:numRef>
              <c:f>Sheet1!$B$1:$B$5</c:f>
              <c:numCache>
                <c:formatCode>0</c:formatCode>
                <c:ptCount val="5"/>
                <c:pt idx="0" formatCode="General">
                  <c:v>10000</c:v>
                </c:pt>
                <c:pt idx="1">
                  <c:v>1000</c:v>
                </c:pt>
                <c:pt idx="2">
                  <c:v>100</c:v>
                </c:pt>
                <c:pt idx="3">
                  <c:v>10</c:v>
                </c:pt>
                <c:pt idx="4">
                  <c:v>1</c:v>
                </c:pt>
              </c:numCache>
            </c:numRef>
          </c:yVal>
          <c:smooth val="0"/>
          <c:extLst>
            <c:ext xmlns:c16="http://schemas.microsoft.com/office/drawing/2014/chart" uri="{C3380CC4-5D6E-409C-BE32-E72D297353CC}">
              <c16:uniqueId val="{00000000-D893-4AA3-B55A-88332438832C}"/>
            </c:ext>
          </c:extLst>
        </c:ser>
        <c:dLbls>
          <c:showLegendKey val="0"/>
          <c:showVal val="0"/>
          <c:showCatName val="0"/>
          <c:showSerName val="0"/>
          <c:showPercent val="0"/>
          <c:showBubbleSize val="0"/>
        </c:dLbls>
        <c:axId val="126780928"/>
        <c:axId val="126761600"/>
      </c:scatterChart>
      <c:valAx>
        <c:axId val="126780928"/>
        <c:scaling>
          <c:logBase val="10"/>
          <c:orientation val="minMax"/>
          <c:max val="10000"/>
        </c:scaling>
        <c:delete val="0"/>
        <c:axPos val="b"/>
        <c:majorGridlines>
          <c:spPr>
            <a:ln w="9525" cap="flat" cmpd="sng" algn="ctr">
              <a:solidFill>
                <a:schemeClr val="tx1">
                  <a:tint val="75000"/>
                  <a:shade val="95000"/>
                  <a:satMod val="105000"/>
                </a:schemeClr>
              </a:solidFill>
              <a:prstDash val="solid"/>
              <a:round/>
            </a:ln>
            <a:effectLst/>
          </c:spPr>
        </c:majorGridlines>
        <c:minorGridlines>
          <c:spPr>
            <a:ln w="9525" cap="flat" cmpd="sng" algn="ctr">
              <a:solidFill>
                <a:schemeClr val="tx1">
                  <a:tint val="50000"/>
                  <a:shade val="95000"/>
                  <a:satMod val="105000"/>
                </a:schemeClr>
              </a:solidFill>
              <a:prstDash val="solid"/>
              <a:round/>
            </a:ln>
            <a:effectLst/>
          </c:spPr>
        </c:minorGridlines>
        <c:title>
          <c:tx>
            <c:rich>
              <a:bodyPr rot="0" spcFirstLastPara="1" vertOverflow="ellipsis" vert="horz" wrap="square" anchor="ctr" anchorCtr="1"/>
              <a:lstStyle/>
              <a:p>
                <a:pPr>
                  <a:defRPr sz="1100" b="0" i="0" u="none" strike="noStrike" kern="1200" baseline="0">
                    <a:solidFill>
                      <a:schemeClr val="tx1"/>
                    </a:solidFill>
                    <a:latin typeface="+mn-lt"/>
                    <a:ea typeface="+mn-ea"/>
                    <a:cs typeface="+mn-cs"/>
                  </a:defRPr>
                </a:pPr>
                <a:r>
                  <a:rPr lang="en-US" sz="1100" b="0">
                    <a:latin typeface="Times New Roman" panose="02020603050405020304" pitchFamily="18" charset="0"/>
                    <a:cs typeface="Times New Roman" panose="02020603050405020304" pitchFamily="18" charset="0"/>
                  </a:rPr>
                  <a:t>Measuring period (h)</a:t>
                </a:r>
              </a:p>
            </c:rich>
          </c:tx>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26761600"/>
        <c:crosses val="autoZero"/>
        <c:crossBetween val="midCat"/>
      </c:valAx>
      <c:valAx>
        <c:axId val="126761600"/>
        <c:scaling>
          <c:logBase val="10"/>
          <c:orientation val="minMax"/>
          <c:max val="3000"/>
          <c:min val="1"/>
        </c:scaling>
        <c:delete val="0"/>
        <c:axPos val="l"/>
        <c:majorGridlines>
          <c:spPr>
            <a:ln w="9525" cap="flat" cmpd="sng" algn="ctr">
              <a:solidFill>
                <a:schemeClr val="tx1">
                  <a:tint val="75000"/>
                  <a:shade val="95000"/>
                  <a:satMod val="105000"/>
                </a:schemeClr>
              </a:solidFill>
              <a:prstDash val="solid"/>
              <a:round/>
            </a:ln>
            <a:effectLst/>
          </c:spPr>
        </c:majorGridlines>
        <c:minorGridlines>
          <c:spPr>
            <a:ln w="9525" cap="flat" cmpd="sng" algn="ctr">
              <a:solidFill>
                <a:schemeClr val="tx1">
                  <a:tint val="50000"/>
                  <a:shade val="95000"/>
                  <a:satMod val="105000"/>
                </a:schemeClr>
              </a:solidFill>
              <a:prstDash val="solid"/>
              <a:round/>
            </a:ln>
            <a:effectLst/>
          </c:spPr>
        </c:minorGridlines>
        <c:title>
          <c:tx>
            <c:rich>
              <a:bodyPr rot="-5400000" spcFirstLastPara="1" vertOverflow="ellipsis" vert="horz" wrap="square" anchor="ctr" anchorCtr="1"/>
              <a:lstStyle/>
              <a:p>
                <a:pPr>
                  <a:defRPr sz="1100" b="0" i="0" u="none" strike="noStrike" kern="1200" baseline="0">
                    <a:solidFill>
                      <a:schemeClr val="tx1"/>
                    </a:solidFill>
                    <a:latin typeface="+mn-lt"/>
                    <a:ea typeface="+mn-ea"/>
                    <a:cs typeface="+mn-cs"/>
                  </a:defRPr>
                </a:pPr>
                <a:r>
                  <a:rPr lang="en-US" sz="1100" b="0">
                    <a:latin typeface="Times New Roman" panose="02020603050405020304" pitchFamily="18" charset="0"/>
                    <a:cs typeface="Times New Roman" panose="02020603050405020304" pitchFamily="18" charset="0"/>
                  </a:rPr>
                  <a:t>Max. heat generation (mW/kg)</a:t>
                </a:r>
              </a:p>
            </c:rich>
          </c:tx>
          <c:overlay val="0"/>
          <c:spPr>
            <a:noFill/>
            <a:ln>
              <a:noFill/>
            </a:ln>
            <a:effectLst/>
          </c:spPr>
          <c:txPr>
            <a:bodyPr rot="-540000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26780928"/>
        <c:crosses val="autoZero"/>
        <c:crossBetween val="midCat"/>
      </c:valAx>
      <c:spPr>
        <a:noFill/>
        <a:ln>
          <a:solidFill>
            <a:schemeClr val="tx1"/>
          </a:solidFill>
        </a:ln>
        <a:effectLst/>
      </c:spPr>
    </c:plotArea>
    <c:plotVisOnly val="1"/>
    <c:dispBlanksAs val="gap"/>
    <c:showDLblsOverMax val="0"/>
  </c:chart>
  <c:spPr>
    <a:solidFill>
      <a:schemeClr val="bg1"/>
    </a:solidFill>
    <a:ln w="9525" cap="flat" cmpd="sng" algn="ctr">
      <a:solidFill>
        <a:schemeClr val="tx1"/>
      </a:solidFill>
      <a:prstDash val="solid"/>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14543-CE0A-444A-AD1E-FA8F97B89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2</TotalTime>
  <Pages>12</Pages>
  <Words>4388</Words>
  <Characters>25015</Characters>
  <Application>Microsoft Office Word</Application>
  <DocSecurity>0</DocSecurity>
  <Lines>208</Lines>
  <Paragraphs>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ST/SG/AC.10/C.3/2020/3</vt:lpstr>
      <vt:lpstr/>
    </vt:vector>
  </TitlesOfParts>
  <Company/>
  <LinksUpToDate>false</LinksUpToDate>
  <CharactersWithSpaces>29345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ST/SG/AC.10/C.3/2020/3</dc:title>
  <dc:subject/>
  <dc:creator>Rosa</dc:creator>
  <cp:keywords>ST/SG/AC.10/C.4/2020/2</cp:keywords>
  <cp:lastModifiedBy>Laurence Berthet</cp:lastModifiedBy>
  <cp:revision>3</cp:revision>
  <cp:lastPrinted>2020-03-30T11:56:00Z</cp:lastPrinted>
  <dcterms:created xsi:type="dcterms:W3CDTF">2020-03-30T11:56:00Z</dcterms:created>
  <dcterms:modified xsi:type="dcterms:W3CDTF">2020-03-30T11:57:00Z</dcterms:modified>
</cp:coreProperties>
</file>