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B2903B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454E7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A045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6A446" w14:textId="77777777" w:rsidR="00E52109" w:rsidRDefault="00E0644E" w:rsidP="00E0644E">
            <w:pPr>
              <w:suppressAutoHyphens w:val="0"/>
              <w:jc w:val="right"/>
            </w:pPr>
            <w:bookmarkStart w:id="0" w:name="_Hlk46405941"/>
            <w:r w:rsidRPr="00E0644E">
              <w:rPr>
                <w:sz w:val="40"/>
              </w:rPr>
              <w:t>ST</w:t>
            </w:r>
            <w:r>
              <w:t>/SG/AC.10/C.4/2020/3/</w:t>
            </w:r>
            <w:bookmarkEnd w:id="0"/>
            <w:r>
              <w:t>Add.1</w:t>
            </w:r>
          </w:p>
        </w:tc>
      </w:tr>
      <w:tr w:rsidR="00E52109" w14:paraId="10F49A68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7F9D95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341629" wp14:editId="0D43217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DCD0F67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D4DE0D" w14:textId="77777777" w:rsidR="00D94B05" w:rsidRDefault="00E0644E" w:rsidP="00E0644E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57677A" w14:textId="0E14DB58" w:rsidR="00E0644E" w:rsidRDefault="00887EA5" w:rsidP="00E0644E">
            <w:pPr>
              <w:suppressAutoHyphens w:val="0"/>
              <w:spacing w:line="240" w:lineRule="exact"/>
            </w:pPr>
            <w:r w:rsidRPr="00887EA5">
              <w:t>6</w:t>
            </w:r>
            <w:r w:rsidR="00E0644E" w:rsidRPr="00887EA5">
              <w:t xml:space="preserve"> August 2020</w:t>
            </w:r>
          </w:p>
          <w:p w14:paraId="3F296320" w14:textId="77777777" w:rsidR="00E0644E" w:rsidRDefault="00E0644E" w:rsidP="00E0644E">
            <w:pPr>
              <w:suppressAutoHyphens w:val="0"/>
              <w:spacing w:line="240" w:lineRule="exact"/>
            </w:pPr>
          </w:p>
          <w:p w14:paraId="31CC981F" w14:textId="6D0CB807" w:rsidR="00E0644E" w:rsidRDefault="00E0644E" w:rsidP="00E0644E">
            <w:pPr>
              <w:suppressAutoHyphens w:val="0"/>
              <w:spacing w:line="240" w:lineRule="exact"/>
            </w:pPr>
            <w:r>
              <w:t>Original: English</w:t>
            </w:r>
            <w:r w:rsidR="00FB3A9F">
              <w:t xml:space="preserve"> and French</w:t>
            </w:r>
          </w:p>
        </w:tc>
      </w:tr>
    </w:tbl>
    <w:p w14:paraId="1D089F49" w14:textId="77777777" w:rsidR="00E0644E" w:rsidRPr="009F0F06" w:rsidRDefault="00E0644E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6ED3729B" w14:textId="77777777" w:rsidR="00E0644E" w:rsidRPr="009F0F06" w:rsidRDefault="00E0644E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3BDB868F" w14:textId="77777777" w:rsidR="00B231A1" w:rsidRDefault="00B231A1" w:rsidP="00B231A1">
      <w:pPr>
        <w:spacing w:before="120"/>
        <w:rPr>
          <w:b/>
        </w:rPr>
      </w:pPr>
      <w:r>
        <w:rPr>
          <w:b/>
        </w:rPr>
        <w:t>Thirty-ninth session</w:t>
      </w:r>
    </w:p>
    <w:p w14:paraId="6FC5E3F4" w14:textId="7E907EA6" w:rsidR="00B231A1" w:rsidRDefault="00B231A1" w:rsidP="00B231A1">
      <w:r>
        <w:t xml:space="preserve">Geneva, </w:t>
      </w:r>
      <w:r w:rsidR="00033991">
        <w:t>9</w:t>
      </w:r>
      <w:r>
        <w:t>-</w:t>
      </w:r>
      <w:r w:rsidR="00033991">
        <w:t xml:space="preserve">11 December </w:t>
      </w:r>
      <w:r>
        <w:t xml:space="preserve">2020 </w:t>
      </w:r>
    </w:p>
    <w:p w14:paraId="15C6F6D6" w14:textId="53AE9EE7" w:rsidR="00B231A1" w:rsidRDefault="00B231A1" w:rsidP="00B231A1">
      <w:r w:rsidRPr="00887EA5">
        <w:t xml:space="preserve">Item </w:t>
      </w:r>
      <w:r w:rsidR="00225D90">
        <w:t>3</w:t>
      </w:r>
      <w:r w:rsidRPr="00887EA5">
        <w:t xml:space="preserve"> (</w:t>
      </w:r>
      <w:proofErr w:type="spellStart"/>
      <w:r w:rsidRPr="00887EA5">
        <w:t>i</w:t>
      </w:r>
      <w:proofErr w:type="spellEnd"/>
      <w:r w:rsidRPr="00887EA5">
        <w:t>) of the provisional agenda</w:t>
      </w:r>
    </w:p>
    <w:p w14:paraId="0CF83880" w14:textId="77777777" w:rsidR="00B231A1" w:rsidRDefault="00B231A1" w:rsidP="00B231A1">
      <w:pPr>
        <w:rPr>
          <w:b/>
          <w:bCs/>
        </w:rPr>
      </w:pPr>
      <w:r>
        <w:rPr>
          <w:b/>
          <w:bCs/>
        </w:rPr>
        <w:t>Classification criteria and related hazard communication:</w:t>
      </w:r>
      <w:r>
        <w:rPr>
          <w:b/>
          <w:bCs/>
        </w:rPr>
        <w:br/>
        <w:t>other issues</w:t>
      </w:r>
    </w:p>
    <w:p w14:paraId="575BA68B" w14:textId="5CD8F84A" w:rsidR="004D59D3" w:rsidRDefault="004D59D3" w:rsidP="004D59D3">
      <w:pPr>
        <w:pStyle w:val="HChG"/>
      </w:pPr>
      <w:r>
        <w:tab/>
      </w:r>
      <w:r>
        <w:tab/>
        <w:t xml:space="preserve">Review of the decision logics </w:t>
      </w:r>
    </w:p>
    <w:p w14:paraId="7210F7D6" w14:textId="0ABA0E1F" w:rsidR="004D59D3" w:rsidRDefault="004D59D3" w:rsidP="004D59D3">
      <w:pPr>
        <w:pStyle w:val="H1G"/>
        <w:rPr>
          <w:sz w:val="20"/>
        </w:rPr>
      </w:pPr>
      <w:r>
        <w:tab/>
      </w:r>
      <w:r>
        <w:tab/>
        <w:t>Note by the secretariat</w:t>
      </w:r>
      <w:r>
        <w:rPr>
          <w:rStyle w:val="FootnoteReference"/>
          <w:sz w:val="20"/>
        </w:rPr>
        <w:footnoteReference w:customMarkFollows="1" w:id="2"/>
        <w:t>*</w:t>
      </w:r>
    </w:p>
    <w:p w14:paraId="1EBC6992" w14:textId="7F0752DB" w:rsidR="004D59D3" w:rsidRPr="004D59D3" w:rsidRDefault="004D59D3" w:rsidP="004D59D3">
      <w:pPr>
        <w:pStyle w:val="H23G"/>
      </w:pPr>
      <w:r>
        <w:tab/>
      </w:r>
      <w:r>
        <w:tab/>
        <w:t>Addendum</w:t>
      </w:r>
    </w:p>
    <w:p w14:paraId="12D443A7" w14:textId="7AE1369A" w:rsidR="00AF5DE1" w:rsidRDefault="007F2CA5" w:rsidP="00354B06">
      <w:pPr>
        <w:pStyle w:val="H1G"/>
      </w:pPr>
      <w:r>
        <w:tab/>
      </w:r>
      <w:r>
        <w:tab/>
        <w:t>Introduction</w:t>
      </w:r>
    </w:p>
    <w:p w14:paraId="2CF8B37F" w14:textId="6EE61A38" w:rsidR="007F2CA5" w:rsidRDefault="007F2CA5" w:rsidP="00CA5AD0">
      <w:pPr>
        <w:pStyle w:val="SingleTxtG"/>
      </w:pPr>
      <w:r>
        <w:tab/>
      </w:r>
      <w:r w:rsidR="00137D8F">
        <w:t>1.</w:t>
      </w:r>
      <w:r>
        <w:tab/>
        <w:t>During the informal consultation</w:t>
      </w:r>
      <w:r w:rsidR="00880989">
        <w:t>s</w:t>
      </w:r>
      <w:r>
        <w:t xml:space="preserve"> held in July in preparation of the </w:t>
      </w:r>
      <w:r w:rsidR="00E31F5B">
        <w:t xml:space="preserve">December </w:t>
      </w:r>
      <w:r w:rsidR="007146CE">
        <w:t>session</w:t>
      </w:r>
      <w:r w:rsidR="00E31F5B">
        <w:t xml:space="preserve">, some delegations </w:t>
      </w:r>
      <w:r w:rsidR="00E83185">
        <w:t xml:space="preserve">proposed minor </w:t>
      </w:r>
      <w:r w:rsidR="00E31F5B">
        <w:t>amendment</w:t>
      </w:r>
      <w:r w:rsidR="00E83185">
        <w:t>s</w:t>
      </w:r>
      <w:r w:rsidR="00E31F5B">
        <w:t xml:space="preserve"> to the current text of the decision logics and corrections </w:t>
      </w:r>
      <w:r w:rsidR="008D4F1A">
        <w:t xml:space="preserve">to mistakes unintentionally introduced </w:t>
      </w:r>
      <w:r w:rsidR="00613D4C">
        <w:t xml:space="preserve">in document </w:t>
      </w:r>
      <w:r w:rsidR="00613D4C" w:rsidRPr="00613D4C">
        <w:t>ST/SG/AC.10/C.4/2020/3</w:t>
      </w:r>
      <w:r w:rsidR="00613D4C">
        <w:t>. Th</w:t>
      </w:r>
      <w:r w:rsidR="00137D8F">
        <w:t>e present</w:t>
      </w:r>
      <w:r w:rsidR="00613D4C">
        <w:t xml:space="preserve"> document takes account of th</w:t>
      </w:r>
      <w:r w:rsidR="00137D8F">
        <w:t>e</w:t>
      </w:r>
      <w:r w:rsidR="00613D4C">
        <w:t xml:space="preserve">se comments. </w:t>
      </w:r>
    </w:p>
    <w:p w14:paraId="1AFAFF89" w14:textId="6F0BAB2B" w:rsidR="003A1FEB" w:rsidRDefault="00A73AFE" w:rsidP="00354B06">
      <w:pPr>
        <w:pStyle w:val="H1G"/>
      </w:pPr>
      <w:r>
        <w:tab/>
      </w:r>
      <w:r>
        <w:tab/>
      </w:r>
      <w:r w:rsidR="00FE1F6D">
        <w:t>A</w:t>
      </w:r>
      <w:r w:rsidR="00361EA3">
        <w:t>mendment</w:t>
      </w:r>
      <w:r w:rsidR="003A1FEB">
        <w:t>s</w:t>
      </w:r>
      <w:r w:rsidR="00FE1F6D">
        <w:t xml:space="preserve"> to decision logics </w:t>
      </w:r>
      <w:r w:rsidR="00E62528">
        <w:t xml:space="preserve">3.10.1 and </w:t>
      </w:r>
      <w:r w:rsidR="00FE1F6D">
        <w:t>4.1.3</w:t>
      </w:r>
      <w:r w:rsidR="00E62528">
        <w:t xml:space="preserve"> (b)</w:t>
      </w:r>
    </w:p>
    <w:p w14:paraId="36F4BA31" w14:textId="3E3CC6C9" w:rsidR="00F81DC9" w:rsidRDefault="00E62528" w:rsidP="00F81DC9">
      <w:pPr>
        <w:pStyle w:val="H23G"/>
      </w:pPr>
      <w:r>
        <w:tab/>
      </w:r>
      <w:r>
        <w:tab/>
      </w:r>
      <w:r w:rsidR="00F81DC9">
        <w:tab/>
        <w:t xml:space="preserve">Decision logic 3.10.1 </w:t>
      </w:r>
    </w:p>
    <w:p w14:paraId="3CA2E403" w14:textId="1D6A0E26" w:rsidR="00CF03BE" w:rsidRPr="00CF03BE" w:rsidRDefault="00CF03BE" w:rsidP="002652BF">
      <w:pPr>
        <w:pStyle w:val="SingleTxtG"/>
      </w:pPr>
      <w:r>
        <w:tab/>
        <w:t>2.</w:t>
      </w:r>
      <w:r w:rsidR="00462858">
        <w:tab/>
        <w:t xml:space="preserve">The expert from the United States of America </w:t>
      </w:r>
      <w:r w:rsidR="00664720">
        <w:t xml:space="preserve">proposed to align </w:t>
      </w:r>
      <w:r w:rsidR="000E657B">
        <w:t xml:space="preserve">the text </w:t>
      </w:r>
      <w:r w:rsidR="00506F45">
        <w:t xml:space="preserve">in the last text box </w:t>
      </w:r>
      <w:r w:rsidR="000E657B">
        <w:t>of the decision logic</w:t>
      </w:r>
      <w:r w:rsidR="00506F45">
        <w:t xml:space="preserve"> with that of the criteria for Category 2</w:t>
      </w:r>
      <w:r w:rsidR="002652BF">
        <w:t xml:space="preserve">, by inserting a reference to note 2 to table 3.10.1. </w:t>
      </w:r>
      <w:r w:rsidR="003C49F5">
        <w:t xml:space="preserve">The proposal is shown below. </w:t>
      </w:r>
    </w:p>
    <w:p w14:paraId="2759ACF4" w14:textId="70351F8E" w:rsidR="001C2A9B" w:rsidRDefault="001C2A9B" w:rsidP="001C2A9B">
      <w:pPr>
        <w:pStyle w:val="H4G"/>
      </w:pPr>
      <w:r w:rsidRPr="00E62528">
        <w:tab/>
      </w:r>
      <w:r w:rsidRPr="00E62528">
        <w:tab/>
        <w:t>Proposal</w:t>
      </w:r>
    </w:p>
    <w:p w14:paraId="41087609" w14:textId="5D40941D" w:rsidR="00321EEC" w:rsidRPr="00321EEC" w:rsidRDefault="00321EEC" w:rsidP="00321EEC">
      <w:pPr>
        <w:pStyle w:val="SingleTxtG"/>
      </w:pPr>
      <w:r>
        <w:t>3.</w:t>
      </w:r>
      <w:r>
        <w:tab/>
        <w:t>In decision logic 3.10.1, add “(see note 2 to table 3.10.1)</w:t>
      </w:r>
      <w:r w:rsidR="00626852">
        <w:t xml:space="preserve">” at the end of the sentence “Is there evidence causing concern…measured at </w:t>
      </w:r>
      <w:r w:rsidR="001D7B9A">
        <w:t>40°C?”, on the last text box of the decision logic.</w:t>
      </w:r>
    </w:p>
    <w:p w14:paraId="3A4D86BE" w14:textId="17263B99" w:rsidR="001C2A9B" w:rsidRPr="001C2A9B" w:rsidRDefault="001C2A9B" w:rsidP="001C2A9B">
      <w:r>
        <w:tab/>
      </w:r>
      <w:r>
        <w:tab/>
      </w:r>
    </w:p>
    <w:p w14:paraId="3A09545D" w14:textId="790279E8" w:rsidR="00137D8F" w:rsidRDefault="00F81DC9" w:rsidP="00E62528">
      <w:pPr>
        <w:pStyle w:val="H23G"/>
      </w:pPr>
      <w:r>
        <w:lastRenderedPageBreak/>
        <w:tab/>
      </w:r>
      <w:r>
        <w:tab/>
      </w:r>
      <w:r w:rsidR="003A1FEB">
        <w:t>D</w:t>
      </w:r>
      <w:r w:rsidR="00CC7569">
        <w:t xml:space="preserve">ecision logic </w:t>
      </w:r>
      <w:r w:rsidR="00A73AFE">
        <w:t>4.1.3 (b)</w:t>
      </w:r>
    </w:p>
    <w:p w14:paraId="11E0B5EC" w14:textId="626D095D" w:rsidR="00B71916" w:rsidRDefault="00A73AFE" w:rsidP="00B71916">
      <w:pPr>
        <w:pStyle w:val="SingleTxtG"/>
      </w:pPr>
      <w:r>
        <w:tab/>
      </w:r>
      <w:r w:rsidR="001D7B9A">
        <w:t>4</w:t>
      </w:r>
      <w:r>
        <w:t>.</w:t>
      </w:r>
      <w:r>
        <w:tab/>
      </w:r>
      <w:r w:rsidR="004339DD">
        <w:t xml:space="preserve">The </w:t>
      </w:r>
      <w:r>
        <w:t xml:space="preserve">expert from the Netherlands </w:t>
      </w:r>
      <w:r w:rsidR="00F84386">
        <w:t>indicated</w:t>
      </w:r>
      <w:r w:rsidR="007F413A">
        <w:t xml:space="preserve"> that the reference to “or other equivalent </w:t>
      </w:r>
      <w:proofErr w:type="spellStart"/>
      <w:r w:rsidR="007F413A">
        <w:t>ECx</w:t>
      </w:r>
      <w:proofErr w:type="spellEnd"/>
      <w:r w:rsidR="007F413A">
        <w:t xml:space="preserve">” </w:t>
      </w:r>
      <w:r w:rsidR="00111ABD">
        <w:t>in relation to the</w:t>
      </w:r>
      <w:r w:rsidR="006F6436">
        <w:t xml:space="preserve"> </w:t>
      </w:r>
      <w:r w:rsidR="009C42AA">
        <w:t>“</w:t>
      </w:r>
      <w:r w:rsidR="006F6436">
        <w:t>no</w:t>
      </w:r>
      <w:r w:rsidR="009C42AA">
        <w:t xml:space="preserve"> observed effect concentration” (NOEC) </w:t>
      </w:r>
      <w:r w:rsidR="004F7538">
        <w:t>was</w:t>
      </w:r>
      <w:r w:rsidR="007F413A">
        <w:t xml:space="preserve"> missing in decision logic 4.1.3 (b) and proposed </w:t>
      </w:r>
      <w:r w:rsidR="006F6436">
        <w:t>to align</w:t>
      </w:r>
      <w:r w:rsidR="00CB25A9">
        <w:t xml:space="preserve"> it </w:t>
      </w:r>
      <w:r w:rsidR="007F413A">
        <w:t xml:space="preserve">with the criteria in Chapter 4.1 </w:t>
      </w:r>
      <w:r w:rsidR="0092034F">
        <w:t>(see for instance paragraph 4.1.1.4 and Table 4.1.1 (b)(</w:t>
      </w:r>
      <w:proofErr w:type="spellStart"/>
      <w:r w:rsidR="0092034F">
        <w:t>i</w:t>
      </w:r>
      <w:proofErr w:type="spellEnd"/>
      <w:r w:rsidR="0092034F">
        <w:t xml:space="preserve">) and (b)(ii))). </w:t>
      </w:r>
      <w:r w:rsidR="00B71916">
        <w:t>T</w:t>
      </w:r>
      <w:r w:rsidR="00CA5AD0">
        <w:t>he</w:t>
      </w:r>
      <w:r w:rsidR="006C2C00">
        <w:t xml:space="preserve"> </w:t>
      </w:r>
      <w:r w:rsidR="000B082E">
        <w:t>proposal is shown below</w:t>
      </w:r>
      <w:r w:rsidR="00B71916">
        <w:t xml:space="preserve">. </w:t>
      </w:r>
    </w:p>
    <w:p w14:paraId="373AC888" w14:textId="5D60E8D4" w:rsidR="00755044" w:rsidRPr="00E62528" w:rsidRDefault="00755044" w:rsidP="00E62528">
      <w:pPr>
        <w:pStyle w:val="H4G"/>
      </w:pPr>
      <w:r w:rsidRPr="00E62528">
        <w:tab/>
      </w:r>
      <w:r w:rsidRPr="00E62528">
        <w:tab/>
        <w:t>Proposal</w:t>
      </w:r>
    </w:p>
    <w:p w14:paraId="69D0F5D7" w14:textId="5D59D1FB" w:rsidR="00755044" w:rsidRDefault="001D7B9A" w:rsidP="00755044">
      <w:pPr>
        <w:pStyle w:val="SingleTxtG"/>
      </w:pPr>
      <w:r>
        <w:t>5</w:t>
      </w:r>
      <w:r w:rsidR="00755044" w:rsidRPr="00755044">
        <w:t>.</w:t>
      </w:r>
      <w:r w:rsidR="00755044">
        <w:tab/>
      </w:r>
      <w:r w:rsidR="001A3BCD">
        <w:t xml:space="preserve">In decision logic </w:t>
      </w:r>
      <w:r w:rsidR="00D515CF">
        <w:t xml:space="preserve">4.1.3 (b), replace </w:t>
      </w:r>
      <w:r w:rsidR="00F81F41">
        <w:t xml:space="preserve">(five times) “NOEC” by “NOEC or </w:t>
      </w:r>
      <w:proofErr w:type="spellStart"/>
      <w:r w:rsidR="00F81F41">
        <w:t>ECx</w:t>
      </w:r>
      <w:proofErr w:type="spellEnd"/>
      <w:r w:rsidR="00F81F41">
        <w:t>”.</w:t>
      </w:r>
    </w:p>
    <w:p w14:paraId="0977335A" w14:textId="0DBCF5F8" w:rsidR="000843C4" w:rsidRDefault="0050233E" w:rsidP="0068454F">
      <w:pPr>
        <w:pStyle w:val="SingleTxtG"/>
        <w:rPr>
          <w:i/>
          <w:iCs/>
        </w:rPr>
      </w:pPr>
      <w:r w:rsidRPr="0050233E">
        <w:rPr>
          <w:i/>
          <w:iCs/>
          <w:u w:val="single"/>
        </w:rPr>
        <w:t>Consequential amendments</w:t>
      </w:r>
      <w:r w:rsidRPr="000A638C">
        <w:rPr>
          <w:i/>
          <w:iCs/>
        </w:rPr>
        <w:t xml:space="preserve">: </w:t>
      </w:r>
      <w:r w:rsidR="001D7B9A">
        <w:rPr>
          <w:i/>
          <w:iCs/>
        </w:rPr>
        <w:t>R</w:t>
      </w:r>
      <w:r w:rsidR="0067440B">
        <w:rPr>
          <w:i/>
          <w:iCs/>
        </w:rPr>
        <w:t>eferences to NOEC also appear in</w:t>
      </w:r>
      <w:r w:rsidR="0068454F">
        <w:rPr>
          <w:i/>
          <w:iCs/>
        </w:rPr>
        <w:t xml:space="preserve"> </w:t>
      </w:r>
      <w:r w:rsidR="0067440B">
        <w:rPr>
          <w:i/>
          <w:iCs/>
        </w:rPr>
        <w:t xml:space="preserve">Table 4.1.1 (c) </w:t>
      </w:r>
      <w:r w:rsidR="0007193F">
        <w:rPr>
          <w:i/>
          <w:iCs/>
        </w:rPr>
        <w:t>(“safety net classification”)</w:t>
      </w:r>
      <w:r w:rsidR="00603ABD">
        <w:rPr>
          <w:i/>
          <w:iCs/>
        </w:rPr>
        <w:t>;</w:t>
      </w:r>
      <w:r w:rsidR="0007193F">
        <w:rPr>
          <w:i/>
          <w:iCs/>
        </w:rPr>
        <w:t xml:space="preserve"> </w:t>
      </w:r>
      <w:r w:rsidR="003A17E4">
        <w:rPr>
          <w:i/>
          <w:iCs/>
        </w:rPr>
        <w:t>4.1.2.7</w:t>
      </w:r>
      <w:r w:rsidR="00603ABD">
        <w:rPr>
          <w:i/>
          <w:iCs/>
        </w:rPr>
        <w:t>;</w:t>
      </w:r>
      <w:r w:rsidR="003A17E4">
        <w:rPr>
          <w:i/>
          <w:iCs/>
        </w:rPr>
        <w:t xml:space="preserve"> </w:t>
      </w:r>
      <w:r w:rsidR="009C283B">
        <w:rPr>
          <w:i/>
          <w:iCs/>
        </w:rPr>
        <w:t>table 4.1.2</w:t>
      </w:r>
      <w:r w:rsidR="00FD4043">
        <w:rPr>
          <w:i/>
          <w:iCs/>
        </w:rPr>
        <w:t xml:space="preserve"> (category 4)</w:t>
      </w:r>
      <w:r w:rsidR="00603ABD">
        <w:rPr>
          <w:i/>
          <w:iCs/>
        </w:rPr>
        <w:t>;</w:t>
      </w:r>
      <w:r w:rsidR="009C283B">
        <w:rPr>
          <w:i/>
          <w:iCs/>
        </w:rPr>
        <w:t xml:space="preserve"> </w:t>
      </w:r>
      <w:r w:rsidR="00AF1457">
        <w:rPr>
          <w:i/>
          <w:iCs/>
        </w:rPr>
        <w:t>table 4.1.5</w:t>
      </w:r>
      <w:r w:rsidR="00603ABD">
        <w:rPr>
          <w:i/>
          <w:iCs/>
        </w:rPr>
        <w:t xml:space="preserve">; </w:t>
      </w:r>
      <w:r w:rsidR="008270B7">
        <w:rPr>
          <w:i/>
          <w:iCs/>
        </w:rPr>
        <w:t xml:space="preserve">A9.1.10 (a); </w:t>
      </w:r>
      <w:r w:rsidR="0036260C" w:rsidRPr="0036260C">
        <w:rPr>
          <w:i/>
          <w:iCs/>
        </w:rPr>
        <w:t>A9.3.3.2.3</w:t>
      </w:r>
      <w:r w:rsidR="00563F99">
        <w:rPr>
          <w:i/>
          <w:iCs/>
        </w:rPr>
        <w:t> </w:t>
      </w:r>
      <w:r w:rsidR="0036260C">
        <w:rPr>
          <w:i/>
          <w:iCs/>
        </w:rPr>
        <w:t xml:space="preserve">(c); </w:t>
      </w:r>
      <w:r w:rsidR="001E51A6" w:rsidRPr="001E51A6">
        <w:rPr>
          <w:i/>
          <w:iCs/>
        </w:rPr>
        <w:t>A9.3.3.2.4</w:t>
      </w:r>
      <w:r w:rsidR="001E51A6">
        <w:rPr>
          <w:i/>
          <w:iCs/>
        </w:rPr>
        <w:t xml:space="preserve">; </w:t>
      </w:r>
      <w:r w:rsidR="001E51A6" w:rsidRPr="001E51A6">
        <w:rPr>
          <w:i/>
          <w:iCs/>
        </w:rPr>
        <w:t>A9.3.4.3</w:t>
      </w:r>
      <w:r w:rsidR="001E51A6">
        <w:rPr>
          <w:i/>
          <w:iCs/>
        </w:rPr>
        <w:t xml:space="preserve">; </w:t>
      </w:r>
      <w:r w:rsidR="00A840A8" w:rsidRPr="00A840A8">
        <w:rPr>
          <w:i/>
          <w:iCs/>
        </w:rPr>
        <w:t>A9.3.5.8</w:t>
      </w:r>
      <w:r w:rsidR="00A840A8">
        <w:rPr>
          <w:i/>
          <w:iCs/>
        </w:rPr>
        <w:t xml:space="preserve">; </w:t>
      </w:r>
      <w:r w:rsidR="00414780" w:rsidRPr="00414780">
        <w:rPr>
          <w:i/>
          <w:iCs/>
        </w:rPr>
        <w:t>A9.7.5.1.2</w:t>
      </w:r>
      <w:r w:rsidR="00414780">
        <w:rPr>
          <w:i/>
          <w:iCs/>
        </w:rPr>
        <w:t xml:space="preserve">; </w:t>
      </w:r>
      <w:r w:rsidR="004B751A" w:rsidRPr="004B751A">
        <w:rPr>
          <w:i/>
          <w:iCs/>
        </w:rPr>
        <w:t>A9.7.5.2.4.2</w:t>
      </w:r>
      <w:r w:rsidR="004B751A">
        <w:rPr>
          <w:i/>
          <w:iCs/>
        </w:rPr>
        <w:t xml:space="preserve">; </w:t>
      </w:r>
      <w:r w:rsidR="00FA1F80" w:rsidRPr="00FA1F80">
        <w:rPr>
          <w:i/>
          <w:iCs/>
        </w:rPr>
        <w:t>A9.7.5.3.3.3</w:t>
      </w:r>
      <w:r w:rsidR="00FA1F80">
        <w:rPr>
          <w:i/>
          <w:iCs/>
        </w:rPr>
        <w:t xml:space="preserve">; </w:t>
      </w:r>
      <w:r w:rsidR="000843C4">
        <w:rPr>
          <w:i/>
          <w:iCs/>
        </w:rPr>
        <w:t xml:space="preserve">and </w:t>
      </w:r>
      <w:r w:rsidR="000843C4" w:rsidRPr="000843C4">
        <w:rPr>
          <w:i/>
          <w:iCs/>
        </w:rPr>
        <w:t>Figure A9.7.1</w:t>
      </w:r>
      <w:r w:rsidR="000843C4">
        <w:rPr>
          <w:i/>
          <w:iCs/>
        </w:rPr>
        <w:t xml:space="preserve">. </w:t>
      </w:r>
    </w:p>
    <w:p w14:paraId="561D947D" w14:textId="4FE20172" w:rsidR="00603ABD" w:rsidRDefault="000843C4" w:rsidP="0007193F">
      <w:pPr>
        <w:pStyle w:val="SingleTxtG"/>
        <w:rPr>
          <w:i/>
          <w:iCs/>
        </w:rPr>
      </w:pPr>
      <w:r>
        <w:rPr>
          <w:i/>
          <w:iCs/>
        </w:rPr>
        <w:t>The Sub-Committee is invited to indicate whether the</w:t>
      </w:r>
      <w:r w:rsidR="00863070">
        <w:rPr>
          <w:i/>
          <w:iCs/>
        </w:rPr>
        <w:t>se</w:t>
      </w:r>
      <w:r>
        <w:rPr>
          <w:i/>
          <w:iCs/>
        </w:rPr>
        <w:t xml:space="preserve"> references to NOEC should also </w:t>
      </w:r>
      <w:r w:rsidR="00F04A54">
        <w:rPr>
          <w:i/>
          <w:iCs/>
        </w:rPr>
        <w:t>be modified accordingly.</w:t>
      </w:r>
      <w:r>
        <w:rPr>
          <w:i/>
          <w:iCs/>
        </w:rPr>
        <w:t xml:space="preserve"> </w:t>
      </w:r>
    </w:p>
    <w:p w14:paraId="499D8F98" w14:textId="17405158" w:rsidR="00DE3FD6" w:rsidRDefault="00DE3FD6" w:rsidP="00354B06">
      <w:pPr>
        <w:pStyle w:val="H1G"/>
      </w:pPr>
      <w:r>
        <w:tab/>
      </w:r>
      <w:r>
        <w:tab/>
        <w:t xml:space="preserve">Corrections to the decision logics in document </w:t>
      </w:r>
      <w:r w:rsidRPr="00613D4C">
        <w:t>ST/SG/AC.10/C.4/2020/3</w:t>
      </w:r>
    </w:p>
    <w:p w14:paraId="197D5F0F" w14:textId="340BB8A1" w:rsidR="004B379B" w:rsidRPr="004B379B" w:rsidRDefault="004B379B" w:rsidP="004B379B">
      <w:r>
        <w:tab/>
      </w:r>
      <w:r>
        <w:tab/>
        <w:t>6.</w:t>
      </w:r>
      <w:r>
        <w:tab/>
        <w:t>The Sub-Committee is invited to consider the following corrections:</w:t>
      </w:r>
    </w:p>
    <w:p w14:paraId="0D1E0AB2" w14:textId="4F720745" w:rsidR="003C6B37" w:rsidRDefault="00872778" w:rsidP="00FC4A58">
      <w:pPr>
        <w:pStyle w:val="H23G"/>
      </w:pPr>
      <w:r>
        <w:tab/>
      </w:r>
      <w:r>
        <w:tab/>
      </w:r>
      <w:r w:rsidR="003C6B37">
        <w:tab/>
        <w:t>Decision logic 2.3.1 (c)</w:t>
      </w:r>
      <w:r w:rsidR="009F4961">
        <w:t xml:space="preserve"> </w:t>
      </w:r>
    </w:p>
    <w:p w14:paraId="548D164B" w14:textId="5AA96311" w:rsidR="003C6B37" w:rsidRDefault="00FC4A58" w:rsidP="003C6B37">
      <w:pPr>
        <w:pStyle w:val="SingleTxtG"/>
      </w:pPr>
      <w:r>
        <w:t>The correction does not apply to the English version.</w:t>
      </w:r>
    </w:p>
    <w:p w14:paraId="43D61AB2" w14:textId="30AAC433" w:rsidR="00565824" w:rsidRDefault="00565824" w:rsidP="00565824">
      <w:pPr>
        <w:pStyle w:val="H23G"/>
      </w:pPr>
      <w:r>
        <w:tab/>
      </w:r>
      <w:r>
        <w:tab/>
        <w:t>Decision logic 3.1.1</w:t>
      </w:r>
    </w:p>
    <w:p w14:paraId="58BE51D6" w14:textId="0450D01E" w:rsidR="00565824" w:rsidRDefault="00565824" w:rsidP="00FC4A58">
      <w:pPr>
        <w:pStyle w:val="SingleTxtG"/>
      </w:pPr>
      <w:r>
        <w:t>Delete the arrow from the first text box “Substance” to the box “mixture”.</w:t>
      </w:r>
      <w:r w:rsidR="003C6B37">
        <w:tab/>
      </w:r>
      <w:r w:rsidR="003C6B37">
        <w:tab/>
      </w:r>
    </w:p>
    <w:p w14:paraId="439D2DF6" w14:textId="2F53A2C9" w:rsidR="003C6B37" w:rsidRDefault="00565824" w:rsidP="003C6B37">
      <w:pPr>
        <w:pStyle w:val="H23G"/>
      </w:pPr>
      <w:r>
        <w:tab/>
      </w:r>
      <w:r>
        <w:tab/>
      </w:r>
      <w:r w:rsidR="003C6B37">
        <w:t>Decision logic 3.1.2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2982"/>
        <w:gridCol w:w="607"/>
        <w:gridCol w:w="3964"/>
      </w:tblGrid>
      <w:tr w:rsidR="003C6B37" w14:paraId="0F1DD134" w14:textId="77777777" w:rsidTr="004B75DA">
        <w:tc>
          <w:tcPr>
            <w:tcW w:w="567" w:type="dxa"/>
          </w:tcPr>
          <w:p w14:paraId="7FF913B9" w14:textId="77777777" w:rsidR="003C6B37" w:rsidRPr="009D3551" w:rsidRDefault="003C6B37" w:rsidP="004B75DA">
            <w:pPr>
              <w:rPr>
                <w:i/>
                <w:iCs/>
              </w:rPr>
            </w:pPr>
            <w:r w:rsidRPr="009D3551">
              <w:rPr>
                <w:i/>
                <w:iCs/>
              </w:rPr>
              <w:t>For</w:t>
            </w:r>
          </w:p>
        </w:tc>
        <w:tc>
          <w:tcPr>
            <w:tcW w:w="2982" w:type="dxa"/>
          </w:tcPr>
          <w:p w14:paraId="1176ACDA" w14:textId="77777777" w:rsidR="003C6B37" w:rsidRPr="002B7322" w:rsidRDefault="003C6B37" w:rsidP="004B75DA">
            <w:pPr>
              <w:pStyle w:val="SingleTxtG"/>
              <w:ind w:left="0"/>
              <w:rPr>
                <w:sz w:val="16"/>
                <w:szCs w:val="16"/>
              </w:rPr>
            </w:pPr>
            <w:r w:rsidRPr="002B7322">
              <w:rPr>
                <w:sz w:val="16"/>
                <w:szCs w:val="16"/>
              </w:rPr>
              <w:object w:dxaOrig="2776" w:dyaOrig="3046" w14:anchorId="491851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5pt;height:152.5pt" o:ole="">
                  <v:imagedata r:id="rId12" o:title=""/>
                </v:shape>
                <o:OLEObject Type="Embed" ProgID="Visio.Drawing.15" ShapeID="_x0000_i1025" DrawAspect="Content" ObjectID="_1658231441" r:id="rId13"/>
              </w:object>
            </w:r>
          </w:p>
        </w:tc>
        <w:tc>
          <w:tcPr>
            <w:tcW w:w="607" w:type="dxa"/>
          </w:tcPr>
          <w:p w14:paraId="10D1D86D" w14:textId="77777777" w:rsidR="003C6B37" w:rsidRPr="009D3551" w:rsidRDefault="003C6B37" w:rsidP="004B75DA">
            <w:pPr>
              <w:pStyle w:val="SingleTxtG"/>
              <w:ind w:left="0" w:right="0"/>
              <w:rPr>
                <w:i/>
                <w:iCs/>
              </w:rPr>
            </w:pPr>
            <w:r w:rsidRPr="009D3551">
              <w:rPr>
                <w:i/>
                <w:iCs/>
              </w:rPr>
              <w:t>read</w:t>
            </w:r>
          </w:p>
        </w:tc>
        <w:tc>
          <w:tcPr>
            <w:tcW w:w="3964" w:type="dxa"/>
          </w:tcPr>
          <w:p w14:paraId="5D688E09" w14:textId="77777777" w:rsidR="003C6B37" w:rsidRPr="002B7322" w:rsidRDefault="003C6B37" w:rsidP="004B75DA">
            <w:pPr>
              <w:pStyle w:val="SingleTxtG"/>
              <w:ind w:left="0"/>
              <w:rPr>
                <w:sz w:val="16"/>
                <w:szCs w:val="16"/>
              </w:rPr>
            </w:pPr>
            <w:r w:rsidRPr="002B7322">
              <w:rPr>
                <w:sz w:val="16"/>
                <w:szCs w:val="16"/>
              </w:rPr>
              <w:object w:dxaOrig="2776" w:dyaOrig="3046" w14:anchorId="44F84A9C">
                <v:shape id="_x0000_i1026" type="#_x0000_t75" style="width:138.5pt;height:152.5pt" o:ole="">
                  <v:imagedata r:id="rId14" o:title=""/>
                </v:shape>
                <o:OLEObject Type="Embed" ProgID="Visio.Drawing.15" ShapeID="_x0000_i1026" DrawAspect="Content" ObjectID="_1658231442" r:id="rId15"/>
              </w:object>
            </w:r>
          </w:p>
        </w:tc>
      </w:tr>
    </w:tbl>
    <w:p w14:paraId="0A69A739" w14:textId="27615B44" w:rsidR="009C3923" w:rsidRDefault="00023242" w:rsidP="009C3923">
      <w:pPr>
        <w:pStyle w:val="H23G"/>
      </w:pPr>
      <w:r>
        <w:tab/>
      </w:r>
      <w:r>
        <w:tab/>
      </w:r>
      <w:r w:rsidR="009C3923">
        <w:tab/>
        <w:t>Decision logic 3.4</w:t>
      </w:r>
      <w:r w:rsidR="000A3141">
        <w:t>.1</w:t>
      </w:r>
    </w:p>
    <w:p w14:paraId="00A2E7CD" w14:textId="77777777" w:rsidR="009C3923" w:rsidRPr="009C3923" w:rsidRDefault="009C3923" w:rsidP="009C3923"/>
    <w:tbl>
      <w:tblPr>
        <w:tblW w:w="868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3549"/>
        <w:gridCol w:w="607"/>
        <w:gridCol w:w="3964"/>
      </w:tblGrid>
      <w:tr w:rsidR="009C3923" w14:paraId="2AB0A9C0" w14:textId="77777777" w:rsidTr="00B46B83">
        <w:tc>
          <w:tcPr>
            <w:tcW w:w="567" w:type="dxa"/>
          </w:tcPr>
          <w:p w14:paraId="4F9B4C54" w14:textId="77777777" w:rsidR="009C3923" w:rsidRPr="009D3551" w:rsidRDefault="009C3923" w:rsidP="004B75DA">
            <w:pPr>
              <w:rPr>
                <w:i/>
                <w:iCs/>
              </w:rPr>
            </w:pPr>
            <w:r w:rsidRPr="009D3551">
              <w:rPr>
                <w:i/>
                <w:iCs/>
              </w:rPr>
              <w:t>For</w:t>
            </w:r>
          </w:p>
        </w:tc>
        <w:tc>
          <w:tcPr>
            <w:tcW w:w="3549" w:type="dxa"/>
          </w:tcPr>
          <w:p w14:paraId="13CC2130" w14:textId="0B9CACF0" w:rsidR="009C3923" w:rsidRDefault="00AF6291" w:rsidP="004B75DA">
            <w:pPr>
              <w:pStyle w:val="SingleTxtG"/>
              <w:ind w:left="0"/>
            </w:pPr>
            <w:r>
              <w:object w:dxaOrig="5236" w:dyaOrig="1891" w14:anchorId="0EBD8FE8">
                <v:shape id="_x0000_i1027" type="#_x0000_t75" style="width:166pt;height:60.5pt" o:ole="">
                  <v:imagedata r:id="rId16" o:title=""/>
                </v:shape>
                <o:OLEObject Type="Embed" ProgID="Visio.Drawing.15" ShapeID="_x0000_i1027" DrawAspect="Content" ObjectID="_1658231443" r:id="rId17"/>
              </w:object>
            </w:r>
          </w:p>
        </w:tc>
        <w:tc>
          <w:tcPr>
            <w:tcW w:w="607" w:type="dxa"/>
          </w:tcPr>
          <w:p w14:paraId="1921ECC8" w14:textId="77777777" w:rsidR="009C3923" w:rsidRPr="009D3551" w:rsidRDefault="009C3923" w:rsidP="004B75DA">
            <w:pPr>
              <w:pStyle w:val="SingleTxtG"/>
              <w:ind w:left="0" w:right="0"/>
              <w:rPr>
                <w:i/>
                <w:iCs/>
              </w:rPr>
            </w:pPr>
            <w:r w:rsidRPr="009D3551">
              <w:rPr>
                <w:i/>
                <w:iCs/>
              </w:rPr>
              <w:t>read</w:t>
            </w:r>
          </w:p>
        </w:tc>
        <w:tc>
          <w:tcPr>
            <w:tcW w:w="3964" w:type="dxa"/>
          </w:tcPr>
          <w:p w14:paraId="45856CED" w14:textId="782BA4C1" w:rsidR="009C3923" w:rsidRDefault="00A91C91" w:rsidP="004B75DA">
            <w:pPr>
              <w:pStyle w:val="SingleTxtG"/>
              <w:ind w:left="0"/>
            </w:pPr>
            <w:r>
              <w:object w:dxaOrig="5236" w:dyaOrig="1891" w14:anchorId="57C33DED">
                <v:shape id="_x0000_i1028" type="#_x0000_t75" style="width:166pt;height:60.5pt" o:ole="">
                  <v:imagedata r:id="rId18" o:title=""/>
                </v:shape>
                <o:OLEObject Type="Embed" ProgID="Visio.Drawing.15" ShapeID="_x0000_i1028" DrawAspect="Content" ObjectID="_1658231444" r:id="rId19"/>
              </w:object>
            </w:r>
          </w:p>
        </w:tc>
      </w:tr>
    </w:tbl>
    <w:p w14:paraId="2AB42508" w14:textId="79C28E03" w:rsidR="0046392A" w:rsidRDefault="0046392A" w:rsidP="004B379B">
      <w:pPr>
        <w:pStyle w:val="H23G"/>
      </w:pPr>
      <w:r>
        <w:lastRenderedPageBreak/>
        <w:tab/>
      </w:r>
      <w:r>
        <w:tab/>
      </w:r>
      <w:r>
        <w:tab/>
        <w:t>Decision logic 3.4</w:t>
      </w:r>
      <w:r w:rsidR="000A3141">
        <w:t>.2</w:t>
      </w:r>
    </w:p>
    <w:tbl>
      <w:tblPr>
        <w:tblW w:w="868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3549"/>
        <w:gridCol w:w="607"/>
        <w:gridCol w:w="3964"/>
      </w:tblGrid>
      <w:tr w:rsidR="0046392A" w14:paraId="65619146" w14:textId="77777777" w:rsidTr="004B75DA">
        <w:tc>
          <w:tcPr>
            <w:tcW w:w="567" w:type="dxa"/>
          </w:tcPr>
          <w:p w14:paraId="273B1525" w14:textId="77777777" w:rsidR="0046392A" w:rsidRPr="009D3551" w:rsidRDefault="0046392A" w:rsidP="004B379B">
            <w:pPr>
              <w:keepNext/>
              <w:keepLines/>
              <w:rPr>
                <w:i/>
                <w:iCs/>
              </w:rPr>
            </w:pPr>
            <w:bookmarkStart w:id="1" w:name="_GoBack"/>
            <w:bookmarkEnd w:id="1"/>
            <w:r w:rsidRPr="009D3551">
              <w:rPr>
                <w:i/>
                <w:iCs/>
              </w:rPr>
              <w:t>For</w:t>
            </w:r>
          </w:p>
        </w:tc>
        <w:tc>
          <w:tcPr>
            <w:tcW w:w="3549" w:type="dxa"/>
          </w:tcPr>
          <w:p w14:paraId="20A702B0" w14:textId="5FD0329B" w:rsidR="0046392A" w:rsidRDefault="00E5195E" w:rsidP="004B379B">
            <w:pPr>
              <w:pStyle w:val="SingleTxtG"/>
              <w:keepNext/>
              <w:keepLines/>
              <w:ind w:left="0"/>
            </w:pPr>
            <w:r>
              <w:object w:dxaOrig="5325" w:dyaOrig="1230" w14:anchorId="7D7B1EA6">
                <v:shape id="_x0000_i1029" type="#_x0000_t75" style="width:166pt;height:38pt" o:ole="">
                  <v:imagedata r:id="rId20" o:title=""/>
                </v:shape>
                <o:OLEObject Type="Embed" ProgID="Visio.Drawing.15" ShapeID="_x0000_i1029" DrawAspect="Content" ObjectID="_1658231445" r:id="rId21"/>
              </w:object>
            </w:r>
          </w:p>
        </w:tc>
        <w:tc>
          <w:tcPr>
            <w:tcW w:w="607" w:type="dxa"/>
          </w:tcPr>
          <w:p w14:paraId="421ED009" w14:textId="77777777" w:rsidR="0046392A" w:rsidRPr="009D3551" w:rsidRDefault="0046392A" w:rsidP="004B379B">
            <w:pPr>
              <w:pStyle w:val="SingleTxtG"/>
              <w:keepNext/>
              <w:keepLines/>
              <w:ind w:left="0" w:right="0"/>
              <w:rPr>
                <w:i/>
                <w:iCs/>
              </w:rPr>
            </w:pPr>
            <w:r w:rsidRPr="009D3551">
              <w:rPr>
                <w:i/>
                <w:iCs/>
              </w:rPr>
              <w:t>read</w:t>
            </w:r>
          </w:p>
        </w:tc>
        <w:tc>
          <w:tcPr>
            <w:tcW w:w="3964" w:type="dxa"/>
          </w:tcPr>
          <w:p w14:paraId="331FC8A8" w14:textId="563F346F" w:rsidR="0046392A" w:rsidRPr="00A26B90" w:rsidRDefault="008C1994" w:rsidP="004B379B">
            <w:pPr>
              <w:pStyle w:val="SingleTxtG"/>
              <w:keepNext/>
              <w:keepLines/>
              <w:ind w:left="0"/>
              <w:rPr>
                <w:sz w:val="16"/>
                <w:szCs w:val="16"/>
              </w:rPr>
            </w:pPr>
            <w:r>
              <w:object w:dxaOrig="5325" w:dyaOrig="1230" w14:anchorId="696EAF12">
                <v:shape id="_x0000_i1030" type="#_x0000_t75" style="width:166pt;height:38pt" o:ole="">
                  <v:imagedata r:id="rId22" o:title=""/>
                </v:shape>
                <o:OLEObject Type="Embed" ProgID="Visio.Drawing.15" ShapeID="_x0000_i1030" DrawAspect="Content" ObjectID="_1658231446" r:id="rId23"/>
              </w:object>
            </w:r>
          </w:p>
        </w:tc>
      </w:tr>
    </w:tbl>
    <w:p w14:paraId="38C99DC7" w14:textId="2F4A7AEA" w:rsidR="00E07313" w:rsidRDefault="007D598A" w:rsidP="004B379B">
      <w:pPr>
        <w:pStyle w:val="SingleTxtG"/>
        <w:keepNext/>
        <w:keepLines/>
      </w:pPr>
      <w:r>
        <w:tab/>
      </w:r>
      <w:r w:rsidR="00E07313">
        <w:t xml:space="preserve">The correction to </w:t>
      </w:r>
      <w:r w:rsidR="004514B8">
        <w:t>sub-paragraph (a) in the French version does not apply to the English version.</w:t>
      </w:r>
      <w:r>
        <w:tab/>
      </w:r>
    </w:p>
    <w:p w14:paraId="52448B8C" w14:textId="29B6B73B" w:rsidR="007D598A" w:rsidRDefault="00E07313" w:rsidP="007D598A">
      <w:pPr>
        <w:pStyle w:val="H23G"/>
      </w:pPr>
      <w:r>
        <w:tab/>
      </w:r>
      <w:r w:rsidR="007D598A">
        <w:tab/>
        <w:t>Decision logic 3.5.1</w:t>
      </w:r>
    </w:p>
    <w:p w14:paraId="0F036E37" w14:textId="0768D1E0" w:rsidR="008347F3" w:rsidRDefault="008347F3" w:rsidP="008347F3">
      <w:r>
        <w:tab/>
      </w:r>
      <w:r>
        <w:tab/>
      </w:r>
      <w:r w:rsidR="004A6A01">
        <w:t xml:space="preserve">In the </w:t>
      </w:r>
      <w:r w:rsidR="008D5208">
        <w:t>row coming down from the</w:t>
      </w:r>
      <w:r w:rsidR="00C33190">
        <w:t xml:space="preserve"> second </w:t>
      </w:r>
      <w:r w:rsidR="008D5208">
        <w:t>to the</w:t>
      </w:r>
      <w:r w:rsidR="00C33190">
        <w:t xml:space="preserve"> third text box, </w:t>
      </w:r>
      <w:r w:rsidR="00C33190" w:rsidRPr="000C0E9C">
        <w:rPr>
          <w:i/>
          <w:iCs/>
        </w:rPr>
        <w:t>replace</w:t>
      </w:r>
      <w:r w:rsidR="00C33190">
        <w:t xml:space="preserve"> Yes </w:t>
      </w:r>
      <w:r w:rsidR="00C33190" w:rsidRPr="00465777">
        <w:rPr>
          <w:i/>
          <w:iCs/>
        </w:rPr>
        <w:t>with</w:t>
      </w:r>
      <w:r w:rsidR="00C33190">
        <w:t xml:space="preserve"> </w:t>
      </w:r>
      <w:r w:rsidR="000C0E9C">
        <w:t>N</w:t>
      </w:r>
      <w:r w:rsidR="00C33190">
        <w:t>o</w:t>
      </w:r>
      <w:r w:rsidR="008951FD">
        <w:t>.</w:t>
      </w:r>
    </w:p>
    <w:p w14:paraId="43C02564" w14:textId="535E31BC" w:rsidR="00B046C7" w:rsidRDefault="00B046C7" w:rsidP="00B046C7">
      <w:pPr>
        <w:pStyle w:val="H23G"/>
      </w:pPr>
      <w:r>
        <w:tab/>
      </w:r>
      <w:r>
        <w:tab/>
      </w:r>
      <w:r>
        <w:tab/>
        <w:t>Decision logic 3.</w:t>
      </w:r>
      <w:r w:rsidR="008951FD">
        <w:t>8</w:t>
      </w:r>
      <w:r>
        <w:t>.1</w:t>
      </w:r>
    </w:p>
    <w:p w14:paraId="5FA6CA25" w14:textId="1ED4131A" w:rsidR="008951FD" w:rsidRDefault="008951FD" w:rsidP="008951FD">
      <w:pPr>
        <w:pStyle w:val="SingleTxtG"/>
      </w:pPr>
      <w:r w:rsidRPr="000C0E9C">
        <w:rPr>
          <w:i/>
          <w:iCs/>
        </w:rPr>
        <w:t>Replace</w:t>
      </w:r>
      <w:r>
        <w:t xml:space="preserve"> Classification impossible </w:t>
      </w:r>
      <w:r w:rsidRPr="000C0E9C">
        <w:rPr>
          <w:i/>
          <w:iCs/>
        </w:rPr>
        <w:t>with</w:t>
      </w:r>
      <w:r>
        <w:t xml:space="preserve"> Not classified.</w:t>
      </w:r>
    </w:p>
    <w:p w14:paraId="79768F38" w14:textId="2C9B2F30" w:rsidR="004528AF" w:rsidRDefault="004528AF" w:rsidP="004528AF">
      <w:pPr>
        <w:pStyle w:val="H23G"/>
      </w:pPr>
      <w:r>
        <w:tab/>
      </w:r>
      <w:r>
        <w:tab/>
      </w:r>
      <w:r>
        <w:tab/>
        <w:t xml:space="preserve">Decision logic </w:t>
      </w:r>
      <w:r w:rsidR="000C0E9C">
        <w:t>4.1.1</w:t>
      </w:r>
    </w:p>
    <w:p w14:paraId="586E0AA5" w14:textId="7F8BD508" w:rsidR="000C0E9C" w:rsidRDefault="001862EF" w:rsidP="000C0E9C">
      <w:pPr>
        <w:pStyle w:val="SingleTxtG"/>
      </w:pPr>
      <w:r>
        <w:t>In the decision logic for mixtures</w:t>
      </w:r>
      <w:r w:rsidR="004C6C7D">
        <w:t xml:space="preserve"> starting with “can bridging principles be applied?”</w:t>
      </w:r>
      <w:r>
        <w:t xml:space="preserve">, </w:t>
      </w:r>
      <w:r w:rsidR="0090794D">
        <w:t xml:space="preserve">in the horizontal arrow leading to </w:t>
      </w:r>
      <w:r w:rsidR="00ED6094">
        <w:t>“A</w:t>
      </w:r>
      <w:r w:rsidR="0090794D">
        <w:t>cute 1</w:t>
      </w:r>
      <w:r w:rsidR="00ED6094">
        <w:t>”</w:t>
      </w:r>
      <w:r w:rsidR="0090794D">
        <w:t xml:space="preserve"> classification </w:t>
      </w:r>
      <w:r w:rsidR="0090794D" w:rsidRPr="0090794D">
        <w:rPr>
          <w:i/>
          <w:iCs/>
        </w:rPr>
        <w:t>replace</w:t>
      </w:r>
      <w:r w:rsidR="0090794D">
        <w:t xml:space="preserve"> No </w:t>
      </w:r>
      <w:r w:rsidR="0090794D" w:rsidRPr="0090794D">
        <w:rPr>
          <w:i/>
          <w:iCs/>
        </w:rPr>
        <w:t>with</w:t>
      </w:r>
      <w:r w:rsidR="0090794D">
        <w:t xml:space="preserve"> Yes</w:t>
      </w:r>
      <w:r w:rsidR="004C6C7D">
        <w:t>.</w:t>
      </w:r>
    </w:p>
    <w:p w14:paraId="2A1CE0D7" w14:textId="69057C63" w:rsidR="004C6C7D" w:rsidRPr="003A664D" w:rsidRDefault="003A664D" w:rsidP="003A66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C1231" w14:textId="77777777" w:rsidR="004528AF" w:rsidRPr="008951FD" w:rsidRDefault="004528AF" w:rsidP="008951FD">
      <w:pPr>
        <w:pStyle w:val="SingleTxtG"/>
      </w:pPr>
    </w:p>
    <w:p w14:paraId="43B80339" w14:textId="77777777" w:rsidR="00C36C25" w:rsidRPr="00C36C25" w:rsidRDefault="00C36C25" w:rsidP="00C36C25"/>
    <w:p w14:paraId="4B48C1AD" w14:textId="63FD6323" w:rsidR="001021E0" w:rsidRDefault="001021E0" w:rsidP="00565824">
      <w:pPr>
        <w:pStyle w:val="H23G"/>
      </w:pPr>
    </w:p>
    <w:p w14:paraId="652247B0" w14:textId="77777777" w:rsidR="00565824" w:rsidRPr="001021E0" w:rsidRDefault="00565824" w:rsidP="00B156A5">
      <w:pPr>
        <w:pStyle w:val="SingleTxtG"/>
      </w:pPr>
    </w:p>
    <w:p w14:paraId="697DFD4B" w14:textId="14750C89" w:rsidR="00354B06" w:rsidRPr="00354B06" w:rsidRDefault="00354B06" w:rsidP="00872778">
      <w:pPr>
        <w:pStyle w:val="SingleTxtG"/>
      </w:pPr>
    </w:p>
    <w:p w14:paraId="21BC2329" w14:textId="77777777" w:rsidR="00DE3FD6" w:rsidRPr="00755044" w:rsidRDefault="00DE3FD6" w:rsidP="00755044">
      <w:pPr>
        <w:pStyle w:val="SingleTxtG"/>
      </w:pPr>
    </w:p>
    <w:sectPr w:rsidR="00DE3FD6" w:rsidRPr="00755044" w:rsidSect="00E0644E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6B8F" w14:textId="77777777" w:rsidR="00BF660D" w:rsidRPr="00C47B2E" w:rsidRDefault="00BF660D" w:rsidP="00C47B2E">
      <w:pPr>
        <w:pStyle w:val="Footer"/>
      </w:pPr>
    </w:p>
  </w:endnote>
  <w:endnote w:type="continuationSeparator" w:id="0">
    <w:p w14:paraId="3D866ACD" w14:textId="77777777" w:rsidR="00BF660D" w:rsidRPr="00C47B2E" w:rsidRDefault="00BF660D" w:rsidP="00C47B2E">
      <w:pPr>
        <w:pStyle w:val="Footer"/>
      </w:pPr>
    </w:p>
  </w:endnote>
  <w:endnote w:type="continuationNotice" w:id="1">
    <w:p w14:paraId="136F66B6" w14:textId="77777777" w:rsidR="00BF660D" w:rsidRPr="00C47B2E" w:rsidRDefault="00BF660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70A0" w14:textId="77777777" w:rsidR="00D94B05" w:rsidRPr="00E0644E" w:rsidRDefault="00E0644E" w:rsidP="00E0644E">
    <w:pPr>
      <w:pStyle w:val="Footer"/>
      <w:tabs>
        <w:tab w:val="right" w:pos="9598"/>
        <w:tab w:val="right" w:pos="9638"/>
      </w:tabs>
      <w:rPr>
        <w:sz w:val="18"/>
      </w:rPr>
    </w:pPr>
    <w:r w:rsidRPr="00E0644E">
      <w:rPr>
        <w:b/>
        <w:sz w:val="18"/>
      </w:rPr>
      <w:fldChar w:fldCharType="begin"/>
    </w:r>
    <w:r w:rsidRPr="00E0644E">
      <w:rPr>
        <w:b/>
        <w:sz w:val="18"/>
      </w:rPr>
      <w:instrText xml:space="preserve"> PAGE  \* MERGEFORMAT </w:instrText>
    </w:r>
    <w:r w:rsidRPr="00E0644E">
      <w:rPr>
        <w:b/>
        <w:sz w:val="18"/>
      </w:rPr>
      <w:fldChar w:fldCharType="separate"/>
    </w:r>
    <w:r w:rsidRPr="00E0644E">
      <w:rPr>
        <w:b/>
        <w:noProof/>
        <w:sz w:val="18"/>
      </w:rPr>
      <w:t>2</w:t>
    </w:r>
    <w:r w:rsidRPr="00E0644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A666" w14:textId="77777777" w:rsidR="00D94B05" w:rsidRPr="00565824" w:rsidRDefault="00E0644E" w:rsidP="00565824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565824">
      <w:rPr>
        <w:b/>
        <w:bCs/>
        <w:sz w:val="18"/>
      </w:rPr>
      <w:fldChar w:fldCharType="begin"/>
    </w:r>
    <w:r w:rsidRPr="00565824">
      <w:rPr>
        <w:b/>
        <w:bCs/>
        <w:sz w:val="18"/>
      </w:rPr>
      <w:instrText xml:space="preserve"> PAGE  \* MERGEFORMAT </w:instrText>
    </w:r>
    <w:r w:rsidRPr="00565824">
      <w:rPr>
        <w:b/>
        <w:bCs/>
        <w:sz w:val="18"/>
      </w:rPr>
      <w:fldChar w:fldCharType="separate"/>
    </w:r>
    <w:r w:rsidRPr="00565824">
      <w:rPr>
        <w:b/>
        <w:bCs/>
        <w:noProof/>
        <w:sz w:val="18"/>
      </w:rPr>
      <w:t>3</w:t>
    </w:r>
    <w:r w:rsidRPr="0056582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CEAC" w14:textId="77777777" w:rsidR="00D94B05" w:rsidRPr="00E0644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9812A9C" wp14:editId="5B4C7DEF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00EE" w14:textId="77777777" w:rsidR="00BF660D" w:rsidRPr="00C47B2E" w:rsidRDefault="00BF660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FA072EE" w14:textId="77777777" w:rsidR="00BF660D" w:rsidRPr="00C47B2E" w:rsidRDefault="00BF660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D028631" w14:textId="77777777" w:rsidR="00BF660D" w:rsidRPr="00C47B2E" w:rsidRDefault="00BF660D" w:rsidP="00C47B2E">
      <w:pPr>
        <w:pStyle w:val="Footer"/>
      </w:pPr>
    </w:p>
  </w:footnote>
  <w:footnote w:id="2">
    <w:p w14:paraId="1000C8AD" w14:textId="77777777" w:rsidR="004D59D3" w:rsidRDefault="004D59D3" w:rsidP="004D59D3">
      <w:pPr>
        <w:pStyle w:val="FootnoteText"/>
        <w:rPr>
          <w:lang w:val="fr-CH"/>
        </w:rPr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3FF2" w14:textId="738B806B" w:rsidR="00E0644E" w:rsidRPr="00E0644E" w:rsidRDefault="00DE3A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ST/SG/AC.10/C.4/2020/3/Add.1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4991" w14:textId="75EE9E34" w:rsidR="00D94B05" w:rsidRPr="00E0644E" w:rsidRDefault="00DE3A12" w:rsidP="00E064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ST/SG/AC.10/C.4/2020/3/Add.1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4E"/>
    <w:rsid w:val="00023242"/>
    <w:rsid w:val="00033991"/>
    <w:rsid w:val="00046E92"/>
    <w:rsid w:val="00061195"/>
    <w:rsid w:val="00063074"/>
    <w:rsid w:val="00063C90"/>
    <w:rsid w:val="0007193F"/>
    <w:rsid w:val="000843C4"/>
    <w:rsid w:val="000A3141"/>
    <w:rsid w:val="000A638C"/>
    <w:rsid w:val="000B082E"/>
    <w:rsid w:val="000C0E9C"/>
    <w:rsid w:val="000C2A0C"/>
    <w:rsid w:val="000E657B"/>
    <w:rsid w:val="00101B98"/>
    <w:rsid w:val="001021E0"/>
    <w:rsid w:val="001116BC"/>
    <w:rsid w:val="00111ABD"/>
    <w:rsid w:val="00137D8F"/>
    <w:rsid w:val="001415F0"/>
    <w:rsid w:val="001514D1"/>
    <w:rsid w:val="001862EF"/>
    <w:rsid w:val="001A3BCD"/>
    <w:rsid w:val="001C2A9B"/>
    <w:rsid w:val="001D7B9A"/>
    <w:rsid w:val="001E51A6"/>
    <w:rsid w:val="00225D90"/>
    <w:rsid w:val="00247E2C"/>
    <w:rsid w:val="002652BF"/>
    <w:rsid w:val="002909FB"/>
    <w:rsid w:val="002A32CB"/>
    <w:rsid w:val="002B7322"/>
    <w:rsid w:val="002D5B2C"/>
    <w:rsid w:val="002D6C53"/>
    <w:rsid w:val="002F1CB8"/>
    <w:rsid w:val="002F5595"/>
    <w:rsid w:val="00321EEC"/>
    <w:rsid w:val="00322BF9"/>
    <w:rsid w:val="00334F6A"/>
    <w:rsid w:val="00342AC8"/>
    <w:rsid w:val="00343302"/>
    <w:rsid w:val="00354B06"/>
    <w:rsid w:val="00361EA3"/>
    <w:rsid w:val="0036260C"/>
    <w:rsid w:val="00395DAB"/>
    <w:rsid w:val="003979DE"/>
    <w:rsid w:val="003A17E4"/>
    <w:rsid w:val="003A1FEB"/>
    <w:rsid w:val="003A664D"/>
    <w:rsid w:val="003B4550"/>
    <w:rsid w:val="003C49F5"/>
    <w:rsid w:val="003C6B37"/>
    <w:rsid w:val="003D2A18"/>
    <w:rsid w:val="003F0D51"/>
    <w:rsid w:val="004113D1"/>
    <w:rsid w:val="00413386"/>
    <w:rsid w:val="00414780"/>
    <w:rsid w:val="004312B1"/>
    <w:rsid w:val="004339DD"/>
    <w:rsid w:val="004343BC"/>
    <w:rsid w:val="00444DF9"/>
    <w:rsid w:val="004514B8"/>
    <w:rsid w:val="004528AF"/>
    <w:rsid w:val="00461253"/>
    <w:rsid w:val="00462858"/>
    <w:rsid w:val="0046392A"/>
    <w:rsid w:val="00465777"/>
    <w:rsid w:val="004858F5"/>
    <w:rsid w:val="004A2814"/>
    <w:rsid w:val="004A6A01"/>
    <w:rsid w:val="004B379B"/>
    <w:rsid w:val="004B751A"/>
    <w:rsid w:val="004C0622"/>
    <w:rsid w:val="004C6C7D"/>
    <w:rsid w:val="004D347A"/>
    <w:rsid w:val="004D59D3"/>
    <w:rsid w:val="004F7538"/>
    <w:rsid w:val="0050233E"/>
    <w:rsid w:val="005042C2"/>
    <w:rsid w:val="00506F45"/>
    <w:rsid w:val="00552620"/>
    <w:rsid w:val="00563F99"/>
    <w:rsid w:val="00565824"/>
    <w:rsid w:val="00580FCB"/>
    <w:rsid w:val="005B0BFF"/>
    <w:rsid w:val="005B55A5"/>
    <w:rsid w:val="005E716E"/>
    <w:rsid w:val="00603ABD"/>
    <w:rsid w:val="00613D4C"/>
    <w:rsid w:val="00625BE8"/>
    <w:rsid w:val="00626852"/>
    <w:rsid w:val="00636D26"/>
    <w:rsid w:val="006476E1"/>
    <w:rsid w:val="006604DF"/>
    <w:rsid w:val="00664720"/>
    <w:rsid w:val="00671529"/>
    <w:rsid w:val="0067440B"/>
    <w:rsid w:val="0068454F"/>
    <w:rsid w:val="006C2C00"/>
    <w:rsid w:val="006F6436"/>
    <w:rsid w:val="0070489D"/>
    <w:rsid w:val="007146CE"/>
    <w:rsid w:val="007268F9"/>
    <w:rsid w:val="00750282"/>
    <w:rsid w:val="00750568"/>
    <w:rsid w:val="00755044"/>
    <w:rsid w:val="00764440"/>
    <w:rsid w:val="0077101B"/>
    <w:rsid w:val="007C52B0"/>
    <w:rsid w:val="007C5C70"/>
    <w:rsid w:val="007C6033"/>
    <w:rsid w:val="007C6863"/>
    <w:rsid w:val="007D598A"/>
    <w:rsid w:val="007F2CA5"/>
    <w:rsid w:val="007F413A"/>
    <w:rsid w:val="008147C8"/>
    <w:rsid w:val="0081753A"/>
    <w:rsid w:val="008270B7"/>
    <w:rsid w:val="008347F3"/>
    <w:rsid w:val="00850485"/>
    <w:rsid w:val="00854E2B"/>
    <w:rsid w:val="008555EA"/>
    <w:rsid w:val="00857D23"/>
    <w:rsid w:val="00863070"/>
    <w:rsid w:val="00872778"/>
    <w:rsid w:val="00880989"/>
    <w:rsid w:val="00887EA5"/>
    <w:rsid w:val="008951FD"/>
    <w:rsid w:val="008C1994"/>
    <w:rsid w:val="008D4F1A"/>
    <w:rsid w:val="008D5208"/>
    <w:rsid w:val="008D5A7D"/>
    <w:rsid w:val="0090794D"/>
    <w:rsid w:val="0092034F"/>
    <w:rsid w:val="00933D1F"/>
    <w:rsid w:val="009411B4"/>
    <w:rsid w:val="00946F1D"/>
    <w:rsid w:val="00947BE0"/>
    <w:rsid w:val="009A7294"/>
    <w:rsid w:val="009C283B"/>
    <w:rsid w:val="009C3923"/>
    <w:rsid w:val="009C42AA"/>
    <w:rsid w:val="009D0139"/>
    <w:rsid w:val="009D717D"/>
    <w:rsid w:val="009F4961"/>
    <w:rsid w:val="009F5CDC"/>
    <w:rsid w:val="009F5ED8"/>
    <w:rsid w:val="00A072D7"/>
    <w:rsid w:val="00A1283D"/>
    <w:rsid w:val="00A26B90"/>
    <w:rsid w:val="00A50B82"/>
    <w:rsid w:val="00A73AFE"/>
    <w:rsid w:val="00A775CF"/>
    <w:rsid w:val="00A840A8"/>
    <w:rsid w:val="00A91C91"/>
    <w:rsid w:val="00AD1A9C"/>
    <w:rsid w:val="00AF1457"/>
    <w:rsid w:val="00AF2CED"/>
    <w:rsid w:val="00AF5DE1"/>
    <w:rsid w:val="00AF6291"/>
    <w:rsid w:val="00B046C7"/>
    <w:rsid w:val="00B06045"/>
    <w:rsid w:val="00B156A5"/>
    <w:rsid w:val="00B206DD"/>
    <w:rsid w:val="00B231A1"/>
    <w:rsid w:val="00B24366"/>
    <w:rsid w:val="00B46B83"/>
    <w:rsid w:val="00B52EF4"/>
    <w:rsid w:val="00B71916"/>
    <w:rsid w:val="00B75346"/>
    <w:rsid w:val="00B777AD"/>
    <w:rsid w:val="00BF2F64"/>
    <w:rsid w:val="00BF660D"/>
    <w:rsid w:val="00C03015"/>
    <w:rsid w:val="00C0358D"/>
    <w:rsid w:val="00C33190"/>
    <w:rsid w:val="00C35A27"/>
    <w:rsid w:val="00C36C25"/>
    <w:rsid w:val="00C47B2E"/>
    <w:rsid w:val="00CA312D"/>
    <w:rsid w:val="00CA5AD0"/>
    <w:rsid w:val="00CB25A9"/>
    <w:rsid w:val="00CC7569"/>
    <w:rsid w:val="00CF03BE"/>
    <w:rsid w:val="00CF629A"/>
    <w:rsid w:val="00D202C6"/>
    <w:rsid w:val="00D3482D"/>
    <w:rsid w:val="00D515CF"/>
    <w:rsid w:val="00D63CD2"/>
    <w:rsid w:val="00D87DC2"/>
    <w:rsid w:val="00D94B05"/>
    <w:rsid w:val="00DA6E5D"/>
    <w:rsid w:val="00DE3A12"/>
    <w:rsid w:val="00DE3FD6"/>
    <w:rsid w:val="00E02C2B"/>
    <w:rsid w:val="00E0644E"/>
    <w:rsid w:val="00E07313"/>
    <w:rsid w:val="00E21C27"/>
    <w:rsid w:val="00E22166"/>
    <w:rsid w:val="00E2324D"/>
    <w:rsid w:val="00E26BCF"/>
    <w:rsid w:val="00E31F5B"/>
    <w:rsid w:val="00E42AD8"/>
    <w:rsid w:val="00E5195E"/>
    <w:rsid w:val="00E52109"/>
    <w:rsid w:val="00E62528"/>
    <w:rsid w:val="00E75317"/>
    <w:rsid w:val="00E83185"/>
    <w:rsid w:val="00E91790"/>
    <w:rsid w:val="00EC0CE6"/>
    <w:rsid w:val="00EC7C1D"/>
    <w:rsid w:val="00ED6094"/>
    <w:rsid w:val="00ED6C48"/>
    <w:rsid w:val="00EE3045"/>
    <w:rsid w:val="00EE3E41"/>
    <w:rsid w:val="00EE4564"/>
    <w:rsid w:val="00F030BC"/>
    <w:rsid w:val="00F04A54"/>
    <w:rsid w:val="00F24F51"/>
    <w:rsid w:val="00F6209B"/>
    <w:rsid w:val="00F65F5D"/>
    <w:rsid w:val="00F721F2"/>
    <w:rsid w:val="00F81DC9"/>
    <w:rsid w:val="00F81F41"/>
    <w:rsid w:val="00F84386"/>
    <w:rsid w:val="00F86A3A"/>
    <w:rsid w:val="00FA1F80"/>
    <w:rsid w:val="00FB3A9F"/>
    <w:rsid w:val="00FC4A58"/>
    <w:rsid w:val="00FC75F7"/>
    <w:rsid w:val="00FC760C"/>
    <w:rsid w:val="00FD4043"/>
    <w:rsid w:val="00FE1F6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881CCF"/>
  <w15:docId w15:val="{3D6469FB-D81B-4788-A03C-1B8EED24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4D59D3"/>
    <w:rPr>
      <w:b/>
      <w:sz w:val="28"/>
    </w:rPr>
  </w:style>
  <w:style w:type="character" w:customStyle="1" w:styleId="SingleTxtGChar">
    <w:name w:val="_ Single Txt_G Char"/>
    <w:link w:val="SingleTxtG"/>
    <w:qFormat/>
    <w:rsid w:val="003C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5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Visio_Drawing4.vsdx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Drawing2.vsdx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1.vsdx"/><Relationship Id="rId23" Type="http://schemas.openxmlformats.org/officeDocument/2006/relationships/package" Target="embeddings/Microsoft_Visio_Drawing5.vsdx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package" Target="embeddings/Microsoft_Visio_Drawing3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35625EDE924B8C759341E8045347" ma:contentTypeVersion="12" ma:contentTypeDescription="Create a new document." ma:contentTypeScope="" ma:versionID="0f60b8e6f01bd8eae64a5fd45f15d656">
  <xsd:schema xmlns:xsd="http://www.w3.org/2001/XMLSchema" xmlns:xs="http://www.w3.org/2001/XMLSchema" xmlns:p="http://schemas.microsoft.com/office/2006/metadata/properties" xmlns:ns3="216f5fd1-64b5-46a6-a50d-1afd4873157f" xmlns:ns4="31eeb98e-90e3-4d81-af45-df7da42028c0" targetNamespace="http://schemas.microsoft.com/office/2006/metadata/properties" ma:root="true" ma:fieldsID="c2890154fa039ec812c7bd0c2c04e4f1" ns3:_="" ns4:_="">
    <xsd:import namespace="216f5fd1-64b5-46a6-a50d-1afd4873157f"/>
    <xsd:import namespace="31eeb98e-90e3-4d81-af45-df7da4202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5fd1-64b5-46a6-a50d-1afd4873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b98e-90e3-4d81-af45-df7da4202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D358-B438-4C30-898D-7CA8EDC7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5fd1-64b5-46a6-a50d-1afd4873157f"/>
    <ds:schemaRef ds:uri="31eeb98e-90e3-4d81-af45-df7da420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651EE-A8F7-488E-9996-C0A6FF6CD2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6f5fd1-64b5-46a6-a50d-1afd4873157f"/>
    <ds:schemaRef ds:uri="http://purl.org/dc/terms/"/>
    <ds:schemaRef ds:uri="http://schemas.openxmlformats.org/package/2006/metadata/core-properties"/>
    <ds:schemaRef ds:uri="31eeb98e-90e3-4d81-af45-df7da42028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FD2842-B7C7-43AF-A90E-9E9CCE6F9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C49DE-46FC-4CF8-82CB-10A7657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416</TotalTime>
  <Pages>3</Pages>
  <Words>479</Words>
  <Characters>2673</Characters>
  <Application>Microsoft Office Word</Application>
  <DocSecurity>0</DocSecurity>
  <Lines>86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ST/SG/AC.10/C.4/2020/3/Add.1</vt:lpstr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ST/SG/AC.10/C.4/2020/3/Add.1</dc:title>
  <dc:subject/>
  <dc:creator>Rosa</dc:creator>
  <cp:lastModifiedBy>Laurence Berthet</cp:lastModifiedBy>
  <cp:revision>170</cp:revision>
  <cp:lastPrinted>2020-08-06T13:04:00Z</cp:lastPrinted>
  <dcterms:created xsi:type="dcterms:W3CDTF">2020-07-23T10:08:00Z</dcterms:created>
  <dcterms:modified xsi:type="dcterms:W3CDTF">2020-08-06T13:04:00Z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0x0101000E6135625EDE924B8C759341E8045347</vt:lpwstr>
  </property>
</Properties>
</file>