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75EFF2F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1E2A73" w14:textId="77777777" w:rsidR="00132EA9" w:rsidRPr="00DB58B5" w:rsidRDefault="00132EA9" w:rsidP="0023080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4F3AC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8FDBCC" w14:textId="77777777" w:rsidR="00132EA9" w:rsidRPr="00DB58B5" w:rsidRDefault="0023080B" w:rsidP="0023080B">
            <w:pPr>
              <w:jc w:val="right"/>
            </w:pPr>
            <w:r w:rsidRPr="0023080B">
              <w:rPr>
                <w:sz w:val="40"/>
              </w:rPr>
              <w:t>ST</w:t>
            </w:r>
            <w:r>
              <w:t>/SG/AC.10/C.4/2020/2</w:t>
            </w:r>
          </w:p>
        </w:tc>
      </w:tr>
      <w:tr w:rsidR="00132EA9" w:rsidRPr="00DB58B5" w14:paraId="3C2B7FC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48EBC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49362D7" wp14:editId="4543A98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895F66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1D9170" w14:textId="77777777" w:rsidR="00132EA9" w:rsidRDefault="0023080B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361572B" w14:textId="77777777" w:rsidR="0023080B" w:rsidRDefault="0023080B" w:rsidP="0023080B">
            <w:pPr>
              <w:spacing w:line="240" w:lineRule="exact"/>
            </w:pPr>
            <w:r>
              <w:t>19 mars 2020</w:t>
            </w:r>
          </w:p>
          <w:p w14:paraId="7859F298" w14:textId="77777777" w:rsidR="0023080B" w:rsidRDefault="0023080B" w:rsidP="0023080B">
            <w:pPr>
              <w:spacing w:line="240" w:lineRule="exact"/>
            </w:pPr>
            <w:r>
              <w:t>Français</w:t>
            </w:r>
          </w:p>
          <w:p w14:paraId="2DBCB9AA" w14:textId="77777777" w:rsidR="0023080B" w:rsidRPr="00DB58B5" w:rsidRDefault="0023080B" w:rsidP="0023080B">
            <w:pPr>
              <w:spacing w:line="240" w:lineRule="exact"/>
            </w:pPr>
            <w:r>
              <w:t>Original : anglais</w:t>
            </w:r>
          </w:p>
        </w:tc>
      </w:tr>
    </w:tbl>
    <w:p w14:paraId="6BD0F683" w14:textId="77777777" w:rsidR="0023080B" w:rsidRPr="00CA0680" w:rsidRDefault="0023080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4A8DF2E7" w14:textId="77777777" w:rsidR="0023080B" w:rsidRPr="00CA0680" w:rsidRDefault="0023080B" w:rsidP="0023080B">
      <w:pPr>
        <w:spacing w:before="120" w:after="120"/>
        <w:rPr>
          <w:b/>
        </w:rPr>
      </w:pPr>
      <w:r w:rsidRPr="0023080B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23080B">
        <w:rPr>
          <w:b/>
          <w:bCs/>
          <w:lang w:val="fr-FR"/>
        </w:rPr>
        <w:t xml:space="preserve">experts du Système général harmonisé de classification </w:t>
      </w:r>
      <w:r>
        <w:rPr>
          <w:b/>
          <w:bCs/>
          <w:lang w:val="fr-FR"/>
        </w:rPr>
        <w:br/>
      </w:r>
      <w:r w:rsidRPr="0023080B">
        <w:rPr>
          <w:b/>
          <w:bCs/>
          <w:lang w:val="fr-FR"/>
        </w:rPr>
        <w:t>et d</w:t>
      </w:r>
      <w:r>
        <w:rPr>
          <w:b/>
          <w:bCs/>
          <w:lang w:val="fr-FR"/>
        </w:rPr>
        <w:t>’</w:t>
      </w:r>
      <w:r w:rsidRPr="0023080B">
        <w:rPr>
          <w:b/>
          <w:bCs/>
          <w:lang w:val="fr-FR"/>
        </w:rPr>
        <w:t>étiquetage des produits chimiques</w:t>
      </w:r>
    </w:p>
    <w:p w14:paraId="42AC76BD" w14:textId="77777777" w:rsidR="0023080B" w:rsidRPr="0023080B" w:rsidRDefault="0023080B" w:rsidP="0023080B">
      <w:pPr>
        <w:rPr>
          <w:b/>
        </w:rPr>
      </w:pPr>
      <w:bookmarkStart w:id="1" w:name="_Hlk35441056"/>
      <w:r w:rsidRPr="0023080B">
        <w:rPr>
          <w:b/>
          <w:bCs/>
          <w:lang w:val="fr-FR"/>
        </w:rPr>
        <w:t>Trente-neuvième session</w:t>
      </w:r>
    </w:p>
    <w:bookmarkEnd w:id="1"/>
    <w:p w14:paraId="6D53FCEF" w14:textId="77777777" w:rsidR="0023080B" w:rsidRPr="0023080B" w:rsidRDefault="0023080B" w:rsidP="0023080B">
      <w:r w:rsidRPr="0023080B">
        <w:rPr>
          <w:lang w:val="fr-FR"/>
        </w:rPr>
        <w:t xml:space="preserve">Genève, 8-10 juillet 2020 </w:t>
      </w:r>
    </w:p>
    <w:p w14:paraId="4A1B5994" w14:textId="77777777" w:rsidR="0023080B" w:rsidRPr="0023080B" w:rsidRDefault="0023080B" w:rsidP="0023080B">
      <w:r w:rsidRPr="0023080B">
        <w:rPr>
          <w:lang w:val="fr-FR"/>
        </w:rPr>
        <w:t>Point 7 de l</w:t>
      </w:r>
      <w:r>
        <w:rPr>
          <w:lang w:val="fr-FR"/>
        </w:rPr>
        <w:t>’</w:t>
      </w:r>
      <w:r w:rsidRPr="0023080B">
        <w:rPr>
          <w:lang w:val="fr-FR"/>
        </w:rPr>
        <w:t>ordre du jour provisoire</w:t>
      </w:r>
    </w:p>
    <w:p w14:paraId="16486D3E" w14:textId="77777777" w:rsidR="0023080B" w:rsidRPr="0023080B" w:rsidRDefault="0023080B" w:rsidP="0023080B">
      <w:pPr>
        <w:rPr>
          <w:b/>
          <w:bCs/>
        </w:rPr>
      </w:pPr>
      <w:r w:rsidRPr="0023080B">
        <w:rPr>
          <w:b/>
          <w:bCs/>
          <w:lang w:val="fr-FR"/>
        </w:rPr>
        <w:t>Questions diverses</w:t>
      </w:r>
    </w:p>
    <w:p w14:paraId="73939B44" w14:textId="77777777" w:rsidR="0023080B" w:rsidRPr="0023080B" w:rsidRDefault="0023080B" w:rsidP="0023080B">
      <w:pPr>
        <w:pStyle w:val="HChG"/>
      </w:pPr>
      <w:r w:rsidRPr="0023080B">
        <w:rPr>
          <w:lang w:val="fr-FR"/>
        </w:rPr>
        <w:tab/>
      </w:r>
      <w:r w:rsidRPr="0023080B">
        <w:rPr>
          <w:lang w:val="fr-FR"/>
        </w:rPr>
        <w:tab/>
        <w:t xml:space="preserve">Définitions et utilisation de sigles, acronymes et abréviations </w:t>
      </w:r>
      <w:proofErr w:type="gramStart"/>
      <w:r w:rsidRPr="0023080B">
        <w:rPr>
          <w:lang w:val="fr-FR"/>
        </w:rPr>
        <w:t>dans</w:t>
      </w:r>
      <w:proofErr w:type="gramEnd"/>
      <w:r w:rsidRPr="0023080B">
        <w:rPr>
          <w:lang w:val="fr-FR"/>
        </w:rPr>
        <w:t xml:space="preserve"> le SGH</w:t>
      </w:r>
    </w:p>
    <w:p w14:paraId="00B8854E" w14:textId="77777777" w:rsidR="0023080B" w:rsidRPr="0023080B" w:rsidRDefault="0023080B" w:rsidP="0023080B">
      <w:pPr>
        <w:pStyle w:val="H1G"/>
      </w:pPr>
      <w:r w:rsidRPr="0023080B">
        <w:rPr>
          <w:lang w:val="fr-FR"/>
        </w:rPr>
        <w:tab/>
      </w:r>
      <w:r w:rsidRPr="0023080B">
        <w:rPr>
          <w:lang w:val="fr-FR"/>
        </w:rPr>
        <w:tab/>
        <w:t>Note du secrétariat</w:t>
      </w:r>
      <w:r w:rsidRPr="0023080B">
        <w:rPr>
          <w:b w:val="0"/>
          <w:sz w:val="20"/>
          <w:lang w:val="fr-FR"/>
        </w:rPr>
        <w:footnoteReference w:customMarkFollows="1" w:id="2"/>
        <w:t>*</w:t>
      </w:r>
    </w:p>
    <w:p w14:paraId="41DEAFB7" w14:textId="77777777" w:rsidR="0023080B" w:rsidRPr="0023080B" w:rsidRDefault="0023080B" w:rsidP="0023080B">
      <w:pPr>
        <w:pStyle w:val="HChG"/>
      </w:pPr>
      <w:r w:rsidRPr="0023080B">
        <w:rPr>
          <w:lang w:val="fr-FR"/>
        </w:rPr>
        <w:tab/>
      </w:r>
      <w:r w:rsidRPr="0023080B">
        <w:rPr>
          <w:lang w:val="fr-FR"/>
        </w:rPr>
        <w:tab/>
        <w:t>Contexte</w:t>
      </w:r>
    </w:p>
    <w:p w14:paraId="1707EA08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1.</w:t>
      </w:r>
      <w:r w:rsidRPr="0023080B">
        <w:rPr>
          <w:lang w:val="fr-FR"/>
        </w:rPr>
        <w:tab/>
        <w:t>À sa trente-huitième session, le Sous-Comité a examiné la proposition figurant dans le document informel INF.8, qui a trait aux définitions du chapitre 2.1 et à l</w:t>
      </w:r>
      <w:r>
        <w:rPr>
          <w:lang w:val="fr-FR"/>
        </w:rPr>
        <w:t>’</w:t>
      </w:r>
      <w:r w:rsidRPr="0023080B">
        <w:rPr>
          <w:lang w:val="fr-FR"/>
        </w:rPr>
        <w:t xml:space="preserve">utilisation des sigles, acronymes et abréviations dans le SGH. </w:t>
      </w:r>
    </w:p>
    <w:p w14:paraId="25A9FF16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2.</w:t>
      </w:r>
      <w:r w:rsidRPr="0023080B">
        <w:rPr>
          <w:lang w:val="fr-FR"/>
        </w:rPr>
        <w:tab/>
        <w:t>Après une brève discussion, le Sous-Comité a invité le secrétariat à soumettre un document officiel portant sur la proposition contenue dans le document informel INF.8. Sur proposition de certains experts, le secrétariat a été invité à prévoir également la possibilité de supprimer les définitions actuelles des dangers physiques au chapitre 1.2. (</w:t>
      </w:r>
      <w:proofErr w:type="gramStart"/>
      <w:r w:rsidRPr="0023080B">
        <w:rPr>
          <w:lang w:val="fr-FR"/>
        </w:rPr>
        <w:t>voir</w:t>
      </w:r>
      <w:proofErr w:type="gramEnd"/>
      <w:r w:rsidRPr="0023080B">
        <w:rPr>
          <w:lang w:val="fr-FR"/>
        </w:rPr>
        <w:t xml:space="preserve"> le rapport du Sous-Comité sur sa trente-huitième session (ST/SG/AC.10/C.4/76, par. 57). Cependant, après de nouvelles consultations entre le secrétariat et les experts favorables à cette solution, il a été convenu que la deuxième proposition serait soumise au Sous-Comité dans un document distinct, afin qu</w:t>
      </w:r>
      <w:r>
        <w:rPr>
          <w:lang w:val="fr-FR"/>
        </w:rPr>
        <w:t>’</w:t>
      </w:r>
      <w:r w:rsidRPr="0023080B">
        <w:rPr>
          <w:lang w:val="fr-FR"/>
        </w:rPr>
        <w:t>il l</w:t>
      </w:r>
      <w:r>
        <w:rPr>
          <w:lang w:val="fr-FR"/>
        </w:rPr>
        <w:t>’</w:t>
      </w:r>
      <w:r w:rsidRPr="0023080B">
        <w:rPr>
          <w:lang w:val="fr-FR"/>
        </w:rPr>
        <w:t>examine à sa trente-neuvième session.</w:t>
      </w:r>
      <w:bookmarkStart w:id="2" w:name="_Hlk34393341"/>
      <w:bookmarkEnd w:id="2"/>
    </w:p>
    <w:p w14:paraId="05ABC217" w14:textId="77777777" w:rsidR="0023080B" w:rsidRPr="0023080B" w:rsidRDefault="0023080B" w:rsidP="0023080B">
      <w:pPr>
        <w:pStyle w:val="HChG"/>
      </w:pPr>
      <w:r w:rsidRPr="0023080B">
        <w:rPr>
          <w:lang w:val="fr-FR"/>
        </w:rPr>
        <w:tab/>
      </w:r>
      <w:r w:rsidRPr="0023080B">
        <w:rPr>
          <w:lang w:val="fr-FR"/>
        </w:rPr>
        <w:tab/>
        <w:t>Introduction</w:t>
      </w:r>
    </w:p>
    <w:p w14:paraId="2941B0B1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3.</w:t>
      </w:r>
      <w:r w:rsidRPr="0023080B">
        <w:rPr>
          <w:lang w:val="fr-FR"/>
        </w:rPr>
        <w:tab/>
        <w:t xml:space="preserve">On trouve dans le chapitre 1.2 une liste des définitions, sigles, acronymes et abréviations utilisés dans le SGH. Les nouvelles définitions, sigles, acronymes ou abréviations devraient être systématiquement ajoutés à cette liste. </w:t>
      </w:r>
    </w:p>
    <w:p w14:paraId="582442F4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4.</w:t>
      </w:r>
      <w:r w:rsidRPr="0023080B">
        <w:rPr>
          <w:lang w:val="fr-FR"/>
        </w:rPr>
        <w:tab/>
        <w:t>Afin d</w:t>
      </w:r>
      <w:r>
        <w:rPr>
          <w:lang w:val="fr-FR"/>
        </w:rPr>
        <w:t>’</w:t>
      </w:r>
      <w:r w:rsidRPr="0023080B">
        <w:rPr>
          <w:lang w:val="fr-FR"/>
        </w:rPr>
        <w:t>assurer une approche cohérente de l</w:t>
      </w:r>
      <w:r>
        <w:rPr>
          <w:lang w:val="fr-FR"/>
        </w:rPr>
        <w:t>’</w:t>
      </w:r>
      <w:r w:rsidRPr="0023080B">
        <w:rPr>
          <w:lang w:val="fr-FR"/>
        </w:rPr>
        <w:t>utilisation des sigles, acronymes, abréviations et définitions, le secrétariat invite le Sous-Comité à examiner les propositions ci-après. Elles visent à</w:t>
      </w:r>
      <w:r>
        <w:rPr>
          <w:lang w:val="fr-FR"/>
        </w:rPr>
        <w:t> </w:t>
      </w:r>
      <w:r w:rsidRPr="0023080B">
        <w:rPr>
          <w:lang w:val="fr-FR"/>
        </w:rPr>
        <w:t>:</w:t>
      </w:r>
    </w:p>
    <w:p w14:paraId="02295D84" w14:textId="77777777" w:rsidR="0023080B" w:rsidRPr="0023080B" w:rsidRDefault="0023080B" w:rsidP="0023080B">
      <w:pPr>
        <w:pStyle w:val="SingleTxtG"/>
      </w:pPr>
      <w:r>
        <w:rPr>
          <w:lang w:val="fr-FR"/>
        </w:rPr>
        <w:lastRenderedPageBreak/>
        <w:tab/>
      </w:r>
      <w:r w:rsidRPr="0023080B">
        <w:rPr>
          <w:lang w:val="fr-FR"/>
        </w:rPr>
        <w:t>a)</w:t>
      </w:r>
      <w:r w:rsidRPr="0023080B">
        <w:rPr>
          <w:lang w:val="fr-FR"/>
        </w:rPr>
        <w:tab/>
        <w:t>Passer en revue les définitions des sigles, acronymes et abréviations qui sont des doublons (comme celles qui figurent actuellement dans les notes de bas de page de l</w:t>
      </w:r>
      <w:r>
        <w:rPr>
          <w:lang w:val="fr-FR"/>
        </w:rPr>
        <w:t>’</w:t>
      </w:r>
      <w:r w:rsidRPr="0023080B">
        <w:rPr>
          <w:lang w:val="fr-FR"/>
        </w:rPr>
        <w:t>annexe</w:t>
      </w:r>
      <w:r>
        <w:rPr>
          <w:lang w:val="fr-FR"/>
        </w:rPr>
        <w:t> </w:t>
      </w:r>
      <w:r w:rsidRPr="0023080B">
        <w:rPr>
          <w:lang w:val="fr-FR"/>
        </w:rPr>
        <w:t>4 et qui sont déjà définies au chapitre 1.2, par exemple</w:t>
      </w:r>
      <w:r>
        <w:rPr>
          <w:lang w:val="fr-FR"/>
        </w:rPr>
        <w:t> </w:t>
      </w:r>
      <w:r w:rsidRPr="0023080B">
        <w:rPr>
          <w:lang w:val="fr-FR"/>
        </w:rPr>
        <w:t>: ADR, RID, Règlement type de l</w:t>
      </w:r>
      <w:r>
        <w:rPr>
          <w:lang w:val="fr-FR"/>
        </w:rPr>
        <w:t>’</w:t>
      </w:r>
      <w:r w:rsidRPr="0023080B">
        <w:rPr>
          <w:lang w:val="fr-FR"/>
        </w:rPr>
        <w:t>ONU, Protocole de Montréal)</w:t>
      </w:r>
      <w:r>
        <w:rPr>
          <w:lang w:val="fr-FR"/>
        </w:rPr>
        <w:t> </w:t>
      </w:r>
      <w:r w:rsidRPr="0023080B">
        <w:rPr>
          <w:lang w:val="fr-FR"/>
        </w:rPr>
        <w:t>;</w:t>
      </w:r>
    </w:p>
    <w:p w14:paraId="07F54063" w14:textId="77777777" w:rsidR="0023080B" w:rsidRPr="0023080B" w:rsidRDefault="0023080B" w:rsidP="0023080B">
      <w:pPr>
        <w:pStyle w:val="SingleTxtG"/>
      </w:pPr>
      <w:r>
        <w:rPr>
          <w:lang w:val="fr-FR"/>
        </w:rPr>
        <w:tab/>
      </w:r>
      <w:r w:rsidRPr="0023080B">
        <w:rPr>
          <w:lang w:val="fr-FR"/>
        </w:rPr>
        <w:t>b)</w:t>
      </w:r>
      <w:r w:rsidRPr="0023080B">
        <w:rPr>
          <w:lang w:val="fr-FR"/>
        </w:rPr>
        <w:tab/>
        <w:t xml:space="preserve">Déplacer au chapitre 1.2 les sigles, acronymes et abréviations définis ailleurs dans le SGH (par exemple, ADN, </w:t>
      </w:r>
      <w:r w:rsidR="00AD15F7" w:rsidRPr="0023080B">
        <w:rPr>
          <w:lang w:val="fr-FR"/>
        </w:rPr>
        <w:t>C</w:t>
      </w:r>
      <w:r w:rsidRPr="0023080B">
        <w:rPr>
          <w:lang w:val="fr-FR"/>
        </w:rPr>
        <w:t>ode IMDG, recueil IBC, Convention de Stockholm, etc.)</w:t>
      </w:r>
      <w:r>
        <w:rPr>
          <w:lang w:val="fr-FR"/>
        </w:rPr>
        <w:t> </w:t>
      </w:r>
      <w:r w:rsidRPr="0023080B">
        <w:rPr>
          <w:lang w:val="fr-FR"/>
        </w:rPr>
        <w:t>;</w:t>
      </w:r>
    </w:p>
    <w:p w14:paraId="66B3C89E" w14:textId="77777777" w:rsidR="0023080B" w:rsidRPr="0023080B" w:rsidRDefault="0023080B" w:rsidP="0023080B">
      <w:pPr>
        <w:pStyle w:val="SingleTxtG"/>
      </w:pPr>
      <w:r>
        <w:rPr>
          <w:lang w:val="fr-FR"/>
        </w:rPr>
        <w:tab/>
      </w:r>
      <w:r w:rsidRPr="0023080B">
        <w:rPr>
          <w:lang w:val="fr-FR"/>
        </w:rPr>
        <w:t>c)</w:t>
      </w:r>
      <w:r w:rsidRPr="0023080B">
        <w:rPr>
          <w:lang w:val="fr-FR"/>
        </w:rPr>
        <w:tab/>
        <w:t>Ajouter certaines définitions qui manquent actuellement au chapitre 1.2 (par exemple</w:t>
      </w:r>
      <w:r>
        <w:rPr>
          <w:lang w:val="fr-FR"/>
        </w:rPr>
        <w:t> </w:t>
      </w:r>
      <w:r w:rsidRPr="0023080B">
        <w:rPr>
          <w:lang w:val="fr-FR"/>
        </w:rPr>
        <w:t>: « aérosols » (voir 2.3.1.1), « produits chimiques sous pression » (voir 2.3.2.1) et « gaz sous pression » (voir 2.5.1)</w:t>
      </w:r>
      <w:r>
        <w:rPr>
          <w:lang w:val="fr-FR"/>
        </w:rPr>
        <w:t> </w:t>
      </w:r>
      <w:r w:rsidRPr="0023080B">
        <w:rPr>
          <w:lang w:val="fr-FR"/>
        </w:rPr>
        <w:t xml:space="preserve">; </w:t>
      </w:r>
    </w:p>
    <w:p w14:paraId="1A243E24" w14:textId="77777777" w:rsidR="0023080B" w:rsidRPr="0023080B" w:rsidRDefault="0023080B" w:rsidP="0023080B">
      <w:pPr>
        <w:pStyle w:val="SingleTxtG"/>
      </w:pPr>
      <w:r>
        <w:rPr>
          <w:lang w:val="fr-FR"/>
        </w:rPr>
        <w:tab/>
      </w:r>
      <w:r w:rsidRPr="0023080B">
        <w:rPr>
          <w:lang w:val="fr-FR"/>
        </w:rPr>
        <w:t>d)</w:t>
      </w:r>
      <w:r w:rsidRPr="0023080B">
        <w:rPr>
          <w:lang w:val="fr-FR"/>
        </w:rPr>
        <w:tab/>
        <w:t>Supprimer les sigles, acronymes ou abréviations inutiles ou redondants.</w:t>
      </w:r>
    </w:p>
    <w:p w14:paraId="7B70B315" w14:textId="77777777" w:rsidR="0023080B" w:rsidRPr="0023080B" w:rsidRDefault="0023080B" w:rsidP="0023080B">
      <w:pPr>
        <w:pStyle w:val="H1G"/>
      </w:pPr>
      <w:r w:rsidRPr="0023080B">
        <w:rPr>
          <w:lang w:val="fr-FR"/>
        </w:rPr>
        <w:tab/>
      </w:r>
      <w:r w:rsidRPr="0023080B">
        <w:rPr>
          <w:lang w:val="fr-FR"/>
        </w:rPr>
        <w:tab/>
        <w:t>Proposition</w:t>
      </w:r>
    </w:p>
    <w:p w14:paraId="2D931BD3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5.</w:t>
      </w:r>
      <w:r w:rsidRPr="0023080B">
        <w:rPr>
          <w:lang w:val="fr-FR"/>
        </w:rPr>
        <w:tab/>
        <w:t>Déplacer au chapitre 1.2 les définitions figurant actuellement dans les notes de bas de page 4 à 18 de l</w:t>
      </w:r>
      <w:r>
        <w:rPr>
          <w:lang w:val="fr-FR"/>
        </w:rPr>
        <w:t>’</w:t>
      </w:r>
      <w:r w:rsidRPr="0023080B">
        <w:rPr>
          <w:lang w:val="fr-FR"/>
        </w:rPr>
        <w:t>annexe 4 et les classer dans l</w:t>
      </w:r>
      <w:r>
        <w:rPr>
          <w:lang w:val="fr-FR"/>
        </w:rPr>
        <w:t>’</w:t>
      </w:r>
      <w:r w:rsidRPr="0023080B">
        <w:rPr>
          <w:lang w:val="fr-FR"/>
        </w:rPr>
        <w:t>ordre alphabétique</w:t>
      </w:r>
      <w:r>
        <w:rPr>
          <w:lang w:val="fr-FR"/>
        </w:rPr>
        <w:t> </w:t>
      </w:r>
      <w:r w:rsidRPr="0023080B">
        <w:rPr>
          <w:lang w:val="fr-FR"/>
        </w:rPr>
        <w:t>:</w:t>
      </w:r>
    </w:p>
    <w:p w14:paraId="7F9F3667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 </w:t>
      </w:r>
      <w:r w:rsidRPr="0023080B">
        <w:rPr>
          <w:b/>
          <w:i/>
          <w:lang w:val="fr-FR"/>
        </w:rPr>
        <w:t>ADN,</w:t>
      </w:r>
      <w:r w:rsidRPr="0023080B">
        <w:rPr>
          <w:lang w:val="fr-FR"/>
        </w:rPr>
        <w:t xml:space="preserve"> le Règlement annexé à l</w:t>
      </w:r>
      <w:r>
        <w:rPr>
          <w:lang w:val="fr-FR"/>
        </w:rPr>
        <w:t>’</w:t>
      </w:r>
      <w:r w:rsidRPr="0023080B">
        <w:rPr>
          <w:lang w:val="fr-FR"/>
        </w:rPr>
        <w:t>Accord européen relatif au transport international des marchandises dangereuses par voies de navigation intérieures, tel que modifié. ».</w:t>
      </w:r>
    </w:p>
    <w:p w14:paraId="19F71BEF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Pr="0023080B">
        <w:rPr>
          <w:b/>
          <w:lang w:val="fr-FR"/>
        </w:rPr>
        <w:t> </w:t>
      </w:r>
      <w:r w:rsidRPr="0023080B">
        <w:rPr>
          <w:b/>
          <w:i/>
          <w:lang w:val="fr-FR"/>
        </w:rPr>
        <w:t>Recueil EGC,</w:t>
      </w:r>
      <w:r w:rsidRPr="0023080B">
        <w:rPr>
          <w:lang w:val="fr-FR"/>
        </w:rPr>
        <w:t xml:space="preserve"> le Recueil des règles applicables aux navires existants transportant des gaz liquéfiés en vrac. ».</w:t>
      </w:r>
    </w:p>
    <w:p w14:paraId="37F765E2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Pr="0023080B">
        <w:rPr>
          <w:b/>
          <w:lang w:val="fr-FR"/>
        </w:rPr>
        <w:t> </w:t>
      </w:r>
      <w:r w:rsidRPr="0023080B">
        <w:rPr>
          <w:b/>
          <w:i/>
          <w:lang w:val="fr-FR"/>
        </w:rPr>
        <w:t>Recueil GC,</w:t>
      </w:r>
      <w:r w:rsidRPr="0023080B">
        <w:rPr>
          <w:lang w:val="fr-FR"/>
        </w:rPr>
        <w:t xml:space="preserve"> le Recueil des règles relatives à la construction et à l</w:t>
      </w:r>
      <w:r>
        <w:rPr>
          <w:lang w:val="fr-FR"/>
        </w:rPr>
        <w:t>’</w:t>
      </w:r>
      <w:r w:rsidRPr="0023080B">
        <w:rPr>
          <w:lang w:val="fr-FR"/>
        </w:rPr>
        <w:t>équipement des navires transportant des gaz liquéfiés en vrac. ».</w:t>
      </w:r>
    </w:p>
    <w:p w14:paraId="290C6293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="00AD15F7">
        <w:rPr>
          <w:b/>
          <w:i/>
          <w:lang w:val="fr-FR"/>
        </w:rPr>
        <w:t> </w:t>
      </w:r>
      <w:r w:rsidRPr="0023080B">
        <w:rPr>
          <w:b/>
          <w:i/>
          <w:lang w:val="fr-FR"/>
        </w:rPr>
        <w:t>Recueil IBC,</w:t>
      </w:r>
      <w:r w:rsidRPr="0023080B">
        <w:rPr>
          <w:lang w:val="fr-FR"/>
        </w:rPr>
        <w:t xml:space="preserve"> le Recueil international de règles relatives à la construction et à l</w:t>
      </w:r>
      <w:r>
        <w:rPr>
          <w:lang w:val="fr-FR"/>
        </w:rPr>
        <w:t>’</w:t>
      </w:r>
      <w:r w:rsidRPr="0023080B">
        <w:rPr>
          <w:lang w:val="fr-FR"/>
        </w:rPr>
        <w:t>équipement des navires transportant des produits chimiques dangereux en vrac. ».</w:t>
      </w:r>
    </w:p>
    <w:p w14:paraId="5B2E6237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Pr="0023080B">
        <w:rPr>
          <w:b/>
          <w:lang w:val="fr-FR"/>
        </w:rPr>
        <w:t> </w:t>
      </w:r>
      <w:r w:rsidRPr="0023080B">
        <w:rPr>
          <w:b/>
          <w:i/>
          <w:lang w:val="fr-FR"/>
        </w:rPr>
        <w:t>Recueil IGC,</w:t>
      </w:r>
      <w:r w:rsidRPr="0023080B">
        <w:rPr>
          <w:lang w:val="fr-FR"/>
        </w:rPr>
        <w:t xml:space="preserve"> le Recueil international de règles relatives à la construction et à l</w:t>
      </w:r>
      <w:r>
        <w:rPr>
          <w:lang w:val="fr-FR"/>
        </w:rPr>
        <w:t>’</w:t>
      </w:r>
      <w:r w:rsidRPr="0023080B">
        <w:rPr>
          <w:lang w:val="fr-FR"/>
        </w:rPr>
        <w:t>équipement des navires transportant des gaz liquéfiés en vrac, y compris les amendements applicables pour la délivrance du certificat du navire. ».</w:t>
      </w:r>
    </w:p>
    <w:p w14:paraId="1D7AB664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Pr="0023080B">
        <w:rPr>
          <w:b/>
          <w:lang w:val="fr-FR"/>
        </w:rPr>
        <w:t> </w:t>
      </w:r>
      <w:r w:rsidRPr="0023080B">
        <w:rPr>
          <w:b/>
          <w:i/>
          <w:lang w:val="fr-FR"/>
        </w:rPr>
        <w:t>Code IMDG,</w:t>
      </w:r>
      <w:r w:rsidRPr="0023080B">
        <w:rPr>
          <w:b/>
          <w:lang w:val="fr-FR"/>
        </w:rPr>
        <w:t xml:space="preserve"> </w:t>
      </w:r>
      <w:r w:rsidRPr="0023080B">
        <w:rPr>
          <w:lang w:val="fr-FR"/>
        </w:rPr>
        <w:t>le Code maritime international des matières dangereuses, tel que modifié. ».</w:t>
      </w:r>
    </w:p>
    <w:p w14:paraId="07B3EF13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Pr="0023080B">
        <w:rPr>
          <w:b/>
          <w:lang w:val="fr-FR"/>
        </w:rPr>
        <w:t> </w:t>
      </w:r>
      <w:r w:rsidRPr="0023080B">
        <w:rPr>
          <w:b/>
          <w:i/>
          <w:lang w:val="fr-FR"/>
        </w:rPr>
        <w:t>Code IMSBC,</w:t>
      </w:r>
      <w:r w:rsidRPr="0023080B">
        <w:rPr>
          <w:lang w:val="fr-FR"/>
        </w:rPr>
        <w:t xml:space="preserve"> le Code maritime international des cargaisons solides en vrac, tel que modifié. ».</w:t>
      </w:r>
    </w:p>
    <w:p w14:paraId="1CE77017" w14:textId="77777777" w:rsidR="0023080B" w:rsidRPr="0023080B" w:rsidRDefault="0023080B" w:rsidP="00AD15F7">
      <w:pPr>
        <w:pStyle w:val="SingleTxtG"/>
        <w:ind w:left="1701"/>
        <w:rPr>
          <w:bCs/>
        </w:rPr>
      </w:pPr>
      <w:r w:rsidRPr="0023080B">
        <w:rPr>
          <w:i/>
          <w:iCs/>
          <w:u w:val="single"/>
          <w:lang w:val="fr-FR"/>
        </w:rPr>
        <w:t>Amendement corollaire</w:t>
      </w:r>
      <w:r w:rsidR="00AD15F7">
        <w:rPr>
          <w:i/>
          <w:iCs/>
          <w:lang w:val="fr-FR"/>
        </w:rPr>
        <w:t> </w:t>
      </w:r>
      <w:r w:rsidRPr="0023080B">
        <w:rPr>
          <w:i/>
          <w:iCs/>
          <w:lang w:val="fr-FR"/>
        </w:rPr>
        <w:t>: Supprimer la note de bas de page du Nota 1 sous le tableau 2.14.1 du chapitre 2.14</w:t>
      </w:r>
      <w:r w:rsidR="00AD15F7">
        <w:rPr>
          <w:i/>
          <w:iCs/>
          <w:lang w:val="fr-FR"/>
        </w:rPr>
        <w:t>.</w:t>
      </w:r>
    </w:p>
    <w:p w14:paraId="75C3E111" w14:textId="77777777" w:rsidR="0023080B" w:rsidRPr="0023080B" w:rsidRDefault="0023080B" w:rsidP="00AD15F7">
      <w:pPr>
        <w:pStyle w:val="SingleTxtG"/>
        <w:ind w:left="1701"/>
      </w:pPr>
      <w:r w:rsidRPr="0023080B">
        <w:rPr>
          <w:bCs/>
          <w:lang w:val="fr-FR"/>
        </w:rPr>
        <w:t>«</w:t>
      </w:r>
      <w:r w:rsidRPr="0023080B">
        <w:rPr>
          <w:b/>
          <w:bCs/>
          <w:i/>
          <w:lang w:val="fr-FR"/>
        </w:rPr>
        <w:t> Convention de Rotterdam</w:t>
      </w:r>
      <w:r w:rsidRPr="0023080B">
        <w:rPr>
          <w:bCs/>
          <w:i/>
          <w:lang w:val="fr-FR"/>
        </w:rPr>
        <w:t>,</w:t>
      </w:r>
      <w:r w:rsidRPr="0023080B">
        <w:rPr>
          <w:b/>
          <w:bCs/>
          <w:lang w:val="fr-FR"/>
        </w:rPr>
        <w:t xml:space="preserve"> </w:t>
      </w:r>
      <w:r w:rsidRPr="0023080B">
        <w:rPr>
          <w:lang w:val="fr-FR"/>
        </w:rPr>
        <w:t>la Convention sur la procédure de consentement préalable en connaissance de cause applicable à certains produits chimiques et pesticides dangereux qui font l</w:t>
      </w:r>
      <w:r>
        <w:rPr>
          <w:lang w:val="fr-FR"/>
        </w:rPr>
        <w:t>’</w:t>
      </w:r>
      <w:r w:rsidRPr="0023080B">
        <w:rPr>
          <w:lang w:val="fr-FR"/>
        </w:rPr>
        <w:t>objet d</w:t>
      </w:r>
      <w:r>
        <w:rPr>
          <w:lang w:val="fr-FR"/>
        </w:rPr>
        <w:t>’</w:t>
      </w:r>
      <w:r w:rsidRPr="0023080B">
        <w:rPr>
          <w:lang w:val="fr-FR"/>
        </w:rPr>
        <w:t>un commerce international. ».</w:t>
      </w:r>
    </w:p>
    <w:p w14:paraId="769E4AA6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Pr="0023080B">
        <w:rPr>
          <w:i/>
          <w:lang w:val="fr-FR"/>
        </w:rPr>
        <w:t> </w:t>
      </w:r>
      <w:r w:rsidRPr="0023080B">
        <w:rPr>
          <w:b/>
          <w:bCs/>
          <w:i/>
          <w:lang w:val="fr-FR"/>
        </w:rPr>
        <w:t>SOLAS,</w:t>
      </w:r>
      <w:r w:rsidRPr="0023080B">
        <w:rPr>
          <w:lang w:val="fr-FR"/>
        </w:rPr>
        <w:t xml:space="preserve"> la Convention internationale de 1974 pour la sauvegarde de la vie humaine en mer, telle que modifiée. »</w:t>
      </w:r>
      <w:r w:rsidR="00AD15F7">
        <w:rPr>
          <w:lang w:val="fr-FR"/>
        </w:rPr>
        <w:t>.</w:t>
      </w:r>
    </w:p>
    <w:p w14:paraId="31A2BDB6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</w:t>
      </w:r>
      <w:r w:rsidRPr="0023080B">
        <w:rPr>
          <w:i/>
          <w:lang w:val="fr-FR"/>
        </w:rPr>
        <w:t> </w:t>
      </w:r>
      <w:r w:rsidRPr="0023080B">
        <w:rPr>
          <w:b/>
          <w:bCs/>
          <w:i/>
          <w:lang w:val="fr-FR"/>
        </w:rPr>
        <w:t>Convention de Stockholm</w:t>
      </w:r>
      <w:r w:rsidRPr="0023080B">
        <w:rPr>
          <w:bCs/>
          <w:i/>
          <w:lang w:val="fr-FR"/>
        </w:rPr>
        <w:t>,</w:t>
      </w:r>
      <w:r w:rsidRPr="0023080B">
        <w:rPr>
          <w:lang w:val="fr-FR"/>
        </w:rPr>
        <w:t xml:space="preserve"> la Convention sur les polluants organiques persistants. ».</w:t>
      </w:r>
    </w:p>
    <w:p w14:paraId="4B54CF40" w14:textId="77777777" w:rsidR="0023080B" w:rsidRPr="0023080B" w:rsidRDefault="0023080B" w:rsidP="00AD15F7">
      <w:pPr>
        <w:pStyle w:val="SingleTxtG"/>
        <w:ind w:left="1701"/>
      </w:pPr>
      <w:r w:rsidRPr="0023080B">
        <w:rPr>
          <w:i/>
          <w:iCs/>
          <w:u w:val="single"/>
          <w:lang w:val="fr-FR"/>
        </w:rPr>
        <w:t>Amendement corollaire</w:t>
      </w:r>
      <w:r w:rsidR="00AD15F7">
        <w:rPr>
          <w:i/>
          <w:iCs/>
          <w:lang w:val="fr-FR"/>
        </w:rPr>
        <w:t> </w:t>
      </w:r>
      <w:r w:rsidRPr="0023080B">
        <w:rPr>
          <w:i/>
          <w:iCs/>
          <w:lang w:val="fr-FR"/>
        </w:rPr>
        <w:t xml:space="preserve">: </w:t>
      </w:r>
      <w:r w:rsidRPr="0023080B">
        <w:rPr>
          <w:lang w:val="fr-FR"/>
        </w:rPr>
        <w:t>Supprimer les notes de bas de page 4 à 18 de l</w:t>
      </w:r>
      <w:r>
        <w:rPr>
          <w:lang w:val="fr-FR"/>
        </w:rPr>
        <w:t>’</w:t>
      </w:r>
      <w:r w:rsidRPr="0023080B">
        <w:rPr>
          <w:lang w:val="fr-FR"/>
        </w:rPr>
        <w:t>annexe 4.</w:t>
      </w:r>
    </w:p>
    <w:p w14:paraId="0F9FA5D1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6.</w:t>
      </w:r>
      <w:r w:rsidRPr="0023080B">
        <w:rPr>
          <w:lang w:val="fr-FR"/>
        </w:rPr>
        <w:tab/>
        <w:t>Modifier la définition de MARPOL dans le chapitre 1.2 comme suit</w:t>
      </w:r>
      <w:r w:rsidR="00AD15F7">
        <w:rPr>
          <w:lang w:val="fr-FR"/>
        </w:rPr>
        <w:t> </w:t>
      </w:r>
      <w:r w:rsidRPr="0023080B">
        <w:rPr>
          <w:lang w:val="fr-FR"/>
        </w:rPr>
        <w:t xml:space="preserve">: </w:t>
      </w:r>
    </w:p>
    <w:p w14:paraId="7AA8F50D" w14:textId="77777777" w:rsidR="0023080B" w:rsidRPr="0023080B" w:rsidRDefault="0023080B" w:rsidP="00AD15F7">
      <w:pPr>
        <w:pStyle w:val="SingleTxtG"/>
        <w:ind w:left="1701"/>
      </w:pPr>
      <w:r w:rsidRPr="0023080B">
        <w:rPr>
          <w:iCs/>
          <w:lang w:val="fr-FR"/>
        </w:rPr>
        <w:t>«</w:t>
      </w:r>
      <w:r w:rsidRPr="0023080B">
        <w:rPr>
          <w:b/>
          <w:iCs/>
          <w:lang w:val="fr-FR"/>
        </w:rPr>
        <w:t> MARPOL</w:t>
      </w:r>
      <w:r w:rsidRPr="0023080B">
        <w:rPr>
          <w:iCs/>
          <w:lang w:val="fr-FR"/>
        </w:rPr>
        <w:t>,</w:t>
      </w:r>
      <w:r w:rsidRPr="0023080B">
        <w:rPr>
          <w:lang w:val="fr-FR"/>
        </w:rPr>
        <w:t xml:space="preserve"> la Convention internationale pour la prévention de la pollution par les navires de 1973, telle que modifiée par le Protocole de 1978 y relatif, telle que modifiée. ».</w:t>
      </w:r>
    </w:p>
    <w:p w14:paraId="3ECDE16B" w14:textId="77777777" w:rsidR="0023080B" w:rsidRPr="0023080B" w:rsidRDefault="0023080B" w:rsidP="00AD15F7">
      <w:pPr>
        <w:pStyle w:val="SingleTxtG"/>
        <w:ind w:left="1701"/>
        <w:rPr>
          <w:i/>
          <w:iCs/>
          <w:u w:val="single"/>
        </w:rPr>
      </w:pPr>
      <w:r w:rsidRPr="0023080B">
        <w:rPr>
          <w:i/>
          <w:iCs/>
          <w:u w:val="single"/>
          <w:lang w:val="fr-FR"/>
        </w:rPr>
        <w:t>Justification</w:t>
      </w:r>
      <w:r w:rsidR="00AD15F7">
        <w:rPr>
          <w:i/>
          <w:iCs/>
          <w:lang w:val="fr-FR"/>
        </w:rPr>
        <w:t> </w:t>
      </w:r>
      <w:r w:rsidRPr="0023080B">
        <w:rPr>
          <w:i/>
          <w:iCs/>
          <w:lang w:val="fr-FR"/>
        </w:rPr>
        <w:t>: alignement sur la définition figurant actuellement à l</w:t>
      </w:r>
      <w:r>
        <w:rPr>
          <w:i/>
          <w:iCs/>
          <w:lang w:val="fr-FR"/>
        </w:rPr>
        <w:t>’</w:t>
      </w:r>
      <w:r w:rsidRPr="0023080B">
        <w:rPr>
          <w:i/>
          <w:iCs/>
          <w:lang w:val="fr-FR"/>
        </w:rPr>
        <w:t>annexe 4.</w:t>
      </w:r>
    </w:p>
    <w:p w14:paraId="7B4D9CB6" w14:textId="77777777" w:rsidR="0023080B" w:rsidRPr="0023080B" w:rsidRDefault="0023080B" w:rsidP="00AD15F7">
      <w:pPr>
        <w:pStyle w:val="SingleTxtG"/>
        <w:keepNext/>
      </w:pPr>
      <w:r w:rsidRPr="0023080B">
        <w:rPr>
          <w:lang w:val="fr-FR"/>
        </w:rPr>
        <w:t>7.</w:t>
      </w:r>
      <w:r w:rsidRPr="0023080B">
        <w:rPr>
          <w:lang w:val="fr-FR"/>
        </w:rPr>
        <w:tab/>
        <w:t>Ajouter les définitions manquantes suivantes dans le chapitre 1.2</w:t>
      </w:r>
      <w:r w:rsidR="00AD15F7">
        <w:rPr>
          <w:lang w:val="fr-FR"/>
        </w:rPr>
        <w:t> </w:t>
      </w:r>
      <w:r w:rsidRPr="0023080B">
        <w:rPr>
          <w:lang w:val="fr-FR"/>
        </w:rPr>
        <w:t>:</w:t>
      </w:r>
    </w:p>
    <w:p w14:paraId="6B81DFF6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 </w:t>
      </w:r>
      <w:r w:rsidRPr="0023080B">
        <w:rPr>
          <w:b/>
          <w:bCs/>
          <w:i/>
          <w:lang w:val="fr-FR"/>
        </w:rPr>
        <w:t>Aérosols (générateurs d</w:t>
      </w:r>
      <w:r w:rsidRPr="00AD15F7">
        <w:rPr>
          <w:b/>
          <w:bCs/>
          <w:i/>
          <w:lang w:val="fr-FR"/>
        </w:rPr>
        <w:t>’</w:t>
      </w:r>
      <w:r w:rsidRPr="0023080B">
        <w:rPr>
          <w:b/>
          <w:bCs/>
          <w:i/>
          <w:lang w:val="fr-FR"/>
        </w:rPr>
        <w:t>aérosols)</w:t>
      </w:r>
      <w:r w:rsidRPr="0023080B">
        <w:rPr>
          <w:lang w:val="fr-FR"/>
        </w:rPr>
        <w:t xml:space="preserve">, des récipients non rechargeables faits de métal, de verre ou de plastique, contenant un gaz comprimé, liquéfié ou dissous sous </w:t>
      </w:r>
      <w:r w:rsidRPr="0023080B">
        <w:rPr>
          <w:lang w:val="fr-FR"/>
        </w:rPr>
        <w:lastRenderedPageBreak/>
        <w:t>pression, avec ou sans liquide, pâte ou poudre, munis d</w:t>
      </w:r>
      <w:r>
        <w:rPr>
          <w:lang w:val="fr-FR"/>
        </w:rPr>
        <w:t>’</w:t>
      </w:r>
      <w:r w:rsidRPr="0023080B">
        <w:rPr>
          <w:lang w:val="fr-FR"/>
        </w:rPr>
        <w:t>un dispositif de détente permettant d</w:t>
      </w:r>
      <w:r>
        <w:rPr>
          <w:lang w:val="fr-FR"/>
        </w:rPr>
        <w:t>’</w:t>
      </w:r>
      <w:r w:rsidRPr="0023080B">
        <w:rPr>
          <w:lang w:val="fr-FR"/>
        </w:rPr>
        <w:t>en expulser le contenu sous forme de particules solides ou liquides en suspension dans un gaz, ou sous forme de mousse, de pâte ou de poudre ou encore à l</w:t>
      </w:r>
      <w:r>
        <w:rPr>
          <w:lang w:val="fr-FR"/>
        </w:rPr>
        <w:t>’</w:t>
      </w:r>
      <w:r w:rsidRPr="0023080B">
        <w:rPr>
          <w:lang w:val="fr-FR"/>
        </w:rPr>
        <w:t>état liquide ou gazeux. ».</w:t>
      </w:r>
    </w:p>
    <w:p w14:paraId="7079C54B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 </w:t>
      </w:r>
      <w:r w:rsidRPr="0023080B">
        <w:rPr>
          <w:b/>
          <w:bCs/>
          <w:i/>
          <w:lang w:val="fr-FR"/>
        </w:rPr>
        <w:t>Produits chimiques sous pression</w:t>
      </w:r>
      <w:r w:rsidRPr="0023080B">
        <w:rPr>
          <w:bCs/>
          <w:lang w:val="fr-FR"/>
        </w:rPr>
        <w:t>,</w:t>
      </w:r>
      <w:r w:rsidRPr="0023080B">
        <w:rPr>
          <w:lang w:val="fr-FR"/>
        </w:rPr>
        <w:t xml:space="preserve"> des liquides ou des matières solides (par exemple pâteuses ou pulvérulentes) pressurisés avec un gaz à une pression supérieure ou égale à 200 kPa (pression manométrique) à 20 </w:t>
      </w:r>
      <w:r w:rsidR="00AD15F7">
        <w:rPr>
          <w:lang w:val="fr-FR"/>
        </w:rPr>
        <w:t>°</w:t>
      </w:r>
      <w:r w:rsidRPr="0023080B">
        <w:rPr>
          <w:lang w:val="fr-FR"/>
        </w:rPr>
        <w:t>C, dans des récipients sous pression autres que des générateurs d</w:t>
      </w:r>
      <w:r>
        <w:rPr>
          <w:lang w:val="fr-FR"/>
        </w:rPr>
        <w:t>’</w:t>
      </w:r>
      <w:r w:rsidRPr="0023080B">
        <w:rPr>
          <w:lang w:val="fr-FR"/>
        </w:rPr>
        <w:t>aérosols et qui ne sont pas classés dans la catégorie des gaz sous pression. ».</w:t>
      </w:r>
    </w:p>
    <w:p w14:paraId="0A92C1DD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 </w:t>
      </w:r>
      <w:r w:rsidRPr="0023080B">
        <w:rPr>
          <w:b/>
          <w:bCs/>
          <w:i/>
          <w:lang w:val="fr-FR"/>
        </w:rPr>
        <w:t>Gaz sous pression</w:t>
      </w:r>
      <w:r w:rsidRPr="0023080B">
        <w:rPr>
          <w:lang w:val="fr-FR"/>
        </w:rPr>
        <w:t>, un gaz contenu dans un récipient à une pression supérieure ou égale à 200 kPa (pression manométrique) à 20</w:t>
      </w:r>
      <w:r w:rsidR="00AD15F7">
        <w:rPr>
          <w:lang w:val="fr-FR"/>
        </w:rPr>
        <w:t xml:space="preserve"> °</w:t>
      </w:r>
      <w:r w:rsidRPr="0023080B">
        <w:rPr>
          <w:lang w:val="fr-FR"/>
        </w:rPr>
        <w:t>C ou sous forme de gaz liquéfié ou liquéfié et réfrigéré. Ces gaz comprennent les gaz comprimés, les gaz liquéfiés, les gaz dissous et les gaz liquides réfrigérés. ».</w:t>
      </w:r>
    </w:p>
    <w:p w14:paraId="3B23F940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8.</w:t>
      </w:r>
      <w:r w:rsidRPr="0023080B">
        <w:rPr>
          <w:lang w:val="fr-FR"/>
        </w:rPr>
        <w:tab/>
        <w:t>Ajouter une définition de VDI dans le chapitre 1.2 comme suit</w:t>
      </w:r>
      <w:r w:rsidR="00AD15F7">
        <w:rPr>
          <w:lang w:val="fr-FR"/>
        </w:rPr>
        <w:t> </w:t>
      </w:r>
      <w:r w:rsidRPr="0023080B">
        <w:rPr>
          <w:lang w:val="fr-FR"/>
        </w:rPr>
        <w:t xml:space="preserve">: </w:t>
      </w:r>
    </w:p>
    <w:p w14:paraId="6E1DEE67" w14:textId="77777777" w:rsidR="0023080B" w:rsidRPr="0023080B" w:rsidRDefault="0023080B" w:rsidP="00AD15F7">
      <w:pPr>
        <w:pStyle w:val="SingleTxtG"/>
        <w:ind w:left="1701"/>
      </w:pPr>
      <w:r w:rsidRPr="0023080B">
        <w:rPr>
          <w:lang w:val="fr-FR"/>
        </w:rPr>
        <w:t>« </w:t>
      </w:r>
      <w:r w:rsidRPr="0023080B">
        <w:rPr>
          <w:b/>
          <w:i/>
          <w:lang w:val="fr-FR"/>
        </w:rPr>
        <w:t>VDI</w:t>
      </w:r>
      <w:r w:rsidRPr="0023080B">
        <w:rPr>
          <w:lang w:val="fr-FR"/>
        </w:rPr>
        <w:t> », l</w:t>
      </w:r>
      <w:proofErr w:type="gramStart"/>
      <w:r>
        <w:rPr>
          <w:lang w:val="fr-FR"/>
        </w:rPr>
        <w:t>’</w:t>
      </w:r>
      <w:r w:rsidRPr="0023080B">
        <w:rPr>
          <w:lang w:val="fr-FR"/>
        </w:rPr>
        <w:t>«</w:t>
      </w:r>
      <w:proofErr w:type="gramEnd"/>
      <w:r w:rsidRPr="0023080B">
        <w:rPr>
          <w:lang w:val="fr-FR"/>
        </w:rPr>
        <w:t> Association des ingénieurs allemands » (« </w:t>
      </w:r>
      <w:r w:rsidRPr="0023080B">
        <w:rPr>
          <w:i/>
          <w:lang w:val="fr-FR"/>
        </w:rPr>
        <w:t>Verein Deutscher Ingenieure</w:t>
      </w:r>
      <w:r w:rsidRPr="0023080B">
        <w:rPr>
          <w:lang w:val="fr-FR"/>
        </w:rPr>
        <w:t> »)</w:t>
      </w:r>
      <w:r w:rsidR="00AD15F7">
        <w:rPr>
          <w:lang w:val="fr-FR"/>
        </w:rPr>
        <w:t>.</w:t>
      </w:r>
    </w:p>
    <w:p w14:paraId="0D4FE3AD" w14:textId="77777777" w:rsidR="0023080B" w:rsidRPr="0023080B" w:rsidRDefault="0023080B" w:rsidP="00AD15F7">
      <w:pPr>
        <w:pStyle w:val="SingleTxtG"/>
        <w:ind w:left="1701"/>
        <w:rPr>
          <w:bCs/>
        </w:rPr>
      </w:pPr>
      <w:r w:rsidRPr="0023080B">
        <w:rPr>
          <w:i/>
          <w:u w:val="single"/>
          <w:lang w:val="fr-FR"/>
        </w:rPr>
        <w:t>Amendement corollaire</w:t>
      </w:r>
      <w:r w:rsidR="00AD15F7">
        <w:rPr>
          <w:lang w:val="fr-FR"/>
        </w:rPr>
        <w:t> </w:t>
      </w:r>
      <w:r w:rsidRPr="0023080B">
        <w:rPr>
          <w:lang w:val="fr-FR"/>
        </w:rPr>
        <w:t>: Supprimer le Nota et la note de bas de page « * » dans le tableau</w:t>
      </w:r>
      <w:r w:rsidR="00AD15F7">
        <w:rPr>
          <w:lang w:val="fr-FR"/>
        </w:rPr>
        <w:t> </w:t>
      </w:r>
      <w:r w:rsidRPr="0023080B">
        <w:rPr>
          <w:lang w:val="fr-FR"/>
        </w:rPr>
        <w:t>A4.3.9.3 et dans le paragraphe A11.2.8.1.</w:t>
      </w:r>
    </w:p>
    <w:p w14:paraId="4CDE19DF" w14:textId="77777777" w:rsidR="0023080B" w:rsidRPr="0023080B" w:rsidRDefault="0023080B" w:rsidP="0023080B">
      <w:pPr>
        <w:pStyle w:val="SingleTxtG"/>
      </w:pPr>
      <w:r w:rsidRPr="0023080B">
        <w:rPr>
          <w:lang w:val="fr-FR"/>
        </w:rPr>
        <w:t>9.</w:t>
      </w:r>
      <w:r w:rsidRPr="0023080B">
        <w:rPr>
          <w:lang w:val="fr-FR"/>
        </w:rPr>
        <w:tab/>
      </w:r>
      <w:r w:rsidRPr="0023080B">
        <w:rPr>
          <w:bCs/>
          <w:lang w:val="fr-FR"/>
        </w:rPr>
        <w:t>«</w:t>
      </w:r>
      <w:r w:rsidRPr="0023080B">
        <w:rPr>
          <w:b/>
          <w:bCs/>
          <w:lang w:val="fr-FR"/>
        </w:rPr>
        <w:t> CA </w:t>
      </w:r>
      <w:r w:rsidRPr="0023080B">
        <w:rPr>
          <w:bCs/>
          <w:lang w:val="fr-FR"/>
        </w:rPr>
        <w:t>»</w:t>
      </w:r>
      <w:r w:rsidRPr="0023080B">
        <w:rPr>
          <w:lang w:val="fr-FR"/>
        </w:rPr>
        <w:tab/>
        <w:t>Supprimer la définition de ce sigle dans le chapitre 1.2</w:t>
      </w:r>
    </w:p>
    <w:p w14:paraId="7F93586C" w14:textId="77777777" w:rsidR="0023080B" w:rsidRPr="0023080B" w:rsidRDefault="0023080B" w:rsidP="004F3CC0">
      <w:pPr>
        <w:pStyle w:val="SingleTxtG"/>
        <w:ind w:left="1701"/>
      </w:pPr>
      <w:r w:rsidRPr="0023080B">
        <w:rPr>
          <w:i/>
          <w:iCs/>
          <w:u w:val="single"/>
          <w:lang w:val="fr-FR"/>
        </w:rPr>
        <w:t>Amendement corollaire</w:t>
      </w:r>
      <w:r w:rsidR="004F3CC0" w:rsidRPr="004F3CC0">
        <w:rPr>
          <w:i/>
          <w:iCs/>
          <w:lang w:val="fr-FR"/>
        </w:rPr>
        <w:t> </w:t>
      </w:r>
      <w:r w:rsidRPr="0023080B">
        <w:rPr>
          <w:i/>
          <w:iCs/>
          <w:lang w:val="fr-FR"/>
        </w:rPr>
        <w:t>:</w:t>
      </w:r>
      <w:r w:rsidR="004F3CC0">
        <w:rPr>
          <w:lang w:val="fr-FR"/>
        </w:rPr>
        <w:t xml:space="preserve"> </w:t>
      </w:r>
      <w:r w:rsidRPr="0023080B">
        <w:rPr>
          <w:lang w:val="fr-FR"/>
        </w:rPr>
        <w:t>Remplacer « CA » par « autorité compétente » au paragraphe</w:t>
      </w:r>
      <w:r w:rsidR="004F3CC0">
        <w:rPr>
          <w:lang w:val="fr-FR"/>
        </w:rPr>
        <w:t> </w:t>
      </w:r>
      <w:r w:rsidRPr="0023080B">
        <w:rPr>
          <w:lang w:val="fr-FR"/>
        </w:rPr>
        <w:t>A4.2.1 de l</w:t>
      </w:r>
      <w:r>
        <w:rPr>
          <w:lang w:val="fr-FR"/>
        </w:rPr>
        <w:t>’</w:t>
      </w:r>
      <w:r w:rsidRPr="0023080B">
        <w:rPr>
          <w:lang w:val="fr-FR"/>
        </w:rPr>
        <w:t>annexe 4.</w:t>
      </w:r>
    </w:p>
    <w:p w14:paraId="52B43453" w14:textId="77777777" w:rsidR="0023080B" w:rsidRPr="0023080B" w:rsidRDefault="0023080B" w:rsidP="004F3CC0">
      <w:pPr>
        <w:pStyle w:val="SingleTxtG"/>
        <w:ind w:left="1701"/>
        <w:rPr>
          <w:i/>
          <w:iCs/>
        </w:rPr>
      </w:pPr>
      <w:r w:rsidRPr="0023080B">
        <w:rPr>
          <w:i/>
          <w:iCs/>
          <w:u w:val="single"/>
          <w:lang w:val="fr-FR"/>
        </w:rPr>
        <w:t>Justification</w:t>
      </w:r>
      <w:r w:rsidR="004F3CC0">
        <w:rPr>
          <w:i/>
          <w:iCs/>
          <w:lang w:val="fr-FR"/>
        </w:rPr>
        <w:t> </w:t>
      </w:r>
      <w:r w:rsidRPr="0023080B">
        <w:rPr>
          <w:i/>
          <w:iCs/>
          <w:lang w:val="fr-FR"/>
        </w:rPr>
        <w:t>: Le sigle « CA » n</w:t>
      </w:r>
      <w:r>
        <w:rPr>
          <w:i/>
          <w:iCs/>
          <w:lang w:val="fr-FR"/>
        </w:rPr>
        <w:t>’</w:t>
      </w:r>
      <w:r w:rsidRPr="0023080B">
        <w:rPr>
          <w:i/>
          <w:iCs/>
          <w:lang w:val="fr-FR"/>
        </w:rPr>
        <w:t>est utilisé qu</w:t>
      </w:r>
      <w:r>
        <w:rPr>
          <w:i/>
          <w:iCs/>
          <w:lang w:val="fr-FR"/>
        </w:rPr>
        <w:t>’</w:t>
      </w:r>
      <w:r w:rsidRPr="0023080B">
        <w:rPr>
          <w:i/>
          <w:iCs/>
          <w:lang w:val="fr-FR"/>
        </w:rPr>
        <w:t>une seule fois dans le SGH (par</w:t>
      </w:r>
      <w:r w:rsidR="004F3CC0">
        <w:rPr>
          <w:i/>
          <w:iCs/>
          <w:lang w:val="fr-FR"/>
        </w:rPr>
        <w:t>. </w:t>
      </w:r>
      <w:r w:rsidRPr="0023080B">
        <w:rPr>
          <w:i/>
          <w:iCs/>
          <w:lang w:val="fr-FR"/>
        </w:rPr>
        <w:t>A4.2.1 de l</w:t>
      </w:r>
      <w:r>
        <w:rPr>
          <w:i/>
          <w:iCs/>
          <w:lang w:val="fr-FR"/>
        </w:rPr>
        <w:t>’</w:t>
      </w:r>
      <w:r w:rsidRPr="0023080B">
        <w:rPr>
          <w:i/>
          <w:iCs/>
          <w:lang w:val="fr-FR"/>
        </w:rPr>
        <w:t>annexe 4) et une définition de l</w:t>
      </w:r>
      <w:proofErr w:type="gramStart"/>
      <w:r>
        <w:rPr>
          <w:i/>
          <w:iCs/>
          <w:lang w:val="fr-FR"/>
        </w:rPr>
        <w:t>’</w:t>
      </w:r>
      <w:r w:rsidRPr="0023080B">
        <w:rPr>
          <w:i/>
          <w:iCs/>
          <w:lang w:val="fr-FR"/>
        </w:rPr>
        <w:t>«</w:t>
      </w:r>
      <w:proofErr w:type="gramEnd"/>
      <w:r w:rsidRPr="0023080B">
        <w:rPr>
          <w:i/>
          <w:iCs/>
          <w:lang w:val="fr-FR"/>
        </w:rPr>
        <w:t> autorité compétente » est donnée au chapitre 1.2</w:t>
      </w:r>
      <w:r w:rsidR="004F3CC0">
        <w:rPr>
          <w:i/>
          <w:iCs/>
          <w:lang w:val="fr-FR"/>
        </w:rPr>
        <w:t>.</w:t>
      </w:r>
    </w:p>
    <w:p w14:paraId="66482F30" w14:textId="77777777" w:rsidR="0023080B" w:rsidRPr="0023080B" w:rsidRDefault="0023080B" w:rsidP="0023080B">
      <w:pPr>
        <w:pStyle w:val="SingleTxtG"/>
        <w:rPr>
          <w:bCs/>
        </w:rPr>
      </w:pPr>
      <w:r w:rsidRPr="0023080B">
        <w:rPr>
          <w:lang w:val="fr-FR"/>
        </w:rPr>
        <w:t>10.</w:t>
      </w:r>
      <w:r w:rsidRPr="0023080B">
        <w:rPr>
          <w:lang w:val="fr-FR"/>
        </w:rPr>
        <w:tab/>
        <w:t>« </w:t>
      </w:r>
      <w:r w:rsidRPr="0023080B">
        <w:rPr>
          <w:b/>
          <w:lang w:val="fr-FR"/>
        </w:rPr>
        <w:t>ICC</w:t>
      </w:r>
      <w:r w:rsidRPr="0023080B">
        <w:rPr>
          <w:lang w:val="fr-FR"/>
        </w:rPr>
        <w:t> »</w:t>
      </w:r>
      <w:r w:rsidRPr="0023080B">
        <w:rPr>
          <w:lang w:val="fr-FR"/>
        </w:rPr>
        <w:tab/>
        <w:t>Supprimer la définition de ce sigle au chapitre 1.2</w:t>
      </w:r>
    </w:p>
    <w:p w14:paraId="7A4738DF" w14:textId="77777777" w:rsidR="0023080B" w:rsidRPr="0023080B" w:rsidRDefault="0023080B" w:rsidP="00AD15F7">
      <w:pPr>
        <w:pStyle w:val="SingleTxtG"/>
        <w:ind w:left="1701"/>
      </w:pPr>
      <w:r w:rsidRPr="0023080B">
        <w:rPr>
          <w:i/>
          <w:iCs/>
          <w:u w:val="single"/>
          <w:lang w:val="fr-FR"/>
        </w:rPr>
        <w:t>Amendement corollaire</w:t>
      </w:r>
      <w:r w:rsidR="00AD15F7" w:rsidRPr="00AD15F7">
        <w:rPr>
          <w:i/>
          <w:iCs/>
          <w:lang w:val="fr-FR"/>
        </w:rPr>
        <w:t> </w:t>
      </w:r>
      <w:r w:rsidRPr="0023080B">
        <w:rPr>
          <w:i/>
          <w:iCs/>
          <w:lang w:val="fr-FR"/>
        </w:rPr>
        <w:t>:</w:t>
      </w:r>
      <w:r w:rsidR="00AD15F7">
        <w:rPr>
          <w:lang w:val="fr-FR"/>
        </w:rPr>
        <w:t xml:space="preserve"> </w:t>
      </w:r>
      <w:r w:rsidRPr="0023080B">
        <w:rPr>
          <w:lang w:val="fr-FR"/>
        </w:rPr>
        <w:t>Remplacer « ICC » par « informations commerciales confidentielles</w:t>
      </w:r>
      <w:r w:rsidR="004F3CC0">
        <w:rPr>
          <w:lang w:val="fr-FR"/>
        </w:rPr>
        <w:t> </w:t>
      </w:r>
      <w:r w:rsidRPr="0023080B">
        <w:rPr>
          <w:lang w:val="fr-FR"/>
        </w:rPr>
        <w:t>» aux paragraphes 1.4.8.3 b), c) et f)</w:t>
      </w:r>
      <w:r w:rsidR="004F3CC0">
        <w:rPr>
          <w:lang w:val="fr-FR"/>
        </w:rPr>
        <w:t> </w:t>
      </w:r>
      <w:r w:rsidRPr="0023080B">
        <w:rPr>
          <w:lang w:val="fr-FR"/>
        </w:rPr>
        <w:t>; supprimer le sigle au paragraphe</w:t>
      </w:r>
      <w:r w:rsidR="004F3CC0">
        <w:rPr>
          <w:lang w:val="fr-FR"/>
        </w:rPr>
        <w:t> </w:t>
      </w:r>
      <w:r w:rsidRPr="0023080B">
        <w:rPr>
          <w:lang w:val="fr-FR"/>
        </w:rPr>
        <w:t>1.4.10.5.2 d) iv) et dans le Nota sous le paragraphe A4.3.3.</w:t>
      </w:r>
    </w:p>
    <w:p w14:paraId="195DCD8F" w14:textId="77777777" w:rsidR="0023080B" w:rsidRPr="0023080B" w:rsidRDefault="0023080B" w:rsidP="004F3CC0">
      <w:pPr>
        <w:pStyle w:val="SingleTxtG"/>
        <w:ind w:left="1701"/>
      </w:pPr>
      <w:r w:rsidRPr="0023080B">
        <w:rPr>
          <w:i/>
          <w:iCs/>
          <w:u w:val="single"/>
          <w:lang w:val="fr-FR"/>
        </w:rPr>
        <w:t>Justification</w:t>
      </w:r>
      <w:r w:rsidR="004F3CC0">
        <w:rPr>
          <w:i/>
          <w:iCs/>
          <w:lang w:val="fr-FR"/>
        </w:rPr>
        <w:t> </w:t>
      </w:r>
      <w:r w:rsidRPr="0023080B">
        <w:rPr>
          <w:i/>
          <w:iCs/>
          <w:lang w:val="fr-FR"/>
        </w:rPr>
        <w:t>: Il y a peu d</w:t>
      </w:r>
      <w:r>
        <w:rPr>
          <w:i/>
          <w:iCs/>
          <w:lang w:val="fr-FR"/>
        </w:rPr>
        <w:t>’</w:t>
      </w:r>
      <w:r w:rsidRPr="0023080B">
        <w:rPr>
          <w:i/>
          <w:iCs/>
          <w:lang w:val="fr-FR"/>
        </w:rPr>
        <w:t>occurrences du terme « informations commerciales confidentielles » dans le SGH et l</w:t>
      </w:r>
      <w:r>
        <w:rPr>
          <w:i/>
          <w:iCs/>
          <w:lang w:val="fr-FR"/>
        </w:rPr>
        <w:t>’</w:t>
      </w:r>
      <w:r w:rsidRPr="0023080B">
        <w:rPr>
          <w:i/>
          <w:iCs/>
          <w:lang w:val="fr-FR"/>
        </w:rPr>
        <w:t>utilisation du nom complet rend le texte plus lisible.</w:t>
      </w:r>
    </w:p>
    <w:p w14:paraId="3EA394E1" w14:textId="77777777" w:rsidR="00446FE5" w:rsidRPr="0023080B" w:rsidRDefault="0023080B" w:rsidP="002308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23080B" w:rsidSect="002308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58CB" w14:textId="77777777" w:rsidR="00593690" w:rsidRDefault="00593690" w:rsidP="00F95C08">
      <w:pPr>
        <w:spacing w:line="240" w:lineRule="auto"/>
      </w:pPr>
    </w:p>
  </w:endnote>
  <w:endnote w:type="continuationSeparator" w:id="0">
    <w:p w14:paraId="5BF3D484" w14:textId="77777777" w:rsidR="00593690" w:rsidRPr="00AC3823" w:rsidRDefault="00593690" w:rsidP="00AC3823">
      <w:pPr>
        <w:pStyle w:val="Footer"/>
      </w:pPr>
    </w:p>
  </w:endnote>
  <w:endnote w:type="continuationNotice" w:id="1">
    <w:p w14:paraId="3279308B" w14:textId="77777777" w:rsidR="00593690" w:rsidRDefault="005936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C580" w14:textId="77777777" w:rsidR="0023080B" w:rsidRPr="0023080B" w:rsidRDefault="0023080B" w:rsidP="0023080B">
    <w:pPr>
      <w:pStyle w:val="Footer"/>
      <w:tabs>
        <w:tab w:val="right" w:pos="9638"/>
      </w:tabs>
    </w:pPr>
    <w:r w:rsidRPr="0023080B">
      <w:rPr>
        <w:b/>
        <w:sz w:val="18"/>
      </w:rPr>
      <w:fldChar w:fldCharType="begin"/>
    </w:r>
    <w:r w:rsidRPr="0023080B">
      <w:rPr>
        <w:b/>
        <w:sz w:val="18"/>
      </w:rPr>
      <w:instrText xml:space="preserve"> PAGE  \* MERGEFORMAT </w:instrText>
    </w:r>
    <w:r w:rsidRPr="0023080B">
      <w:rPr>
        <w:b/>
        <w:sz w:val="18"/>
      </w:rPr>
      <w:fldChar w:fldCharType="separate"/>
    </w:r>
    <w:r w:rsidRPr="0023080B">
      <w:rPr>
        <w:b/>
        <w:noProof/>
        <w:sz w:val="18"/>
      </w:rPr>
      <w:t>2</w:t>
    </w:r>
    <w:r w:rsidRPr="0023080B">
      <w:rPr>
        <w:b/>
        <w:sz w:val="18"/>
      </w:rPr>
      <w:fldChar w:fldCharType="end"/>
    </w:r>
    <w:r>
      <w:rPr>
        <w:b/>
        <w:sz w:val="18"/>
      </w:rPr>
      <w:tab/>
    </w:r>
    <w:r>
      <w:t>GE.20-04221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9585" w14:textId="77777777" w:rsidR="0023080B" w:rsidRPr="0023080B" w:rsidRDefault="0023080B" w:rsidP="0023080B">
    <w:pPr>
      <w:pStyle w:val="Footer"/>
      <w:tabs>
        <w:tab w:val="right" w:pos="9638"/>
      </w:tabs>
      <w:rPr>
        <w:b/>
        <w:sz w:val="18"/>
      </w:rPr>
    </w:pPr>
    <w:r>
      <w:t>GE.20-04221</w:t>
    </w:r>
    <w:r>
      <w:tab/>
    </w:r>
    <w:r w:rsidRPr="0023080B">
      <w:rPr>
        <w:b/>
        <w:sz w:val="18"/>
      </w:rPr>
      <w:fldChar w:fldCharType="begin"/>
    </w:r>
    <w:r w:rsidRPr="0023080B">
      <w:rPr>
        <w:b/>
        <w:sz w:val="18"/>
      </w:rPr>
      <w:instrText xml:space="preserve"> PAGE  \* MERGEFORMAT </w:instrText>
    </w:r>
    <w:r w:rsidRPr="0023080B">
      <w:rPr>
        <w:b/>
        <w:sz w:val="18"/>
      </w:rPr>
      <w:fldChar w:fldCharType="separate"/>
    </w:r>
    <w:r w:rsidRPr="0023080B">
      <w:rPr>
        <w:b/>
        <w:noProof/>
        <w:sz w:val="18"/>
      </w:rPr>
      <w:t>3</w:t>
    </w:r>
    <w:r w:rsidRPr="00230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F7FA" w14:textId="77777777" w:rsidR="0068456F" w:rsidRPr="0023080B" w:rsidRDefault="0023080B" w:rsidP="0023080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80D577" wp14:editId="0989E83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04221  (</w:t>
    </w:r>
    <w:proofErr w:type="gramEnd"/>
    <w:r>
      <w:rPr>
        <w:sz w:val="20"/>
      </w:rPr>
      <w:t>F)    010420    020420</w:t>
    </w:r>
    <w:r>
      <w:rPr>
        <w:sz w:val="20"/>
      </w:rPr>
      <w:br/>
    </w:r>
    <w:r w:rsidRPr="0023080B">
      <w:rPr>
        <w:rFonts w:ascii="C39T30Lfz" w:hAnsi="C39T30Lfz"/>
        <w:sz w:val="56"/>
      </w:rPr>
      <w:t></w:t>
    </w:r>
    <w:r w:rsidRPr="0023080B">
      <w:rPr>
        <w:rFonts w:ascii="C39T30Lfz" w:hAnsi="C39T30Lfz"/>
        <w:sz w:val="56"/>
      </w:rPr>
      <w:t></w:t>
    </w:r>
    <w:r w:rsidRPr="0023080B">
      <w:rPr>
        <w:rFonts w:ascii="C39T30Lfz" w:hAnsi="C39T30Lfz"/>
        <w:sz w:val="56"/>
      </w:rPr>
      <w:t></w:t>
    </w:r>
    <w:r w:rsidRPr="0023080B">
      <w:rPr>
        <w:rFonts w:ascii="C39T30Lfz" w:hAnsi="C39T30Lfz"/>
        <w:sz w:val="56"/>
      </w:rPr>
      <w:t></w:t>
    </w:r>
    <w:r w:rsidRPr="0023080B">
      <w:rPr>
        <w:rFonts w:ascii="C39T30Lfz" w:hAnsi="C39T30Lfz"/>
        <w:sz w:val="56"/>
      </w:rPr>
      <w:t></w:t>
    </w:r>
    <w:r w:rsidRPr="0023080B">
      <w:rPr>
        <w:rFonts w:ascii="C39T30Lfz" w:hAnsi="C39T30Lfz"/>
        <w:sz w:val="56"/>
      </w:rPr>
      <w:t></w:t>
    </w:r>
    <w:r w:rsidRPr="0023080B">
      <w:rPr>
        <w:rFonts w:ascii="C39T30Lfz" w:hAnsi="C39T30Lfz"/>
        <w:sz w:val="56"/>
      </w:rPr>
      <w:t></w:t>
    </w:r>
    <w:r w:rsidRPr="0023080B">
      <w:rPr>
        <w:rFonts w:ascii="C39T30Lfz" w:hAnsi="C39T30Lfz"/>
        <w:sz w:val="56"/>
      </w:rPr>
      <w:t></w:t>
    </w:r>
    <w:r w:rsidRPr="0023080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A9E1904" wp14:editId="6E32672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20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20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38B9" w14:textId="77777777" w:rsidR="00593690" w:rsidRPr="00AC3823" w:rsidRDefault="005936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C0A0D7" w14:textId="77777777" w:rsidR="00593690" w:rsidRPr="00AC3823" w:rsidRDefault="005936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FB7F09" w14:textId="77777777" w:rsidR="00593690" w:rsidRPr="00AC3823" w:rsidRDefault="00593690">
      <w:pPr>
        <w:spacing w:line="240" w:lineRule="auto"/>
        <w:rPr>
          <w:sz w:val="2"/>
          <w:szCs w:val="2"/>
        </w:rPr>
      </w:pPr>
    </w:p>
  </w:footnote>
  <w:footnote w:id="2">
    <w:p w14:paraId="1EACF015" w14:textId="77777777" w:rsidR="0023080B" w:rsidRPr="004D7017" w:rsidRDefault="0023080B" w:rsidP="0023080B">
      <w:pPr>
        <w:pStyle w:val="FootnoteText"/>
      </w:pPr>
      <w:r>
        <w:rPr>
          <w:lang w:val="fr-FR"/>
        </w:rPr>
        <w:tab/>
      </w:r>
      <w:r w:rsidRPr="0023080B">
        <w:rPr>
          <w:sz w:val="20"/>
          <w:lang w:val="fr-FR"/>
        </w:rPr>
        <w:t>*</w:t>
      </w:r>
      <w:r>
        <w:rPr>
          <w:lang w:val="fr-FR"/>
        </w:rPr>
        <w:tab/>
        <w:t>2020 (A/74/6 (</w:t>
      </w:r>
      <w:r w:rsidRPr="0023080B">
        <w:t>Sect</w:t>
      </w:r>
      <w:r>
        <w:rPr>
          <w:lang w:val="fr-FR"/>
        </w:rPr>
        <w:t>.</w:t>
      </w:r>
      <w:r w:rsidR="00DA21AD">
        <w:rPr>
          <w:lang w:val="fr-FR"/>
        </w:rPr>
        <w:t xml:space="preserve"> </w:t>
      </w:r>
      <w:r>
        <w:rPr>
          <w:lang w:val="fr-FR"/>
        </w:rPr>
        <w:t>20)) et Supplément, Sous-Programme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6F67" w14:textId="57C63631" w:rsidR="0023080B" w:rsidRPr="0023080B" w:rsidRDefault="002C52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ST/SG/AC.10/C.4/2020/2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C533" w14:textId="7CEEC4D9" w:rsidR="0023080B" w:rsidRPr="0023080B" w:rsidRDefault="002C52C1" w:rsidP="0023080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ST/SG/AC.10/C.4/2020/2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0"/>
    <w:rsid w:val="00017F94"/>
    <w:rsid w:val="00023842"/>
    <w:rsid w:val="000305D3"/>
    <w:rsid w:val="000334F9"/>
    <w:rsid w:val="0007796D"/>
    <w:rsid w:val="0009240E"/>
    <w:rsid w:val="000B7790"/>
    <w:rsid w:val="00111F2F"/>
    <w:rsid w:val="00132EA9"/>
    <w:rsid w:val="0014365E"/>
    <w:rsid w:val="00176178"/>
    <w:rsid w:val="001F525A"/>
    <w:rsid w:val="00223272"/>
    <w:rsid w:val="0023080B"/>
    <w:rsid w:val="0024779E"/>
    <w:rsid w:val="002506B6"/>
    <w:rsid w:val="00283190"/>
    <w:rsid w:val="002832AC"/>
    <w:rsid w:val="002C52C1"/>
    <w:rsid w:val="002D7C93"/>
    <w:rsid w:val="00441C3B"/>
    <w:rsid w:val="00446FE5"/>
    <w:rsid w:val="00452396"/>
    <w:rsid w:val="004E468C"/>
    <w:rsid w:val="004F3CC0"/>
    <w:rsid w:val="005505B7"/>
    <w:rsid w:val="00573BE5"/>
    <w:rsid w:val="00584DC4"/>
    <w:rsid w:val="00586ED3"/>
    <w:rsid w:val="00593690"/>
    <w:rsid w:val="00596AA9"/>
    <w:rsid w:val="0068456F"/>
    <w:rsid w:val="0071601D"/>
    <w:rsid w:val="007A62E6"/>
    <w:rsid w:val="007D7792"/>
    <w:rsid w:val="0080684C"/>
    <w:rsid w:val="00871C75"/>
    <w:rsid w:val="008776DC"/>
    <w:rsid w:val="008B40CD"/>
    <w:rsid w:val="009705C8"/>
    <w:rsid w:val="009C1CF4"/>
    <w:rsid w:val="009C6BD4"/>
    <w:rsid w:val="00A30353"/>
    <w:rsid w:val="00AC3823"/>
    <w:rsid w:val="00AD15F7"/>
    <w:rsid w:val="00AE323C"/>
    <w:rsid w:val="00B00181"/>
    <w:rsid w:val="00B00B0D"/>
    <w:rsid w:val="00B765F7"/>
    <w:rsid w:val="00BA0CA9"/>
    <w:rsid w:val="00C02897"/>
    <w:rsid w:val="00D3439C"/>
    <w:rsid w:val="00DA21AD"/>
    <w:rsid w:val="00DB1831"/>
    <w:rsid w:val="00DD3BFD"/>
    <w:rsid w:val="00DF6678"/>
    <w:rsid w:val="00E36650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7E7FC"/>
  <w15:docId w15:val="{AE3A8F12-ACDC-4008-913D-DE357B47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ST/SG/AC.10/C.4/2020/2</vt:lpstr>
      <vt:lpstr>ST/SG/AC.10/C.4/2020/2</vt:lpstr>
    </vt:vector>
  </TitlesOfParts>
  <Company>DCM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ST/SG/AC.10/C.4/2020/2</dc:title>
  <dc:subject/>
  <dc:creator>Sandrine CLERE</dc:creator>
  <cp:keywords/>
  <cp:lastModifiedBy>Laurence Berthet</cp:lastModifiedBy>
  <cp:revision>3</cp:revision>
  <cp:lastPrinted>2020-04-02T10:57:00Z</cp:lastPrinted>
  <dcterms:created xsi:type="dcterms:W3CDTF">2020-04-02T10:57:00Z</dcterms:created>
  <dcterms:modified xsi:type="dcterms:W3CDTF">2020-04-02T10:58:00Z</dcterms:modified>
</cp:coreProperties>
</file>