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825D0" w14:paraId="2F635E2B" w14:textId="77777777" w:rsidTr="000216CC">
        <w:trPr>
          <w:trHeight w:val="851"/>
        </w:trPr>
        <w:tc>
          <w:tcPr>
            <w:tcW w:w="1259" w:type="dxa"/>
            <w:tcBorders>
              <w:top w:val="nil"/>
              <w:left w:val="nil"/>
              <w:bottom w:val="single" w:sz="4" w:space="0" w:color="auto"/>
              <w:right w:val="nil"/>
            </w:tcBorders>
            <w:shd w:val="clear" w:color="auto" w:fill="auto"/>
          </w:tcPr>
          <w:p w14:paraId="17D9D754" w14:textId="77777777" w:rsidR="003003A7" w:rsidRPr="003825D0"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1B268031" w14:textId="77777777" w:rsidR="003003A7" w:rsidRPr="003825D0"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F10A700" w14:textId="5B6A9087" w:rsidR="003003A7" w:rsidRPr="003825D0" w:rsidRDefault="003003A7" w:rsidP="003003A7">
            <w:pPr>
              <w:jc w:val="right"/>
              <w:rPr>
                <w:b/>
                <w:sz w:val="40"/>
                <w:szCs w:val="40"/>
              </w:rPr>
            </w:pPr>
            <w:r w:rsidRPr="003825D0">
              <w:rPr>
                <w:b/>
                <w:sz w:val="40"/>
                <w:szCs w:val="40"/>
              </w:rPr>
              <w:t>UN/SCE</w:t>
            </w:r>
            <w:r w:rsidR="009E7EDE" w:rsidRPr="003825D0">
              <w:rPr>
                <w:b/>
                <w:sz w:val="40"/>
                <w:szCs w:val="40"/>
              </w:rPr>
              <w:t>TDG</w:t>
            </w:r>
            <w:r w:rsidRPr="003825D0">
              <w:rPr>
                <w:b/>
                <w:sz w:val="40"/>
                <w:szCs w:val="40"/>
              </w:rPr>
              <w:t>/</w:t>
            </w:r>
            <w:r w:rsidR="009E7EDE" w:rsidRPr="003825D0">
              <w:rPr>
                <w:b/>
                <w:sz w:val="40"/>
                <w:szCs w:val="40"/>
              </w:rPr>
              <w:t>57</w:t>
            </w:r>
            <w:r w:rsidRPr="003825D0">
              <w:rPr>
                <w:b/>
                <w:sz w:val="40"/>
                <w:szCs w:val="40"/>
              </w:rPr>
              <w:t>/INF.</w:t>
            </w:r>
            <w:r w:rsidR="0049407F">
              <w:rPr>
                <w:b/>
                <w:sz w:val="40"/>
                <w:szCs w:val="40"/>
              </w:rPr>
              <w:t>33</w:t>
            </w:r>
          </w:p>
          <w:p w14:paraId="6A44E22F" w14:textId="2E6185B2" w:rsidR="009E7EDE" w:rsidRPr="003825D0" w:rsidRDefault="009E7EDE" w:rsidP="003003A7">
            <w:pPr>
              <w:jc w:val="right"/>
              <w:rPr>
                <w:b/>
                <w:sz w:val="40"/>
                <w:szCs w:val="40"/>
              </w:rPr>
            </w:pPr>
            <w:r w:rsidRPr="003825D0">
              <w:rPr>
                <w:b/>
                <w:sz w:val="40"/>
                <w:szCs w:val="40"/>
              </w:rPr>
              <w:t>UN/SCEGHS/39/INF.</w:t>
            </w:r>
            <w:r w:rsidR="0049407F">
              <w:rPr>
                <w:b/>
                <w:sz w:val="40"/>
                <w:szCs w:val="40"/>
              </w:rPr>
              <w:t>19</w:t>
            </w:r>
          </w:p>
          <w:p w14:paraId="2CE3849E" w14:textId="77777777" w:rsidR="003003A7" w:rsidRPr="003825D0" w:rsidRDefault="003003A7" w:rsidP="003003A7">
            <w:pPr>
              <w:jc w:val="right"/>
            </w:pPr>
          </w:p>
        </w:tc>
      </w:tr>
    </w:tbl>
    <w:tbl>
      <w:tblPr>
        <w:tblW w:w="9645" w:type="dxa"/>
        <w:tblInd w:w="108" w:type="dxa"/>
        <w:tblLayout w:type="fixed"/>
        <w:tblLook w:val="04A0" w:firstRow="1" w:lastRow="0" w:firstColumn="1" w:lastColumn="0" w:noHBand="0" w:noVBand="1"/>
      </w:tblPr>
      <w:tblGrid>
        <w:gridCol w:w="4652"/>
        <w:gridCol w:w="4993"/>
      </w:tblGrid>
      <w:tr w:rsidR="0039115F" w:rsidRPr="003825D0" w14:paraId="45A25DD4" w14:textId="77777777" w:rsidTr="00360D5D">
        <w:tc>
          <w:tcPr>
            <w:tcW w:w="9645" w:type="dxa"/>
            <w:gridSpan w:val="2"/>
            <w:tcMar>
              <w:top w:w="142" w:type="dxa"/>
              <w:left w:w="108" w:type="dxa"/>
              <w:bottom w:w="142" w:type="dxa"/>
              <w:right w:w="108" w:type="dxa"/>
            </w:tcMar>
          </w:tcPr>
          <w:p w14:paraId="15CBC71D" w14:textId="728B569D" w:rsidR="0039115F" w:rsidRPr="003825D0" w:rsidRDefault="0039115F" w:rsidP="00B066BD">
            <w:pPr>
              <w:tabs>
                <w:tab w:val="right" w:pos="9214"/>
              </w:tabs>
            </w:pPr>
            <w:r w:rsidRPr="003825D0">
              <w:rPr>
                <w:b/>
                <w:sz w:val="24"/>
                <w:szCs w:val="24"/>
              </w:rPr>
              <w:t>Committee of Experts on the Transport of Dangerous Goods</w:t>
            </w:r>
            <w:r w:rsidRPr="003825D0">
              <w:rPr>
                <w:b/>
                <w:sz w:val="24"/>
                <w:szCs w:val="24"/>
              </w:rPr>
              <w:tab/>
            </w:r>
            <w:r w:rsidRPr="003825D0">
              <w:rPr>
                <w:b/>
                <w:sz w:val="24"/>
                <w:szCs w:val="24"/>
              </w:rPr>
              <w:br/>
              <w:t>and on the Globally Harmonized System of Classification</w:t>
            </w:r>
            <w:r w:rsidRPr="003825D0">
              <w:rPr>
                <w:b/>
                <w:sz w:val="24"/>
                <w:szCs w:val="24"/>
              </w:rPr>
              <w:br/>
              <w:t>and Labelling of Chemicals</w:t>
            </w:r>
            <w:r w:rsidRPr="003825D0">
              <w:rPr>
                <w:b/>
              </w:rPr>
              <w:tab/>
            </w:r>
            <w:r w:rsidR="004D6DCE">
              <w:rPr>
                <w:b/>
              </w:rPr>
              <w:t>6</w:t>
            </w:r>
            <w:bookmarkStart w:id="0" w:name="_GoBack"/>
            <w:bookmarkEnd w:id="0"/>
            <w:r w:rsidRPr="003825D0">
              <w:rPr>
                <w:b/>
              </w:rPr>
              <w:t xml:space="preserve"> </w:t>
            </w:r>
            <w:r w:rsidR="00B066BD">
              <w:rPr>
                <w:b/>
              </w:rPr>
              <w:t>November</w:t>
            </w:r>
            <w:r w:rsidRPr="003825D0">
              <w:rPr>
                <w:b/>
              </w:rPr>
              <w:t xml:space="preserve"> 2020</w:t>
            </w:r>
          </w:p>
        </w:tc>
      </w:tr>
      <w:tr w:rsidR="0039115F" w:rsidRPr="003825D0" w14:paraId="0DECC91D" w14:textId="77777777" w:rsidTr="00360D5D">
        <w:tc>
          <w:tcPr>
            <w:tcW w:w="4652" w:type="dxa"/>
            <w:tcMar>
              <w:top w:w="57" w:type="dxa"/>
              <w:left w:w="108" w:type="dxa"/>
              <w:bottom w:w="0" w:type="dxa"/>
              <w:right w:w="108" w:type="dxa"/>
            </w:tcMar>
            <w:vAlign w:val="center"/>
          </w:tcPr>
          <w:p w14:paraId="00F673FF" w14:textId="77777777" w:rsidR="0039115F" w:rsidRPr="003825D0" w:rsidRDefault="0039115F" w:rsidP="00360D5D">
            <w:pPr>
              <w:spacing w:before="120"/>
              <w:rPr>
                <w:b/>
              </w:rPr>
            </w:pPr>
            <w:r w:rsidRPr="003825D0">
              <w:rPr>
                <w:b/>
              </w:rPr>
              <w:t xml:space="preserve">Sub-Committee of Experts on the </w:t>
            </w:r>
            <w:r w:rsidRPr="003825D0">
              <w:rPr>
                <w:b/>
              </w:rPr>
              <w:br/>
              <w:t xml:space="preserve">Transport of Dangerous Goods </w:t>
            </w:r>
          </w:p>
        </w:tc>
        <w:tc>
          <w:tcPr>
            <w:tcW w:w="4993" w:type="dxa"/>
            <w:tcMar>
              <w:top w:w="57" w:type="dxa"/>
              <w:left w:w="108" w:type="dxa"/>
              <w:bottom w:w="0" w:type="dxa"/>
              <w:right w:w="108" w:type="dxa"/>
            </w:tcMar>
            <w:vAlign w:val="center"/>
          </w:tcPr>
          <w:p w14:paraId="09CCB949" w14:textId="77777777" w:rsidR="0039115F" w:rsidRPr="003825D0" w:rsidRDefault="0039115F" w:rsidP="00360D5D">
            <w:pPr>
              <w:spacing w:before="120"/>
              <w:rPr>
                <w:b/>
              </w:rPr>
            </w:pPr>
            <w:r w:rsidRPr="003825D0">
              <w:rPr>
                <w:b/>
              </w:rPr>
              <w:t>Sub-Committee of Experts on the Globally Harmonized System of Classification and Labelling of Chemicals</w:t>
            </w:r>
          </w:p>
        </w:tc>
      </w:tr>
      <w:tr w:rsidR="0039115F" w:rsidRPr="003825D0" w14:paraId="5787C3D9" w14:textId="77777777" w:rsidTr="00360D5D">
        <w:tc>
          <w:tcPr>
            <w:tcW w:w="4652" w:type="dxa"/>
            <w:tcMar>
              <w:top w:w="57" w:type="dxa"/>
              <w:left w:w="108" w:type="dxa"/>
              <w:bottom w:w="0" w:type="dxa"/>
              <w:right w:w="108" w:type="dxa"/>
            </w:tcMar>
          </w:tcPr>
          <w:p w14:paraId="4FEC273A" w14:textId="77777777" w:rsidR="0039115F" w:rsidRPr="003825D0" w:rsidRDefault="0039115F" w:rsidP="00360D5D">
            <w:pPr>
              <w:spacing w:before="120"/>
              <w:ind w:left="34" w:hanging="34"/>
              <w:rPr>
                <w:b/>
              </w:rPr>
            </w:pPr>
            <w:r w:rsidRPr="003825D0">
              <w:rPr>
                <w:b/>
              </w:rPr>
              <w:t>Fifty-seventh session</w:t>
            </w:r>
          </w:p>
        </w:tc>
        <w:tc>
          <w:tcPr>
            <w:tcW w:w="4993" w:type="dxa"/>
            <w:tcMar>
              <w:top w:w="57" w:type="dxa"/>
              <w:left w:w="108" w:type="dxa"/>
              <w:bottom w:w="0" w:type="dxa"/>
              <w:right w:w="108" w:type="dxa"/>
            </w:tcMar>
          </w:tcPr>
          <w:p w14:paraId="31A9BB6B" w14:textId="77777777" w:rsidR="0039115F" w:rsidRPr="003825D0" w:rsidRDefault="0039115F" w:rsidP="00360D5D">
            <w:pPr>
              <w:spacing w:before="120"/>
              <w:ind w:left="34" w:hanging="34"/>
              <w:rPr>
                <w:b/>
              </w:rPr>
            </w:pPr>
            <w:r w:rsidRPr="003825D0">
              <w:rPr>
                <w:b/>
              </w:rPr>
              <w:t xml:space="preserve">Thirty-ninth session </w:t>
            </w:r>
          </w:p>
        </w:tc>
      </w:tr>
      <w:tr w:rsidR="0039115F" w:rsidRPr="003825D0" w14:paraId="34779490" w14:textId="77777777" w:rsidTr="00360D5D">
        <w:tc>
          <w:tcPr>
            <w:tcW w:w="4652" w:type="dxa"/>
            <w:tcMar>
              <w:top w:w="28" w:type="dxa"/>
              <w:left w:w="108" w:type="dxa"/>
              <w:bottom w:w="0" w:type="dxa"/>
              <w:right w:w="108" w:type="dxa"/>
            </w:tcMar>
          </w:tcPr>
          <w:p w14:paraId="0E713CB8" w14:textId="10B2637B" w:rsidR="0039115F" w:rsidRPr="003825D0" w:rsidRDefault="0039115F" w:rsidP="0039115F">
            <w:r w:rsidRPr="003825D0">
              <w:t xml:space="preserve">Geneva, </w:t>
            </w:r>
            <w:r w:rsidR="00EF4021">
              <w:t>30 November</w:t>
            </w:r>
            <w:r w:rsidRPr="003825D0">
              <w:t xml:space="preserve">-8 </w:t>
            </w:r>
            <w:r w:rsidR="00EF4021">
              <w:t>December</w:t>
            </w:r>
            <w:r w:rsidRPr="003825D0">
              <w:t xml:space="preserve"> 2020</w:t>
            </w:r>
          </w:p>
          <w:p w14:paraId="2D0683FC" w14:textId="40A24ADD" w:rsidR="007E1BE6" w:rsidRPr="003825D0" w:rsidRDefault="00EF4021" w:rsidP="007E1BE6">
            <w:pPr>
              <w:ind w:right="57"/>
              <w:jc w:val="both"/>
            </w:pPr>
            <w:r>
              <w:t>Item 11</w:t>
            </w:r>
            <w:r w:rsidR="007E1BE6" w:rsidRPr="003825D0">
              <w:t xml:space="preserve"> (a) of the provisional agenda</w:t>
            </w:r>
          </w:p>
          <w:p w14:paraId="26868EA5" w14:textId="6E021656" w:rsidR="0039115F" w:rsidRPr="003825D0" w:rsidRDefault="007E1BE6" w:rsidP="007E1BE6">
            <w:pPr>
              <w:rPr>
                <w:b/>
                <w:bCs/>
                <w:highlight w:val="yellow"/>
              </w:rPr>
            </w:pPr>
            <w:r w:rsidRPr="003825D0">
              <w:rPr>
                <w:b/>
              </w:rPr>
              <w:t xml:space="preserve">Issues relating to the Globally Harmonized System </w:t>
            </w:r>
            <w:r w:rsidRPr="003825D0">
              <w:rPr>
                <w:b/>
              </w:rPr>
              <w:br/>
              <w:t xml:space="preserve">of Classification and Labelling of Chemicals: </w:t>
            </w:r>
            <w:r w:rsidRPr="003825D0">
              <w:rPr>
                <w:b/>
              </w:rPr>
              <w:br/>
              <w:t>review of Chapter 2.1</w:t>
            </w:r>
          </w:p>
        </w:tc>
        <w:tc>
          <w:tcPr>
            <w:tcW w:w="4993" w:type="dxa"/>
            <w:tcMar>
              <w:top w:w="28" w:type="dxa"/>
              <w:left w:w="108" w:type="dxa"/>
              <w:bottom w:w="0" w:type="dxa"/>
              <w:right w:w="108" w:type="dxa"/>
            </w:tcMar>
          </w:tcPr>
          <w:p w14:paraId="131B1B06" w14:textId="30814A6A" w:rsidR="0039115F" w:rsidRPr="003825D0" w:rsidRDefault="00EF4021" w:rsidP="0039115F">
            <w:r>
              <w:t>Geneva, 9-11</w:t>
            </w:r>
            <w:r w:rsidR="0039115F" w:rsidRPr="003825D0">
              <w:t xml:space="preserve"> </w:t>
            </w:r>
            <w:r>
              <w:t>December</w:t>
            </w:r>
            <w:r w:rsidR="0039115F" w:rsidRPr="003825D0">
              <w:t xml:space="preserve"> 2020</w:t>
            </w:r>
          </w:p>
          <w:p w14:paraId="11E868CF" w14:textId="7A20B2C5" w:rsidR="0039115F" w:rsidRPr="003825D0" w:rsidRDefault="0039115F" w:rsidP="0039115F">
            <w:pPr>
              <w:rPr>
                <w:highlight w:val="yellow"/>
              </w:rPr>
            </w:pPr>
            <w:r w:rsidRPr="003825D0">
              <w:t xml:space="preserve">Item </w:t>
            </w:r>
            <w:r w:rsidR="00EF4021">
              <w:t>3</w:t>
            </w:r>
            <w:r w:rsidR="009E7EDE" w:rsidRPr="003825D0">
              <w:t xml:space="preserve"> (b)</w:t>
            </w:r>
            <w:r w:rsidRPr="003825D0">
              <w:t xml:space="preserve"> of the provisional agenda</w:t>
            </w:r>
          </w:p>
          <w:p w14:paraId="1C098672" w14:textId="6296EDA5" w:rsidR="0039115F" w:rsidRPr="003825D0" w:rsidRDefault="009E7EDE" w:rsidP="0039115F">
            <w:pPr>
              <w:rPr>
                <w:b/>
                <w:bCs/>
              </w:rPr>
            </w:pPr>
            <w:r w:rsidRPr="003825D0">
              <w:rPr>
                <w:b/>
                <w:bCs/>
              </w:rPr>
              <w:t>Classification criteria and related hazard communication: review of Chapter 2.1</w:t>
            </w:r>
          </w:p>
        </w:tc>
      </w:tr>
    </w:tbl>
    <w:p w14:paraId="18A450CA" w14:textId="4C15DE47" w:rsidR="006B4518" w:rsidRPr="003825D0" w:rsidRDefault="007D01B5" w:rsidP="009E7EDE">
      <w:pPr>
        <w:pStyle w:val="HChG"/>
        <w:spacing w:before="240" w:after="120"/>
        <w:rPr>
          <w:lang w:val="en-GB"/>
        </w:rPr>
      </w:pPr>
      <w:r>
        <w:rPr>
          <w:lang w:val="en-GB"/>
        </w:rPr>
        <w:tab/>
      </w:r>
      <w:r>
        <w:rPr>
          <w:lang w:val="en-GB"/>
        </w:rPr>
        <w:tab/>
      </w:r>
      <w:r w:rsidR="00D97B68" w:rsidRPr="003825D0">
        <w:rPr>
          <w:lang w:val="en-GB"/>
        </w:rPr>
        <w:t>Possible amendment to proposed new GHS Chapter 2.1 for products consisting of or containing explosives</w:t>
      </w:r>
      <w:r w:rsidR="006F54B7">
        <w:rPr>
          <w:lang w:val="en-GB"/>
        </w:rPr>
        <w:t>,</w:t>
      </w:r>
      <w:r w:rsidR="00D97B68" w:rsidRPr="003825D0">
        <w:rPr>
          <w:lang w:val="en-GB"/>
        </w:rPr>
        <w:t xml:space="preserve"> </w:t>
      </w:r>
      <w:r w:rsidR="006F54B7">
        <w:rPr>
          <w:lang w:val="en-GB"/>
        </w:rPr>
        <w:t>which</w:t>
      </w:r>
      <w:r w:rsidR="00D97B68" w:rsidRPr="003825D0">
        <w:rPr>
          <w:lang w:val="en-GB"/>
        </w:rPr>
        <w:t xml:space="preserve"> are not class</w:t>
      </w:r>
      <w:r w:rsidR="006603BB" w:rsidRPr="003825D0">
        <w:rPr>
          <w:lang w:val="en-GB"/>
        </w:rPr>
        <w:t>i</w:t>
      </w:r>
      <w:r w:rsidR="00D97B68" w:rsidRPr="003825D0">
        <w:rPr>
          <w:lang w:val="en-GB"/>
        </w:rPr>
        <w:t>fied as Class 1 for transport</w:t>
      </w:r>
    </w:p>
    <w:p w14:paraId="72BC1D89" w14:textId="4FC4490F" w:rsidR="00055FF2" w:rsidRPr="003825D0" w:rsidRDefault="00D97B68" w:rsidP="00DA7F19">
      <w:pPr>
        <w:pStyle w:val="H1G"/>
      </w:pPr>
      <w:r w:rsidRPr="003825D0">
        <w:tab/>
      </w:r>
      <w:r w:rsidRPr="003825D0">
        <w:tab/>
        <w:t>Transmitted by the expert from Sweden on behalf of the Informal Correspondence Group on the Review of GHS Chapter 2.1</w:t>
      </w:r>
    </w:p>
    <w:p w14:paraId="35C60DE7" w14:textId="0DAA5258" w:rsidR="00BB183E" w:rsidRPr="00C92AD1" w:rsidRDefault="00C92AD1" w:rsidP="00BB183E">
      <w:pPr>
        <w:pStyle w:val="HChG"/>
        <w:ind w:left="2268"/>
        <w:rPr>
          <w:sz w:val="20"/>
          <w:lang w:val="en-GB"/>
        </w:rPr>
      </w:pPr>
      <w:r w:rsidRPr="00C92AD1">
        <w:rPr>
          <w:sz w:val="24"/>
          <w:lang w:val="en-GB"/>
        </w:rPr>
        <w:t>Background</w:t>
      </w:r>
    </w:p>
    <w:p w14:paraId="60C30B0D" w14:textId="49B034D4" w:rsidR="00D97B68" w:rsidRPr="007A323D" w:rsidRDefault="006A35DA" w:rsidP="006A35DA">
      <w:pPr>
        <w:pStyle w:val="SingleTxtG"/>
        <w:rPr>
          <w:lang w:val="en-GB"/>
        </w:rPr>
      </w:pPr>
      <w:r w:rsidRPr="007A323D">
        <w:rPr>
          <w:lang w:val="en-GB"/>
        </w:rPr>
        <w:t>1.</w:t>
      </w:r>
      <w:r w:rsidRPr="007A323D">
        <w:rPr>
          <w:lang w:val="en-GB"/>
        </w:rPr>
        <w:tab/>
      </w:r>
      <w:r w:rsidR="00D97B68" w:rsidRPr="003825D0">
        <w:rPr>
          <w:lang w:val="en-GB"/>
        </w:rPr>
        <w:t xml:space="preserve">Document </w:t>
      </w:r>
      <w:r w:rsidR="00CA4DF2" w:rsidRPr="007A323D">
        <w:rPr>
          <w:lang w:val="en-GB"/>
        </w:rPr>
        <w:t>ST/SG/AC.10/C.3/2020/20−ST/SG/AC.10/C.4/2020/5</w:t>
      </w:r>
      <w:r w:rsidR="00D97B68" w:rsidRPr="00CA4DF2">
        <w:rPr>
          <w:lang w:val="en-GB"/>
        </w:rPr>
        <w:t xml:space="preserve"> contains a proposal for a new Chapter 2.1 (</w:t>
      </w:r>
      <w:r w:rsidR="00ED5DBC">
        <w:rPr>
          <w:lang w:val="en-GB"/>
        </w:rPr>
        <w:t>E</w:t>
      </w:r>
      <w:r w:rsidR="00D97B68" w:rsidRPr="00CA4DF2">
        <w:rPr>
          <w:lang w:val="en-GB"/>
        </w:rPr>
        <w:t>xplosives) for the GHS</w:t>
      </w:r>
      <w:r w:rsidR="00E35BB9">
        <w:rPr>
          <w:lang w:val="en-GB"/>
        </w:rPr>
        <w:t xml:space="preserve">. That </w:t>
      </w:r>
      <w:r w:rsidR="00CA4DF2">
        <w:rPr>
          <w:lang w:val="en-GB"/>
        </w:rPr>
        <w:t xml:space="preserve">document, as amended by document </w:t>
      </w:r>
      <w:r w:rsidR="00CA4DF2" w:rsidRPr="007A323D">
        <w:rPr>
          <w:lang w:val="en-GB"/>
        </w:rPr>
        <w:t>ST/SG/AC.10/C.3/2020/20/Add.1−ST/SG/AC.10/C.4/2020/5/Add.1</w:t>
      </w:r>
      <w:r w:rsidR="00CA4DF2">
        <w:rPr>
          <w:lang w:val="en-GB"/>
        </w:rPr>
        <w:t xml:space="preserve"> </w:t>
      </w:r>
      <w:r w:rsidR="00ED5DBC">
        <w:rPr>
          <w:lang w:val="en-GB"/>
        </w:rPr>
        <w:t xml:space="preserve">together </w:t>
      </w:r>
      <w:r w:rsidR="00CA4DF2">
        <w:rPr>
          <w:lang w:val="en-GB"/>
        </w:rPr>
        <w:t xml:space="preserve">with </w:t>
      </w:r>
      <w:r w:rsidR="00D97B68" w:rsidRPr="00CA4DF2">
        <w:rPr>
          <w:lang w:val="en-GB"/>
        </w:rPr>
        <w:t>the decision logics contained in</w:t>
      </w:r>
      <w:r w:rsidR="00CA4DF2">
        <w:rPr>
          <w:lang w:val="en-GB"/>
        </w:rPr>
        <w:t xml:space="preserve"> </w:t>
      </w:r>
      <w:r w:rsidR="00CA4DF2" w:rsidRPr="007A323D">
        <w:rPr>
          <w:lang w:val="en-GB"/>
        </w:rPr>
        <w:t xml:space="preserve">ST/SG/AC.10/C.4/2020/18 </w:t>
      </w:r>
      <w:r w:rsidR="00D97B68" w:rsidRPr="00CA4DF2">
        <w:rPr>
          <w:lang w:val="en-GB"/>
        </w:rPr>
        <w:t>comprise</w:t>
      </w:r>
      <w:r w:rsidR="00CA4DF2">
        <w:rPr>
          <w:lang w:val="en-GB"/>
        </w:rPr>
        <w:t>s</w:t>
      </w:r>
      <w:r w:rsidR="00D97B68" w:rsidRPr="00CA4DF2">
        <w:rPr>
          <w:lang w:val="en-GB"/>
        </w:rPr>
        <w:t xml:space="preserve"> the entirety of that </w:t>
      </w:r>
      <w:r w:rsidR="00DE136A">
        <w:rPr>
          <w:lang w:val="en-GB"/>
        </w:rPr>
        <w:t xml:space="preserve">GHS </w:t>
      </w:r>
      <w:r w:rsidR="00D97B68" w:rsidRPr="00CA4DF2">
        <w:rPr>
          <w:lang w:val="en-GB"/>
        </w:rPr>
        <w:t xml:space="preserve">chapter. </w:t>
      </w:r>
      <w:r w:rsidR="00CA4DF2">
        <w:rPr>
          <w:lang w:val="en-GB"/>
        </w:rPr>
        <w:t xml:space="preserve">The scope of the new </w:t>
      </w:r>
      <w:r w:rsidR="002B6E6B">
        <w:rPr>
          <w:lang w:val="en-GB"/>
        </w:rPr>
        <w:t xml:space="preserve">GHS </w:t>
      </w:r>
      <w:r w:rsidR="00CA4DF2">
        <w:rPr>
          <w:lang w:val="en-GB"/>
        </w:rPr>
        <w:t>Chapter 2.1, as proposed in these documents, is</w:t>
      </w:r>
      <w:r w:rsidR="00D97B68" w:rsidRPr="00CA4DF2">
        <w:rPr>
          <w:lang w:val="en-GB"/>
        </w:rPr>
        <w:t xml:space="preserve"> identical</w:t>
      </w:r>
      <w:r w:rsidR="00CA4DF2">
        <w:rPr>
          <w:lang w:val="en-GB"/>
        </w:rPr>
        <w:t xml:space="preserve"> to that of the current </w:t>
      </w:r>
      <w:r w:rsidR="00D60843">
        <w:rPr>
          <w:lang w:val="en-GB"/>
        </w:rPr>
        <w:t xml:space="preserve">GHS </w:t>
      </w:r>
      <w:r w:rsidR="00CA4DF2">
        <w:rPr>
          <w:lang w:val="en-GB"/>
        </w:rPr>
        <w:t>Chapter 2.1</w:t>
      </w:r>
      <w:r w:rsidR="00D97B68" w:rsidRPr="00CA4DF2">
        <w:rPr>
          <w:lang w:val="en-GB"/>
        </w:rPr>
        <w:t>.</w:t>
      </w:r>
    </w:p>
    <w:p w14:paraId="4E791A24" w14:textId="5C4E7A21" w:rsidR="00F74141" w:rsidRDefault="006A35DA" w:rsidP="006A35DA">
      <w:pPr>
        <w:pStyle w:val="SingleTxtG"/>
        <w:rPr>
          <w:lang w:val="en-GB"/>
        </w:rPr>
      </w:pPr>
      <w:r>
        <w:rPr>
          <w:lang w:val="en-GB"/>
        </w:rPr>
        <w:t>2.</w:t>
      </w:r>
      <w:r>
        <w:rPr>
          <w:lang w:val="en-GB"/>
        </w:rPr>
        <w:tab/>
      </w:r>
      <w:r w:rsidR="00D97B68" w:rsidRPr="003825D0">
        <w:rPr>
          <w:lang w:val="en-GB"/>
        </w:rPr>
        <w:t xml:space="preserve">An issue </w:t>
      </w:r>
      <w:r w:rsidR="00ED5DBC">
        <w:rPr>
          <w:lang w:val="en-GB"/>
        </w:rPr>
        <w:t>brought up</w:t>
      </w:r>
      <w:r w:rsidR="00ED5DBC" w:rsidRPr="003825D0">
        <w:rPr>
          <w:lang w:val="en-GB"/>
        </w:rPr>
        <w:t xml:space="preserve"> </w:t>
      </w:r>
      <w:r w:rsidR="00D97B68" w:rsidRPr="003825D0">
        <w:rPr>
          <w:lang w:val="en-GB"/>
        </w:rPr>
        <w:t xml:space="preserve">in the </w:t>
      </w:r>
      <w:r w:rsidR="001F0BE0">
        <w:rPr>
          <w:lang w:val="en-GB"/>
        </w:rPr>
        <w:t>Informal Correspondence Group (</w:t>
      </w:r>
      <w:r w:rsidR="00D97B68" w:rsidRPr="003825D0">
        <w:rPr>
          <w:lang w:val="en-GB"/>
        </w:rPr>
        <w:t>ICG</w:t>
      </w:r>
      <w:r w:rsidR="001F0BE0">
        <w:rPr>
          <w:lang w:val="en-GB"/>
        </w:rPr>
        <w:t>)</w:t>
      </w:r>
      <w:r w:rsidR="00ED5DBC">
        <w:rPr>
          <w:lang w:val="en-GB"/>
        </w:rPr>
        <w:t xml:space="preserve"> for the review of GHS Chapter 2.1</w:t>
      </w:r>
      <w:r w:rsidR="00D97B68" w:rsidRPr="003825D0">
        <w:rPr>
          <w:lang w:val="en-GB"/>
        </w:rPr>
        <w:t xml:space="preserve"> is whether it would be possible to improve the current situation</w:t>
      </w:r>
      <w:r w:rsidR="00EE2EFC" w:rsidRPr="003825D0">
        <w:rPr>
          <w:lang w:val="en-GB"/>
        </w:rPr>
        <w:t xml:space="preserve"> </w:t>
      </w:r>
      <w:r w:rsidR="00ED5DBC">
        <w:rPr>
          <w:lang w:val="en-GB"/>
        </w:rPr>
        <w:t>for</w:t>
      </w:r>
      <w:r w:rsidR="00EE2EFC" w:rsidRPr="003825D0">
        <w:rPr>
          <w:lang w:val="en-GB"/>
        </w:rPr>
        <w:t xml:space="preserve"> products that </w:t>
      </w:r>
      <w:r w:rsidR="00D97B68" w:rsidRPr="003825D0">
        <w:rPr>
          <w:lang w:val="en-GB"/>
        </w:rPr>
        <w:t>qualify as explosives according to the definition of th</w:t>
      </w:r>
      <w:r w:rsidR="00E35BB9">
        <w:rPr>
          <w:lang w:val="en-GB"/>
        </w:rPr>
        <w:t xml:space="preserve">e GHS, but </w:t>
      </w:r>
      <w:r w:rsidR="00EE2EFC" w:rsidRPr="003825D0">
        <w:rPr>
          <w:lang w:val="en-GB"/>
        </w:rPr>
        <w:t>are</w:t>
      </w:r>
      <w:r w:rsidR="00D97B68" w:rsidRPr="003825D0">
        <w:rPr>
          <w:lang w:val="en-GB"/>
        </w:rPr>
        <w:t xml:space="preserve"> assigned to </w:t>
      </w:r>
      <w:r w:rsidR="00A016B0">
        <w:rPr>
          <w:lang w:val="en-GB"/>
        </w:rPr>
        <w:t>a</w:t>
      </w:r>
      <w:r w:rsidR="00A016B0" w:rsidRPr="003825D0">
        <w:rPr>
          <w:lang w:val="en-GB"/>
        </w:rPr>
        <w:t xml:space="preserve"> </w:t>
      </w:r>
      <w:r w:rsidR="00D97B68" w:rsidRPr="003825D0">
        <w:rPr>
          <w:lang w:val="en-GB"/>
        </w:rPr>
        <w:t xml:space="preserve">class </w:t>
      </w:r>
      <w:r w:rsidR="00A016B0">
        <w:rPr>
          <w:lang w:val="en-GB"/>
        </w:rPr>
        <w:t xml:space="preserve">other </w:t>
      </w:r>
      <w:r w:rsidR="00D97B68" w:rsidRPr="003825D0">
        <w:rPr>
          <w:lang w:val="en-GB"/>
        </w:rPr>
        <w:t xml:space="preserve">than Class 1 according to the </w:t>
      </w:r>
      <w:r w:rsidR="00E468B7">
        <w:rPr>
          <w:lang w:val="en-GB"/>
        </w:rPr>
        <w:t xml:space="preserve">Dangerous Goods List (DGL) of the </w:t>
      </w:r>
      <w:r w:rsidR="00D97B68" w:rsidRPr="003825D0">
        <w:rPr>
          <w:lang w:val="en-GB"/>
        </w:rPr>
        <w:t>UN Model Regulations.</w:t>
      </w:r>
      <w:r w:rsidR="00973A43">
        <w:rPr>
          <w:rStyle w:val="FootnoteReference"/>
          <w:lang w:val="en-GB"/>
        </w:rPr>
        <w:footnoteReference w:id="2"/>
      </w:r>
      <w:r w:rsidR="00D97B68" w:rsidRPr="003825D0">
        <w:rPr>
          <w:lang w:val="en-GB"/>
        </w:rPr>
        <w:t xml:space="preserve"> </w:t>
      </w:r>
      <w:r w:rsidR="00973A43">
        <w:rPr>
          <w:lang w:val="en-GB"/>
        </w:rPr>
        <w:t>Currently the affected</w:t>
      </w:r>
      <w:r w:rsidR="00973A43" w:rsidRPr="003825D0">
        <w:rPr>
          <w:lang w:val="en-GB"/>
        </w:rPr>
        <w:t xml:space="preserve"> products are in somewhat of a grey area as they are not considered to be explosives</w:t>
      </w:r>
      <w:r w:rsidR="00ED5DBC">
        <w:rPr>
          <w:lang w:val="en-GB"/>
        </w:rPr>
        <w:t xml:space="preserve"> (Class 1)</w:t>
      </w:r>
      <w:r w:rsidR="00973A43" w:rsidRPr="003825D0">
        <w:rPr>
          <w:lang w:val="en-GB"/>
        </w:rPr>
        <w:t xml:space="preserve"> for transport but may become so once they exit this sector depending on the interpretation of the GHS as implemented in other sectors. </w:t>
      </w:r>
      <w:r w:rsidR="00973A43">
        <w:rPr>
          <w:lang w:val="en-GB"/>
        </w:rPr>
        <w:t xml:space="preserve">This situation leads to some </w:t>
      </w:r>
      <w:r w:rsidR="00973A43" w:rsidRPr="003825D0">
        <w:rPr>
          <w:lang w:val="en-GB"/>
        </w:rPr>
        <w:t xml:space="preserve">confusion </w:t>
      </w:r>
      <w:r w:rsidR="00973A43">
        <w:rPr>
          <w:lang w:val="en-GB"/>
        </w:rPr>
        <w:t>and to lack of harmonisation across jurisdictions.</w:t>
      </w:r>
    </w:p>
    <w:p w14:paraId="437A039F" w14:textId="5BB7A9CB" w:rsidR="005342CE" w:rsidRDefault="006A35DA" w:rsidP="006A35DA">
      <w:pPr>
        <w:pStyle w:val="SingleTxtG"/>
        <w:rPr>
          <w:lang w:val="en-GB"/>
        </w:rPr>
      </w:pPr>
      <w:r>
        <w:rPr>
          <w:lang w:val="en-GB"/>
        </w:rPr>
        <w:t>3.</w:t>
      </w:r>
      <w:r>
        <w:rPr>
          <w:lang w:val="en-GB"/>
        </w:rPr>
        <w:tab/>
      </w:r>
      <w:r w:rsidR="005342CE" w:rsidRPr="003825D0">
        <w:rPr>
          <w:lang w:val="en-GB"/>
        </w:rPr>
        <w:t xml:space="preserve">The ICG has discussed </w:t>
      </w:r>
      <w:r w:rsidR="000C515C">
        <w:rPr>
          <w:lang w:val="en-GB"/>
        </w:rPr>
        <w:t xml:space="preserve">potential </w:t>
      </w:r>
      <w:r w:rsidR="005342CE">
        <w:rPr>
          <w:lang w:val="en-GB"/>
        </w:rPr>
        <w:t xml:space="preserve">solutions to this </w:t>
      </w:r>
      <w:r w:rsidR="005342CE" w:rsidRPr="003825D0">
        <w:rPr>
          <w:lang w:val="en-GB"/>
        </w:rPr>
        <w:t>issue within a s</w:t>
      </w:r>
      <w:r w:rsidR="005342CE">
        <w:rPr>
          <w:lang w:val="en-GB"/>
        </w:rPr>
        <w:t>mall Task Force with</w:t>
      </w:r>
      <w:r w:rsidR="005342CE" w:rsidRPr="003825D0">
        <w:rPr>
          <w:lang w:val="en-GB"/>
        </w:rPr>
        <w:t xml:space="preserve"> members that indicated their interest</w:t>
      </w:r>
      <w:r w:rsidR="001F0BE0">
        <w:rPr>
          <w:lang w:val="en-GB"/>
        </w:rPr>
        <w:t xml:space="preserve"> to do so</w:t>
      </w:r>
      <w:r w:rsidR="005342CE" w:rsidRPr="003825D0">
        <w:rPr>
          <w:lang w:val="en-GB"/>
        </w:rPr>
        <w:t xml:space="preserve"> in a questionnaire </w:t>
      </w:r>
      <w:r w:rsidR="00ED5DBC">
        <w:rPr>
          <w:lang w:val="en-GB"/>
        </w:rPr>
        <w:t xml:space="preserve">that </w:t>
      </w:r>
      <w:r w:rsidR="005342CE" w:rsidRPr="003825D0">
        <w:rPr>
          <w:lang w:val="en-GB"/>
        </w:rPr>
        <w:t>was circulated in the ICG</w:t>
      </w:r>
      <w:r w:rsidR="00ED5DBC">
        <w:rPr>
          <w:lang w:val="en-GB"/>
        </w:rPr>
        <w:t xml:space="preserve"> a few days after the virtual GHS-meeting in July 2020</w:t>
      </w:r>
      <w:r w:rsidR="005342CE" w:rsidRPr="003825D0">
        <w:rPr>
          <w:lang w:val="en-GB"/>
        </w:rPr>
        <w:t>.</w:t>
      </w:r>
      <w:r w:rsidR="005342CE">
        <w:rPr>
          <w:lang w:val="en-GB"/>
        </w:rPr>
        <w:t xml:space="preserve"> On </w:t>
      </w:r>
      <w:r w:rsidR="005020FC">
        <w:rPr>
          <w:lang w:val="en-GB"/>
        </w:rPr>
        <w:t xml:space="preserve">the </w:t>
      </w:r>
      <w:r w:rsidR="005342CE">
        <w:rPr>
          <w:lang w:val="en-GB"/>
        </w:rPr>
        <w:t xml:space="preserve">basis of </w:t>
      </w:r>
      <w:r w:rsidR="00EB0B04">
        <w:rPr>
          <w:lang w:val="en-GB"/>
        </w:rPr>
        <w:t xml:space="preserve">answers to </w:t>
      </w:r>
      <w:r w:rsidR="005342CE">
        <w:rPr>
          <w:lang w:val="en-GB"/>
        </w:rPr>
        <w:t xml:space="preserve">the questionnaire, this Task Force sought to explore whether </w:t>
      </w:r>
      <w:r w:rsidR="001F0BE0">
        <w:rPr>
          <w:lang w:val="en-GB"/>
        </w:rPr>
        <w:t>these “</w:t>
      </w:r>
      <w:r w:rsidR="005342CE">
        <w:rPr>
          <w:lang w:val="en-GB"/>
        </w:rPr>
        <w:t>non-Class 1 products</w:t>
      </w:r>
      <w:r w:rsidR="001F0BE0">
        <w:rPr>
          <w:lang w:val="en-GB"/>
        </w:rPr>
        <w:t>”</w:t>
      </w:r>
      <w:r w:rsidR="005342CE">
        <w:rPr>
          <w:lang w:val="en-GB"/>
        </w:rPr>
        <w:t xml:space="preserve"> could be directed to the corresponding GHS hazard classification where possible, and how to treat products where this is not possible</w:t>
      </w:r>
      <w:r w:rsidR="002E5F21">
        <w:rPr>
          <w:lang w:val="en-GB"/>
        </w:rPr>
        <w:t xml:space="preserve"> (products in Class 9 for transport)</w:t>
      </w:r>
      <w:r w:rsidR="005342CE">
        <w:rPr>
          <w:lang w:val="en-GB"/>
        </w:rPr>
        <w:t>.</w:t>
      </w:r>
    </w:p>
    <w:p w14:paraId="3B056D31" w14:textId="129CB43B" w:rsidR="008E03BE" w:rsidRDefault="006A35DA" w:rsidP="006A35DA">
      <w:pPr>
        <w:pStyle w:val="SingleTxtG"/>
        <w:rPr>
          <w:lang w:val="en-GB"/>
        </w:rPr>
      </w:pPr>
      <w:r>
        <w:rPr>
          <w:lang w:val="en-GB"/>
        </w:rPr>
        <w:lastRenderedPageBreak/>
        <w:t>4.</w:t>
      </w:r>
      <w:r>
        <w:rPr>
          <w:lang w:val="en-GB"/>
        </w:rPr>
        <w:tab/>
      </w:r>
      <w:r w:rsidR="008E03BE">
        <w:rPr>
          <w:lang w:val="en-GB"/>
        </w:rPr>
        <w:t>The proposals in this document originate from the results of the work in the Task Force</w:t>
      </w:r>
      <w:r w:rsidR="00CB30F1">
        <w:rPr>
          <w:lang w:val="en-GB"/>
        </w:rPr>
        <w:t xml:space="preserve"> and was </w:t>
      </w:r>
      <w:r w:rsidR="008E03BE">
        <w:rPr>
          <w:lang w:val="en-GB"/>
        </w:rPr>
        <w:t xml:space="preserve">circulated in the </w:t>
      </w:r>
      <w:r w:rsidR="00DE136A">
        <w:rPr>
          <w:lang w:val="en-GB"/>
        </w:rPr>
        <w:t xml:space="preserve">entire </w:t>
      </w:r>
      <w:r w:rsidR="008E03BE">
        <w:rPr>
          <w:lang w:val="en-GB"/>
        </w:rPr>
        <w:t>ICG before its submission</w:t>
      </w:r>
      <w:r w:rsidR="00CB30F1">
        <w:rPr>
          <w:lang w:val="en-GB"/>
        </w:rPr>
        <w:t>. T</w:t>
      </w:r>
      <w:r w:rsidR="008E03BE">
        <w:rPr>
          <w:lang w:val="en-GB"/>
        </w:rPr>
        <w:t xml:space="preserve">he time </w:t>
      </w:r>
      <w:r w:rsidR="000C515C">
        <w:rPr>
          <w:lang w:val="en-GB"/>
        </w:rPr>
        <w:t>allowed for</w:t>
      </w:r>
      <w:r w:rsidR="00DE136A">
        <w:rPr>
          <w:lang w:val="en-GB"/>
        </w:rPr>
        <w:t xml:space="preserve"> the ICG</w:t>
      </w:r>
      <w:r w:rsidR="009410DA">
        <w:rPr>
          <w:lang w:val="en-GB"/>
        </w:rPr>
        <w:t>'</w:t>
      </w:r>
      <w:r w:rsidR="00DE136A">
        <w:rPr>
          <w:lang w:val="en-GB"/>
        </w:rPr>
        <w:t>s</w:t>
      </w:r>
      <w:r w:rsidR="000C515C">
        <w:rPr>
          <w:lang w:val="en-GB"/>
        </w:rPr>
        <w:t xml:space="preserve"> </w:t>
      </w:r>
      <w:r w:rsidR="008E03BE">
        <w:rPr>
          <w:lang w:val="en-GB"/>
        </w:rPr>
        <w:t>review</w:t>
      </w:r>
      <w:r w:rsidR="00CB30F1">
        <w:rPr>
          <w:lang w:val="en-GB"/>
        </w:rPr>
        <w:t xml:space="preserve"> </w:t>
      </w:r>
      <w:r w:rsidR="000C515C">
        <w:rPr>
          <w:lang w:val="en-GB"/>
        </w:rPr>
        <w:t>was</w:t>
      </w:r>
      <w:r w:rsidR="00CB30F1">
        <w:rPr>
          <w:lang w:val="en-GB"/>
        </w:rPr>
        <w:t>, however,</w:t>
      </w:r>
      <w:r w:rsidR="000C515C">
        <w:rPr>
          <w:lang w:val="en-GB"/>
        </w:rPr>
        <w:t xml:space="preserve"> quite short in order for this</w:t>
      </w:r>
      <w:r w:rsidR="008E03BE">
        <w:rPr>
          <w:lang w:val="en-GB"/>
        </w:rPr>
        <w:t xml:space="preserve"> document to be available in good time before the meeting of the Working Group on Explosives</w:t>
      </w:r>
      <w:r w:rsidR="000C515C">
        <w:rPr>
          <w:lang w:val="en-GB"/>
        </w:rPr>
        <w:t xml:space="preserve"> (EWG), which is to commence earlier than normal (and virtually) due to the </w:t>
      </w:r>
      <w:r w:rsidR="00DE136A">
        <w:rPr>
          <w:lang w:val="en-GB"/>
        </w:rPr>
        <w:t xml:space="preserve">prevailing </w:t>
      </w:r>
      <w:r w:rsidR="000C515C">
        <w:rPr>
          <w:lang w:val="en-GB"/>
        </w:rPr>
        <w:t>pandemic situation</w:t>
      </w:r>
      <w:r w:rsidR="008E03BE">
        <w:rPr>
          <w:lang w:val="en-GB"/>
        </w:rPr>
        <w:t>.</w:t>
      </w:r>
    </w:p>
    <w:p w14:paraId="33BF9F1D" w14:textId="4C1F2F94" w:rsidR="00973A43" w:rsidRPr="00F74141" w:rsidRDefault="00F74141" w:rsidP="00F56F6A">
      <w:pPr>
        <w:pStyle w:val="SingleTxtG"/>
        <w:rPr>
          <w:lang w:val="en-GB"/>
        </w:rPr>
      </w:pPr>
      <w:r w:rsidRPr="00F74141">
        <w:rPr>
          <w:b/>
          <w:sz w:val="24"/>
          <w:szCs w:val="24"/>
          <w:lang w:val="en-GB"/>
        </w:rPr>
        <w:t xml:space="preserve">The </w:t>
      </w:r>
      <w:r w:rsidR="00E35BB9">
        <w:rPr>
          <w:b/>
          <w:sz w:val="24"/>
          <w:szCs w:val="24"/>
          <w:lang w:val="en-GB"/>
        </w:rPr>
        <w:t xml:space="preserve">somewhat </w:t>
      </w:r>
      <w:r w:rsidR="00C92AD1">
        <w:rPr>
          <w:b/>
          <w:sz w:val="24"/>
          <w:szCs w:val="24"/>
          <w:lang w:val="en-GB"/>
        </w:rPr>
        <w:t>diffuse</w:t>
      </w:r>
      <w:r w:rsidR="00C92AD1" w:rsidRPr="00F74141">
        <w:rPr>
          <w:b/>
          <w:sz w:val="24"/>
          <w:szCs w:val="24"/>
          <w:lang w:val="en-GB"/>
        </w:rPr>
        <w:t xml:space="preserve"> </w:t>
      </w:r>
      <w:r w:rsidRPr="00F74141">
        <w:rPr>
          <w:b/>
          <w:sz w:val="24"/>
          <w:szCs w:val="24"/>
          <w:lang w:val="en-GB"/>
        </w:rPr>
        <w:t xml:space="preserve">concept of </w:t>
      </w:r>
      <w:r w:rsidR="00973A43" w:rsidRPr="00F74141">
        <w:rPr>
          <w:b/>
          <w:sz w:val="24"/>
          <w:szCs w:val="24"/>
          <w:lang w:val="en-GB"/>
        </w:rPr>
        <w:t>“articles”</w:t>
      </w:r>
    </w:p>
    <w:p w14:paraId="3772659A" w14:textId="638B8188" w:rsidR="005342CE" w:rsidRDefault="006A35DA" w:rsidP="006A35DA">
      <w:pPr>
        <w:pStyle w:val="SingleTxtG"/>
        <w:rPr>
          <w:lang w:val="en-GB"/>
        </w:rPr>
      </w:pPr>
      <w:r>
        <w:rPr>
          <w:lang w:val="en-GB"/>
        </w:rPr>
        <w:t>5.</w:t>
      </w:r>
      <w:r>
        <w:rPr>
          <w:lang w:val="en-GB"/>
        </w:rPr>
        <w:tab/>
      </w:r>
      <w:r w:rsidR="00EC36A4">
        <w:rPr>
          <w:lang w:val="en-GB"/>
        </w:rPr>
        <w:t>The</w:t>
      </w:r>
      <w:r w:rsidR="00973A43">
        <w:rPr>
          <w:lang w:val="en-GB"/>
        </w:rPr>
        <w:t xml:space="preserve"> affected p</w:t>
      </w:r>
      <w:r w:rsidR="00E35BB9">
        <w:rPr>
          <w:lang w:val="en-GB"/>
        </w:rPr>
        <w:t>roducts are almost exclusively articles</w:t>
      </w:r>
      <w:r w:rsidR="00EC36A4">
        <w:rPr>
          <w:lang w:val="en-GB"/>
        </w:rPr>
        <w:t xml:space="preserve"> where the explosion hazard is considered to be very low but which cannot clearly be excluded from </w:t>
      </w:r>
      <w:r w:rsidR="002D7A70">
        <w:rPr>
          <w:lang w:val="en-GB"/>
        </w:rPr>
        <w:t xml:space="preserve">transport </w:t>
      </w:r>
      <w:r w:rsidR="00EC36A4">
        <w:rPr>
          <w:lang w:val="en-GB"/>
        </w:rPr>
        <w:t xml:space="preserve">Class 1 by definition – the very same definition as used to define </w:t>
      </w:r>
      <w:r w:rsidR="00973A43">
        <w:rPr>
          <w:lang w:val="en-GB"/>
        </w:rPr>
        <w:t>the GHS hazard class Explosives.</w:t>
      </w:r>
      <w:r w:rsidR="002E5F21">
        <w:rPr>
          <w:rStyle w:val="FootnoteReference"/>
          <w:lang w:val="en-GB"/>
        </w:rPr>
        <w:footnoteReference w:id="3"/>
      </w:r>
      <w:r w:rsidR="00973A43">
        <w:rPr>
          <w:lang w:val="en-GB"/>
        </w:rPr>
        <w:t xml:space="preserve"> While the Model Regulations appl</w:t>
      </w:r>
      <w:r w:rsidR="00E35BB9">
        <w:rPr>
          <w:lang w:val="en-GB"/>
        </w:rPr>
        <w:t xml:space="preserve">y to “goods”, and comprise a variety of </w:t>
      </w:r>
      <w:r w:rsidR="00973A43">
        <w:rPr>
          <w:lang w:val="en-GB"/>
        </w:rPr>
        <w:t>articles, the GHS</w:t>
      </w:r>
      <w:r w:rsidR="002E5F21">
        <w:rPr>
          <w:lang w:val="en-GB"/>
        </w:rPr>
        <w:t xml:space="preserve">, </w:t>
      </w:r>
      <w:r w:rsidR="00F74141">
        <w:rPr>
          <w:lang w:val="en-GB"/>
        </w:rPr>
        <w:t xml:space="preserve">according to its provision </w:t>
      </w:r>
      <w:r w:rsidR="00973A43">
        <w:rPr>
          <w:lang w:val="en-GB"/>
        </w:rPr>
        <w:t>1.3.2.1.1</w:t>
      </w:r>
      <w:r w:rsidR="002E5F21">
        <w:rPr>
          <w:lang w:val="en-GB"/>
        </w:rPr>
        <w:t>, does not apply to articles</w:t>
      </w:r>
      <w:r w:rsidR="00F74141">
        <w:rPr>
          <w:lang w:val="en-GB"/>
        </w:rPr>
        <w:t xml:space="preserve">. However, while an example is given in this provision, </w:t>
      </w:r>
      <w:r w:rsidR="002D7A70">
        <w:rPr>
          <w:lang w:val="en-GB"/>
        </w:rPr>
        <w:t xml:space="preserve">the term </w:t>
      </w:r>
      <w:r w:rsidR="00F74141">
        <w:rPr>
          <w:lang w:val="en-GB"/>
        </w:rPr>
        <w:t xml:space="preserve">“article” is not thoroughly defined in the GHS. The concept of an “article” is therefore somewhat </w:t>
      </w:r>
      <w:r w:rsidR="001F0BE0">
        <w:rPr>
          <w:lang w:val="en-GB"/>
        </w:rPr>
        <w:t xml:space="preserve">diffuse </w:t>
      </w:r>
      <w:r w:rsidR="00F74141">
        <w:rPr>
          <w:lang w:val="en-GB"/>
        </w:rPr>
        <w:t xml:space="preserve">in the GHS itself. </w:t>
      </w:r>
    </w:p>
    <w:p w14:paraId="3DE676AC" w14:textId="20291807" w:rsidR="00F74141" w:rsidRDefault="006A35DA" w:rsidP="006A35DA">
      <w:pPr>
        <w:pStyle w:val="SingleTxtG"/>
        <w:rPr>
          <w:lang w:val="en-GB"/>
        </w:rPr>
      </w:pPr>
      <w:r>
        <w:rPr>
          <w:lang w:val="en-GB"/>
        </w:rPr>
        <w:t>6.</w:t>
      </w:r>
      <w:r>
        <w:rPr>
          <w:lang w:val="en-GB"/>
        </w:rPr>
        <w:tab/>
      </w:r>
      <w:r w:rsidR="00F74141">
        <w:rPr>
          <w:lang w:val="en-GB"/>
        </w:rPr>
        <w:t>Th</w:t>
      </w:r>
      <w:r w:rsidR="005342CE">
        <w:rPr>
          <w:lang w:val="en-GB"/>
        </w:rPr>
        <w:t>e above</w:t>
      </w:r>
      <w:r w:rsidR="00F74141">
        <w:rPr>
          <w:lang w:val="en-GB"/>
        </w:rPr>
        <w:t xml:space="preserve"> </w:t>
      </w:r>
      <w:r w:rsidR="001F0BE0">
        <w:rPr>
          <w:lang w:val="en-GB"/>
        </w:rPr>
        <w:t xml:space="preserve">diffuseness </w:t>
      </w:r>
      <w:r w:rsidR="00F74141">
        <w:rPr>
          <w:lang w:val="en-GB"/>
        </w:rPr>
        <w:t xml:space="preserve">becomes particularly visible when an “explosive article” </w:t>
      </w:r>
      <w:r w:rsidR="001F0BE0">
        <w:rPr>
          <w:lang w:val="en-GB"/>
        </w:rPr>
        <w:t xml:space="preserve">from </w:t>
      </w:r>
      <w:r w:rsidR="00F74141">
        <w:rPr>
          <w:lang w:val="en-GB"/>
        </w:rPr>
        <w:t>GHS Chapter 2.1 is assig</w:t>
      </w:r>
      <w:r w:rsidR="005342CE">
        <w:rPr>
          <w:lang w:val="en-GB"/>
        </w:rPr>
        <w:t xml:space="preserve">ned to another GHS hazard class, </w:t>
      </w:r>
      <w:r w:rsidR="001F0BE0">
        <w:rPr>
          <w:lang w:val="en-GB"/>
        </w:rPr>
        <w:t xml:space="preserve">as that hazard class </w:t>
      </w:r>
      <w:r w:rsidR="005342CE">
        <w:rPr>
          <w:lang w:val="en-GB"/>
        </w:rPr>
        <w:t xml:space="preserve">then comes to </w:t>
      </w:r>
      <w:r w:rsidR="00C42045">
        <w:rPr>
          <w:lang w:val="en-GB"/>
        </w:rPr>
        <w:t xml:space="preserve">comprise </w:t>
      </w:r>
      <w:r w:rsidR="005342CE">
        <w:rPr>
          <w:lang w:val="en-GB"/>
        </w:rPr>
        <w:t>an article</w:t>
      </w:r>
      <w:r w:rsidR="00E35BB9">
        <w:rPr>
          <w:lang w:val="en-GB"/>
        </w:rPr>
        <w:t xml:space="preserve"> (which </w:t>
      </w:r>
      <w:r w:rsidR="001F0BE0">
        <w:rPr>
          <w:lang w:val="en-GB"/>
        </w:rPr>
        <w:t xml:space="preserve">as a result </w:t>
      </w:r>
      <w:r w:rsidR="00E35BB9">
        <w:rPr>
          <w:lang w:val="en-GB"/>
        </w:rPr>
        <w:t xml:space="preserve">cannot really be an </w:t>
      </w:r>
      <w:r w:rsidR="00E35BB9" w:rsidRPr="00E35BB9">
        <w:rPr>
          <w:u w:val="single"/>
          <w:lang w:val="en-GB"/>
        </w:rPr>
        <w:t>explosive</w:t>
      </w:r>
      <w:r w:rsidR="00E35BB9">
        <w:rPr>
          <w:lang w:val="en-GB"/>
        </w:rPr>
        <w:t xml:space="preserve"> article anymore)</w:t>
      </w:r>
      <w:r w:rsidR="005342CE">
        <w:rPr>
          <w:lang w:val="en-GB"/>
        </w:rPr>
        <w:t xml:space="preserve">. </w:t>
      </w:r>
      <w:r w:rsidR="00EE79C6">
        <w:rPr>
          <w:lang w:val="en-GB"/>
        </w:rPr>
        <w:t>As</w:t>
      </w:r>
      <w:r w:rsidR="00C42045">
        <w:rPr>
          <w:lang w:val="en-GB"/>
        </w:rPr>
        <w:t xml:space="preserve"> </w:t>
      </w:r>
      <w:r w:rsidR="00EE79C6">
        <w:rPr>
          <w:lang w:val="en-GB"/>
        </w:rPr>
        <w:t xml:space="preserve">only </w:t>
      </w:r>
      <w:r w:rsidR="00C42045">
        <w:rPr>
          <w:lang w:val="en-GB"/>
        </w:rPr>
        <w:t>a</w:t>
      </w:r>
      <w:r w:rsidR="00EE79C6">
        <w:rPr>
          <w:lang w:val="en-GB"/>
        </w:rPr>
        <w:t xml:space="preserve"> few articles</w:t>
      </w:r>
      <w:r w:rsidR="00C42045">
        <w:rPr>
          <w:lang w:val="en-GB"/>
        </w:rPr>
        <w:t xml:space="preserve"> are concerned</w:t>
      </w:r>
      <w:r w:rsidR="00EE79C6">
        <w:rPr>
          <w:lang w:val="en-GB"/>
        </w:rPr>
        <w:t xml:space="preserve">, this </w:t>
      </w:r>
      <w:r w:rsidR="00A86F65">
        <w:rPr>
          <w:lang w:val="en-GB"/>
        </w:rPr>
        <w:t>could be</w:t>
      </w:r>
      <w:r w:rsidR="00EE79C6">
        <w:rPr>
          <w:lang w:val="en-GB"/>
        </w:rPr>
        <w:t xml:space="preserve"> considered</w:t>
      </w:r>
      <w:r w:rsidR="001F0BE0">
        <w:rPr>
          <w:lang w:val="en-GB"/>
        </w:rPr>
        <w:t xml:space="preserve"> </w:t>
      </w:r>
      <w:r w:rsidR="00EE79C6">
        <w:rPr>
          <w:lang w:val="en-GB"/>
        </w:rPr>
        <w:t>tolerable</w:t>
      </w:r>
      <w:r w:rsidR="00A86F65">
        <w:rPr>
          <w:lang w:val="en-GB"/>
        </w:rPr>
        <w:t xml:space="preserve"> in relation to retaining the present situation</w:t>
      </w:r>
      <w:r w:rsidR="00EE79C6">
        <w:rPr>
          <w:lang w:val="en-GB"/>
        </w:rPr>
        <w:t>. However</w:t>
      </w:r>
      <w:r w:rsidR="005342CE">
        <w:rPr>
          <w:lang w:val="en-GB"/>
        </w:rPr>
        <w:t>, the</w:t>
      </w:r>
      <w:r w:rsidR="00C42045">
        <w:rPr>
          <w:lang w:val="en-GB"/>
        </w:rPr>
        <w:t xml:space="preserve"> use of the</w:t>
      </w:r>
      <w:r w:rsidR="005342CE">
        <w:rPr>
          <w:lang w:val="en-GB"/>
        </w:rPr>
        <w:t xml:space="preserve"> term “article”</w:t>
      </w:r>
      <w:r w:rsidR="00FA0452">
        <w:rPr>
          <w:lang w:val="en-GB"/>
        </w:rPr>
        <w:t xml:space="preserve"> seems to cause</w:t>
      </w:r>
      <w:r w:rsidR="005342CE">
        <w:rPr>
          <w:lang w:val="en-GB"/>
        </w:rPr>
        <w:t xml:space="preserve"> </w:t>
      </w:r>
      <w:r w:rsidR="00FA0452">
        <w:rPr>
          <w:lang w:val="en-GB"/>
        </w:rPr>
        <w:t xml:space="preserve">some </w:t>
      </w:r>
      <w:r w:rsidR="005342CE">
        <w:rPr>
          <w:lang w:val="en-GB"/>
        </w:rPr>
        <w:t>confusion</w:t>
      </w:r>
      <w:r w:rsidR="00EE79C6">
        <w:rPr>
          <w:lang w:val="en-GB"/>
        </w:rPr>
        <w:t xml:space="preserve"> in this context</w:t>
      </w:r>
      <w:r w:rsidR="00E35BB9">
        <w:rPr>
          <w:lang w:val="en-GB"/>
        </w:rPr>
        <w:t xml:space="preserve"> and therefore it is</w:t>
      </w:r>
      <w:r w:rsidR="005342CE">
        <w:rPr>
          <w:lang w:val="en-GB"/>
        </w:rPr>
        <w:t xml:space="preserve"> suggested to </w:t>
      </w:r>
      <w:r w:rsidR="00E35BB9">
        <w:rPr>
          <w:lang w:val="en-GB"/>
        </w:rPr>
        <w:t xml:space="preserve">instead use the term “product” – a </w:t>
      </w:r>
      <w:r w:rsidR="005342CE">
        <w:rPr>
          <w:lang w:val="en-GB"/>
        </w:rPr>
        <w:t xml:space="preserve">neutral </w:t>
      </w:r>
      <w:r w:rsidR="00995386">
        <w:rPr>
          <w:lang w:val="en-GB"/>
        </w:rPr>
        <w:t xml:space="preserve">and undefined </w:t>
      </w:r>
      <w:r w:rsidR="005342CE">
        <w:rPr>
          <w:lang w:val="en-GB"/>
        </w:rPr>
        <w:t xml:space="preserve">term that </w:t>
      </w:r>
      <w:r w:rsidR="001F0BE0">
        <w:rPr>
          <w:lang w:val="en-GB"/>
        </w:rPr>
        <w:t>is</w:t>
      </w:r>
      <w:r w:rsidR="00995386">
        <w:rPr>
          <w:lang w:val="en-GB"/>
        </w:rPr>
        <w:t xml:space="preserve"> </w:t>
      </w:r>
      <w:r w:rsidR="001F0BE0">
        <w:rPr>
          <w:lang w:val="en-GB"/>
        </w:rPr>
        <w:t xml:space="preserve">used </w:t>
      </w:r>
      <w:r w:rsidR="00C42045">
        <w:rPr>
          <w:lang w:val="en-GB"/>
        </w:rPr>
        <w:t xml:space="preserve">in a general sense </w:t>
      </w:r>
      <w:r w:rsidR="001F0BE0">
        <w:rPr>
          <w:lang w:val="en-GB"/>
        </w:rPr>
        <w:t>throughout the GHS</w:t>
      </w:r>
      <w:r w:rsidR="00995386">
        <w:rPr>
          <w:lang w:val="en-GB"/>
        </w:rPr>
        <w:t xml:space="preserve"> and appears to include substances, mixtures and articles (at least explosive articles)</w:t>
      </w:r>
      <w:r w:rsidR="005342CE">
        <w:rPr>
          <w:lang w:val="en-GB"/>
        </w:rPr>
        <w:t>.</w:t>
      </w:r>
      <w:r w:rsidR="00995386">
        <w:rPr>
          <w:rStyle w:val="FootnoteReference"/>
          <w:lang w:val="en-GB"/>
        </w:rPr>
        <w:footnoteReference w:id="4"/>
      </w:r>
    </w:p>
    <w:p w14:paraId="36650608" w14:textId="59455907" w:rsidR="00023ADD" w:rsidRPr="00023ADD" w:rsidRDefault="00023ADD" w:rsidP="00023ADD">
      <w:pPr>
        <w:pStyle w:val="SingleTxtG"/>
        <w:rPr>
          <w:b/>
          <w:sz w:val="24"/>
          <w:lang w:val="en-GB"/>
        </w:rPr>
      </w:pPr>
      <w:r w:rsidRPr="00023ADD">
        <w:rPr>
          <w:b/>
          <w:sz w:val="24"/>
          <w:lang w:val="en-GB"/>
        </w:rPr>
        <w:t xml:space="preserve">Three </w:t>
      </w:r>
      <w:r w:rsidR="001807F7">
        <w:rPr>
          <w:b/>
          <w:sz w:val="24"/>
          <w:lang w:val="en-GB"/>
        </w:rPr>
        <w:t>types</w:t>
      </w:r>
      <w:r w:rsidRPr="00023ADD">
        <w:rPr>
          <w:b/>
          <w:sz w:val="24"/>
          <w:lang w:val="en-GB"/>
        </w:rPr>
        <w:t xml:space="preserve"> of </w:t>
      </w:r>
      <w:r w:rsidR="00317E1C">
        <w:rPr>
          <w:b/>
          <w:sz w:val="24"/>
          <w:lang w:val="en-GB"/>
        </w:rPr>
        <w:t xml:space="preserve">non-Class 1 </w:t>
      </w:r>
      <w:r w:rsidRPr="00023ADD">
        <w:rPr>
          <w:b/>
          <w:sz w:val="24"/>
          <w:lang w:val="en-GB"/>
        </w:rPr>
        <w:t>products</w:t>
      </w:r>
      <w:r>
        <w:rPr>
          <w:b/>
          <w:sz w:val="24"/>
          <w:lang w:val="en-GB"/>
        </w:rPr>
        <w:t xml:space="preserve"> </w:t>
      </w:r>
    </w:p>
    <w:p w14:paraId="3139AC51" w14:textId="5A36E241" w:rsidR="00664D67" w:rsidRPr="00023ADD" w:rsidRDefault="00664D67" w:rsidP="00664D67">
      <w:pPr>
        <w:pStyle w:val="SingleTxtG"/>
        <w:rPr>
          <w:b/>
          <w:lang w:val="en-GB"/>
        </w:rPr>
      </w:pPr>
      <w:r w:rsidRPr="00023ADD">
        <w:rPr>
          <w:b/>
          <w:lang w:val="en-GB"/>
        </w:rPr>
        <w:t>Products in transport Class 2, 3, 4 or 5</w:t>
      </w:r>
    </w:p>
    <w:p w14:paraId="4C274E07" w14:textId="456ABCCA" w:rsidR="00023ADD" w:rsidRPr="00023ADD" w:rsidRDefault="006A35DA" w:rsidP="006A35DA">
      <w:pPr>
        <w:pStyle w:val="SingleTxtG"/>
        <w:rPr>
          <w:b/>
          <w:lang w:val="en-GB"/>
        </w:rPr>
      </w:pPr>
      <w:r w:rsidRPr="006A35DA">
        <w:rPr>
          <w:bCs/>
          <w:lang w:val="en-GB"/>
        </w:rPr>
        <w:t>7.</w:t>
      </w:r>
      <w:r w:rsidRPr="00023ADD">
        <w:rPr>
          <w:b/>
          <w:lang w:val="en-GB"/>
        </w:rPr>
        <w:tab/>
      </w:r>
      <w:r w:rsidR="00664D67">
        <w:rPr>
          <w:lang w:val="en-GB"/>
        </w:rPr>
        <w:t xml:space="preserve">Class 2, 3, 4 and 5 of the UN Model Regulations have their direct correspondence amongst the </w:t>
      </w:r>
      <w:r w:rsidR="003754C6">
        <w:rPr>
          <w:lang w:val="en-GB"/>
        </w:rPr>
        <w:t>p</w:t>
      </w:r>
      <w:r w:rsidR="00664D67">
        <w:rPr>
          <w:lang w:val="en-GB"/>
        </w:rPr>
        <w:t xml:space="preserve">hysical hazards classes in Part 2 </w:t>
      </w:r>
      <w:r w:rsidR="00023ADD">
        <w:rPr>
          <w:lang w:val="en-GB"/>
        </w:rPr>
        <w:t>of the GHS (which</w:t>
      </w:r>
      <w:r w:rsidR="00664D67">
        <w:rPr>
          <w:lang w:val="en-GB"/>
        </w:rPr>
        <w:t xml:space="preserve"> is </w:t>
      </w:r>
      <w:r w:rsidR="00023ADD">
        <w:rPr>
          <w:lang w:val="en-GB"/>
        </w:rPr>
        <w:t>not a surprise</w:t>
      </w:r>
      <w:r w:rsidR="00664D67">
        <w:rPr>
          <w:lang w:val="en-GB"/>
        </w:rPr>
        <w:t xml:space="preserve"> as the GHS physical hazards were modelled on the UN Model Regulations</w:t>
      </w:r>
      <w:r w:rsidR="00023ADD">
        <w:rPr>
          <w:lang w:val="en-GB"/>
        </w:rPr>
        <w:t>)</w:t>
      </w:r>
      <w:r w:rsidR="00664D67">
        <w:rPr>
          <w:lang w:val="en-GB"/>
        </w:rPr>
        <w:t>.</w:t>
      </w:r>
      <w:r w:rsidR="00507277">
        <w:rPr>
          <w:rStyle w:val="FootnoteReference"/>
          <w:lang w:val="en-GB"/>
        </w:rPr>
        <w:footnoteReference w:id="5"/>
      </w:r>
      <w:r w:rsidR="00664D67">
        <w:rPr>
          <w:lang w:val="en-GB"/>
        </w:rPr>
        <w:t xml:space="preserve"> Also the GHS categories directly correspond to the </w:t>
      </w:r>
      <w:r w:rsidR="00995386">
        <w:rPr>
          <w:lang w:val="en-GB"/>
        </w:rPr>
        <w:t>p</w:t>
      </w:r>
      <w:r w:rsidR="00664D67">
        <w:rPr>
          <w:lang w:val="en-GB"/>
        </w:rPr>
        <w:t xml:space="preserve">acking </w:t>
      </w:r>
      <w:r w:rsidR="00995386">
        <w:rPr>
          <w:lang w:val="en-GB"/>
        </w:rPr>
        <w:t>g</w:t>
      </w:r>
      <w:r w:rsidR="00664D67">
        <w:rPr>
          <w:lang w:val="en-GB"/>
        </w:rPr>
        <w:t xml:space="preserve">roups </w:t>
      </w:r>
      <w:r w:rsidR="00F81199">
        <w:rPr>
          <w:lang w:val="en-GB"/>
        </w:rPr>
        <w:t>(PG</w:t>
      </w:r>
      <w:r w:rsidR="000B5D32">
        <w:rPr>
          <w:lang w:val="en-GB"/>
        </w:rPr>
        <w:t>'</w:t>
      </w:r>
      <w:r w:rsidR="00F81199">
        <w:rPr>
          <w:lang w:val="en-GB"/>
        </w:rPr>
        <w:t xml:space="preserve">s) </w:t>
      </w:r>
      <w:r w:rsidR="00664D67">
        <w:rPr>
          <w:lang w:val="en-GB"/>
        </w:rPr>
        <w:t>of the UN Model Regulations</w:t>
      </w:r>
      <w:r w:rsidR="00995386">
        <w:rPr>
          <w:lang w:val="en-GB"/>
        </w:rPr>
        <w:t xml:space="preserve"> for the</w:t>
      </w:r>
      <w:r w:rsidR="003754C6">
        <w:rPr>
          <w:lang w:val="en-GB"/>
        </w:rPr>
        <w:t>se</w:t>
      </w:r>
      <w:r w:rsidR="00995386">
        <w:rPr>
          <w:lang w:val="en-GB"/>
        </w:rPr>
        <w:t xml:space="preserve"> GHS physical hazards</w:t>
      </w:r>
      <w:r w:rsidR="00664D67">
        <w:rPr>
          <w:lang w:val="en-GB"/>
        </w:rPr>
        <w:t>.</w:t>
      </w:r>
      <w:r w:rsidR="003754C6">
        <w:rPr>
          <w:rStyle w:val="FootnoteReference"/>
          <w:lang w:val="en-GB"/>
        </w:rPr>
        <w:footnoteReference w:id="6"/>
      </w:r>
      <w:r w:rsidR="00664D67">
        <w:rPr>
          <w:lang w:val="en-GB"/>
        </w:rPr>
        <w:t xml:space="preserve"> Products that have been assigned to any of these classes according to the DGL can therefore </w:t>
      </w:r>
      <w:r w:rsidR="00023ADD">
        <w:rPr>
          <w:lang w:val="en-GB"/>
        </w:rPr>
        <w:t xml:space="preserve">in principle </w:t>
      </w:r>
      <w:r w:rsidR="00664D67">
        <w:rPr>
          <w:lang w:val="en-GB"/>
        </w:rPr>
        <w:t>be directed to the correspondin</w:t>
      </w:r>
      <w:r w:rsidR="00023ADD">
        <w:rPr>
          <w:lang w:val="en-GB"/>
        </w:rPr>
        <w:t>g GHS hazard class and category.</w:t>
      </w:r>
      <w:r w:rsidR="004B7AFD">
        <w:rPr>
          <w:lang w:val="en-GB"/>
        </w:rPr>
        <w:t xml:space="preserve"> Table 1 in </w:t>
      </w:r>
      <w:r w:rsidR="00A0646E">
        <w:rPr>
          <w:lang w:val="en-GB"/>
        </w:rPr>
        <w:t>A</w:t>
      </w:r>
      <w:r w:rsidR="004B7AFD">
        <w:rPr>
          <w:lang w:val="en-GB"/>
        </w:rPr>
        <w:t>nnex</w:t>
      </w:r>
      <w:r w:rsidR="00A0646E">
        <w:rPr>
          <w:lang w:val="en-GB"/>
        </w:rPr>
        <w:t xml:space="preserve"> II</w:t>
      </w:r>
      <w:r w:rsidR="004B7AFD">
        <w:rPr>
          <w:lang w:val="en-GB"/>
        </w:rPr>
        <w:t xml:space="preserve"> to this document </w:t>
      </w:r>
      <w:r w:rsidR="00AD55FC">
        <w:rPr>
          <w:lang w:val="en-GB"/>
        </w:rPr>
        <w:t xml:space="preserve">presents some </w:t>
      </w:r>
      <w:r w:rsidR="004B7AFD">
        <w:rPr>
          <w:lang w:val="en-GB"/>
        </w:rPr>
        <w:t xml:space="preserve">products of this type that are found in the </w:t>
      </w:r>
      <w:r w:rsidR="001F0BE0">
        <w:rPr>
          <w:lang w:val="en-GB"/>
        </w:rPr>
        <w:t>DGL</w:t>
      </w:r>
      <w:r w:rsidR="003754C6">
        <w:rPr>
          <w:lang w:val="en-GB"/>
        </w:rPr>
        <w:t>.</w:t>
      </w:r>
    </w:p>
    <w:p w14:paraId="6096FA69" w14:textId="0FCDB7FB" w:rsidR="00734CCA" w:rsidRPr="00023ADD" w:rsidRDefault="00734CCA" w:rsidP="00023ADD">
      <w:pPr>
        <w:pStyle w:val="SingleTxtG"/>
        <w:rPr>
          <w:b/>
          <w:lang w:val="en-GB"/>
        </w:rPr>
      </w:pPr>
      <w:r w:rsidRPr="00023ADD">
        <w:rPr>
          <w:b/>
          <w:lang w:val="en-GB"/>
        </w:rPr>
        <w:t>Products in transport Class 6 or 8</w:t>
      </w:r>
    </w:p>
    <w:p w14:paraId="24C42730" w14:textId="2336F54D" w:rsidR="00DC56F2" w:rsidRDefault="006A35DA" w:rsidP="006A35DA">
      <w:pPr>
        <w:pStyle w:val="SingleTxtG"/>
        <w:rPr>
          <w:lang w:val="en-GB"/>
        </w:rPr>
      </w:pPr>
      <w:r>
        <w:rPr>
          <w:lang w:val="en-GB"/>
        </w:rPr>
        <w:t>8.</w:t>
      </w:r>
      <w:r>
        <w:rPr>
          <w:lang w:val="en-GB"/>
        </w:rPr>
        <w:tab/>
      </w:r>
      <w:r w:rsidR="00734CCA">
        <w:rPr>
          <w:lang w:val="en-GB"/>
        </w:rPr>
        <w:t xml:space="preserve">Products in </w:t>
      </w:r>
      <w:r w:rsidR="007A323D">
        <w:rPr>
          <w:lang w:val="en-GB"/>
        </w:rPr>
        <w:t xml:space="preserve">division 6.1 of </w:t>
      </w:r>
      <w:r w:rsidR="00734CCA">
        <w:rPr>
          <w:lang w:val="en-GB"/>
        </w:rPr>
        <w:t xml:space="preserve">Class 6 </w:t>
      </w:r>
      <w:r w:rsidR="00AD55FC">
        <w:rPr>
          <w:lang w:val="en-GB"/>
        </w:rPr>
        <w:t xml:space="preserve">and </w:t>
      </w:r>
      <w:r w:rsidR="007A323D">
        <w:rPr>
          <w:lang w:val="en-GB"/>
        </w:rPr>
        <w:t xml:space="preserve">in Class </w:t>
      </w:r>
      <w:r w:rsidR="00734CCA">
        <w:rPr>
          <w:lang w:val="en-GB"/>
        </w:rPr>
        <w:t>8 of the UN Model Regulations</w:t>
      </w:r>
      <w:r w:rsidR="00AD55FC">
        <w:rPr>
          <w:lang w:val="en-GB"/>
        </w:rPr>
        <w:t xml:space="preserve"> in principle</w:t>
      </w:r>
      <w:r w:rsidR="00734CCA">
        <w:rPr>
          <w:lang w:val="en-GB"/>
        </w:rPr>
        <w:t xml:space="preserve"> also have their correspondence in the GHS. Transport Class 6</w:t>
      </w:r>
      <w:r w:rsidR="001F0BE0">
        <w:rPr>
          <w:lang w:val="en-GB"/>
        </w:rPr>
        <w:t>, division 6.1,</w:t>
      </w:r>
      <w:r w:rsidR="00734CCA">
        <w:rPr>
          <w:lang w:val="en-GB"/>
        </w:rPr>
        <w:t xml:space="preserve"> corresponds to the GHS hazard class Acute toxicit</w:t>
      </w:r>
      <w:r w:rsidR="0077372A">
        <w:rPr>
          <w:lang w:val="en-GB"/>
        </w:rPr>
        <w:t>y. T</w:t>
      </w:r>
      <w:r w:rsidR="00734CCA">
        <w:rPr>
          <w:lang w:val="en-GB"/>
        </w:rPr>
        <w:t>ransport Class 8</w:t>
      </w:r>
      <w:r w:rsidR="0077372A">
        <w:rPr>
          <w:lang w:val="en-GB"/>
        </w:rPr>
        <w:t xml:space="preserve"> is a bit more complex, as it </w:t>
      </w:r>
      <w:r w:rsidR="00622659">
        <w:rPr>
          <w:lang w:val="en-GB"/>
        </w:rPr>
        <w:t xml:space="preserve">has its </w:t>
      </w:r>
      <w:r w:rsidR="0077372A">
        <w:rPr>
          <w:lang w:val="en-GB"/>
        </w:rPr>
        <w:t>correspond</w:t>
      </w:r>
      <w:r w:rsidR="00622659">
        <w:rPr>
          <w:lang w:val="en-GB"/>
        </w:rPr>
        <w:t>ence</w:t>
      </w:r>
      <w:r w:rsidR="0077372A">
        <w:rPr>
          <w:lang w:val="en-GB"/>
        </w:rPr>
        <w:t xml:space="preserve"> </w:t>
      </w:r>
      <w:r w:rsidR="00622659">
        <w:rPr>
          <w:lang w:val="en-GB"/>
        </w:rPr>
        <w:t>in</w:t>
      </w:r>
      <w:r w:rsidR="00734CCA">
        <w:rPr>
          <w:lang w:val="en-GB"/>
        </w:rPr>
        <w:t xml:space="preserve"> </w:t>
      </w:r>
      <w:r w:rsidR="0077372A">
        <w:rPr>
          <w:lang w:val="en-GB"/>
        </w:rPr>
        <w:t xml:space="preserve">the </w:t>
      </w:r>
      <w:r w:rsidR="0077372A" w:rsidRPr="007A323D">
        <w:rPr>
          <w:lang w:val="en-GB"/>
        </w:rPr>
        <w:t>GHS hazard class</w:t>
      </w:r>
      <w:r w:rsidR="007A323D" w:rsidRPr="007A323D">
        <w:rPr>
          <w:lang w:val="en-GB"/>
        </w:rPr>
        <w:t>es</w:t>
      </w:r>
      <w:r w:rsidR="0077372A" w:rsidRPr="007A323D">
        <w:rPr>
          <w:lang w:val="en-GB"/>
        </w:rPr>
        <w:t xml:space="preserve"> Skin </w:t>
      </w:r>
      <w:r w:rsidR="00AD55FC" w:rsidRPr="007A323D">
        <w:rPr>
          <w:lang w:val="en-GB"/>
        </w:rPr>
        <w:t xml:space="preserve">corrosion/irritation, </w:t>
      </w:r>
      <w:r w:rsidR="00375A3E" w:rsidRPr="007A323D">
        <w:rPr>
          <w:lang w:val="en-GB"/>
        </w:rPr>
        <w:t>Serious</w:t>
      </w:r>
      <w:r w:rsidR="00AD55FC" w:rsidRPr="007A323D">
        <w:rPr>
          <w:lang w:val="en-GB"/>
        </w:rPr>
        <w:t xml:space="preserve"> eye damage/eye irritation </w:t>
      </w:r>
      <w:r w:rsidR="0077372A" w:rsidRPr="007A323D">
        <w:rPr>
          <w:lang w:val="en-GB"/>
        </w:rPr>
        <w:t>and Corrosive to metals.</w:t>
      </w:r>
      <w:r w:rsidR="001807F7">
        <w:rPr>
          <w:lang w:val="en-GB"/>
        </w:rPr>
        <w:t xml:space="preserve"> </w:t>
      </w:r>
      <w:r w:rsidR="00AD55FC">
        <w:rPr>
          <w:lang w:val="en-GB"/>
        </w:rPr>
        <w:t xml:space="preserve">The products in the DGL that are classified in </w:t>
      </w:r>
      <w:r w:rsidR="00AD55FC">
        <w:rPr>
          <w:lang w:val="en-GB"/>
        </w:rPr>
        <w:lastRenderedPageBreak/>
        <w:t>Class 6</w:t>
      </w:r>
      <w:r w:rsidR="00FD0F7F">
        <w:rPr>
          <w:lang w:val="en-GB"/>
        </w:rPr>
        <w:t xml:space="preserve"> or Class 8 while having</w:t>
      </w:r>
      <w:r w:rsidR="00AD55FC">
        <w:rPr>
          <w:lang w:val="en-GB"/>
        </w:rPr>
        <w:t xml:space="preserve"> so</w:t>
      </w:r>
      <w:r w:rsidR="00FD0F7F">
        <w:rPr>
          <w:lang w:val="en-GB"/>
        </w:rPr>
        <w:t>me explosive component</w:t>
      </w:r>
      <w:r w:rsidR="00AD55FC">
        <w:rPr>
          <w:lang w:val="en-GB"/>
        </w:rPr>
        <w:t xml:space="preserve"> are very few. </w:t>
      </w:r>
      <w:r w:rsidR="001807F7">
        <w:rPr>
          <w:lang w:val="en-GB"/>
        </w:rPr>
        <w:t xml:space="preserve">Amongst the affected products are </w:t>
      </w:r>
      <w:r w:rsidR="007373A3">
        <w:rPr>
          <w:lang w:val="en-GB"/>
        </w:rPr>
        <w:t xml:space="preserve">special </w:t>
      </w:r>
      <w:r w:rsidR="001807F7">
        <w:rPr>
          <w:lang w:val="en-GB"/>
        </w:rPr>
        <w:t xml:space="preserve">acid or </w:t>
      </w:r>
      <w:r w:rsidR="00B863DC">
        <w:rPr>
          <w:lang w:val="en-GB"/>
        </w:rPr>
        <w:t>alkali</w:t>
      </w:r>
      <w:r w:rsidR="001807F7">
        <w:rPr>
          <w:lang w:val="en-GB"/>
        </w:rPr>
        <w:t xml:space="preserve"> batteries that contain explosive triggers, which are classified as corrosive </w:t>
      </w:r>
      <w:r w:rsidR="00AD55FC">
        <w:rPr>
          <w:lang w:val="en-GB"/>
        </w:rPr>
        <w:t>(Class 8)</w:t>
      </w:r>
      <w:r w:rsidR="001807F7">
        <w:rPr>
          <w:lang w:val="en-GB"/>
        </w:rPr>
        <w:t xml:space="preserve">. As </w:t>
      </w:r>
      <w:r w:rsidR="00AD55FC">
        <w:rPr>
          <w:lang w:val="en-GB"/>
        </w:rPr>
        <w:t>acid</w:t>
      </w:r>
      <w:r w:rsidR="001807F7">
        <w:rPr>
          <w:lang w:val="en-GB"/>
        </w:rPr>
        <w:t xml:space="preserve"> bat</w:t>
      </w:r>
      <w:r w:rsidR="007373A3">
        <w:rPr>
          <w:lang w:val="en-GB"/>
        </w:rPr>
        <w:t>teries (</w:t>
      </w:r>
      <w:r w:rsidR="001807F7">
        <w:rPr>
          <w:lang w:val="en-GB"/>
        </w:rPr>
        <w:t xml:space="preserve">without </w:t>
      </w:r>
      <w:r w:rsidR="007373A3">
        <w:rPr>
          <w:lang w:val="en-GB"/>
        </w:rPr>
        <w:t xml:space="preserve">any </w:t>
      </w:r>
      <w:r w:rsidR="001807F7">
        <w:rPr>
          <w:lang w:val="en-GB"/>
        </w:rPr>
        <w:t>explosives</w:t>
      </w:r>
      <w:r w:rsidR="007373A3">
        <w:rPr>
          <w:lang w:val="en-GB"/>
        </w:rPr>
        <w:t>)</w:t>
      </w:r>
      <w:r w:rsidR="001807F7">
        <w:rPr>
          <w:lang w:val="en-GB"/>
        </w:rPr>
        <w:t xml:space="preserve"> are very common (sulphuric acid batteries</w:t>
      </w:r>
      <w:r w:rsidR="007373A3">
        <w:rPr>
          <w:lang w:val="en-GB"/>
        </w:rPr>
        <w:t xml:space="preserve"> commonly use</w:t>
      </w:r>
      <w:r w:rsidR="00915320">
        <w:rPr>
          <w:lang w:val="en-GB"/>
        </w:rPr>
        <w:t>d</w:t>
      </w:r>
      <w:r w:rsidR="007373A3">
        <w:rPr>
          <w:lang w:val="en-GB"/>
        </w:rPr>
        <w:t xml:space="preserve"> e.g. in cars</w:t>
      </w:r>
      <w:r w:rsidR="001807F7">
        <w:rPr>
          <w:lang w:val="en-GB"/>
        </w:rPr>
        <w:t xml:space="preserve">), it was noted that it </w:t>
      </w:r>
      <w:r w:rsidR="00B863DC">
        <w:rPr>
          <w:lang w:val="en-GB"/>
        </w:rPr>
        <w:t xml:space="preserve">could </w:t>
      </w:r>
      <w:r w:rsidR="001807F7">
        <w:rPr>
          <w:lang w:val="en-GB"/>
        </w:rPr>
        <w:t>become problematic to direct the</w:t>
      </w:r>
      <w:r w:rsidR="007373A3">
        <w:rPr>
          <w:lang w:val="en-GB"/>
        </w:rPr>
        <w:t>se</w:t>
      </w:r>
      <w:r w:rsidR="001807F7">
        <w:rPr>
          <w:lang w:val="en-GB"/>
        </w:rPr>
        <w:t xml:space="preserve"> </w:t>
      </w:r>
      <w:r w:rsidR="007A323D">
        <w:rPr>
          <w:lang w:val="en-GB"/>
        </w:rPr>
        <w:t>explosives-containing</w:t>
      </w:r>
      <w:r w:rsidR="001807F7">
        <w:rPr>
          <w:lang w:val="en-GB"/>
        </w:rPr>
        <w:t xml:space="preserve"> batteries to classification as corrosive</w:t>
      </w:r>
      <w:r w:rsidR="001F0BE0">
        <w:rPr>
          <w:lang w:val="en-GB"/>
        </w:rPr>
        <w:t xml:space="preserve"> in the GHS generally</w:t>
      </w:r>
      <w:r w:rsidR="001807F7">
        <w:rPr>
          <w:lang w:val="en-GB"/>
        </w:rPr>
        <w:t>.</w:t>
      </w:r>
      <w:r w:rsidR="004B7AFD">
        <w:rPr>
          <w:lang w:val="en-GB"/>
        </w:rPr>
        <w:t xml:space="preserve"> Table 2 in </w:t>
      </w:r>
      <w:r w:rsidR="00A0646E">
        <w:rPr>
          <w:lang w:val="en-GB"/>
        </w:rPr>
        <w:t>A</w:t>
      </w:r>
      <w:r w:rsidR="004B7AFD">
        <w:rPr>
          <w:lang w:val="en-GB"/>
        </w:rPr>
        <w:t xml:space="preserve">nnex </w:t>
      </w:r>
      <w:r w:rsidR="00A0646E">
        <w:rPr>
          <w:lang w:val="en-GB"/>
        </w:rPr>
        <w:t xml:space="preserve">II </w:t>
      </w:r>
      <w:r w:rsidR="004B7AFD">
        <w:rPr>
          <w:lang w:val="en-GB"/>
        </w:rPr>
        <w:t xml:space="preserve">to this document lists </w:t>
      </w:r>
      <w:r w:rsidR="00B863DC">
        <w:rPr>
          <w:lang w:val="en-GB"/>
        </w:rPr>
        <w:t xml:space="preserve">a few </w:t>
      </w:r>
      <w:r w:rsidR="004B7AFD">
        <w:rPr>
          <w:lang w:val="en-GB"/>
        </w:rPr>
        <w:t xml:space="preserve">products of this type that are found in the </w:t>
      </w:r>
      <w:r w:rsidR="001F0BE0">
        <w:rPr>
          <w:lang w:val="en-GB"/>
        </w:rPr>
        <w:t>DGL</w:t>
      </w:r>
      <w:r w:rsidR="004B7AFD">
        <w:rPr>
          <w:lang w:val="en-GB"/>
        </w:rPr>
        <w:t>.</w:t>
      </w:r>
    </w:p>
    <w:p w14:paraId="3E0F6791" w14:textId="57648726" w:rsidR="00734CCA" w:rsidRPr="00023ADD" w:rsidRDefault="00DC56F2" w:rsidP="00DC56F2">
      <w:pPr>
        <w:pStyle w:val="SingleTxtG"/>
        <w:rPr>
          <w:b/>
          <w:lang w:val="en-GB"/>
        </w:rPr>
      </w:pPr>
      <w:r w:rsidRPr="00023ADD">
        <w:rPr>
          <w:b/>
          <w:lang w:val="en-GB"/>
        </w:rPr>
        <w:t>Products in transport Class 9</w:t>
      </w:r>
    </w:p>
    <w:p w14:paraId="0A8EC65E" w14:textId="702939BB" w:rsidR="001807F7" w:rsidRDefault="006A35DA" w:rsidP="006A35DA">
      <w:pPr>
        <w:pStyle w:val="SingleTxtG"/>
        <w:rPr>
          <w:lang w:val="en-GB"/>
        </w:rPr>
      </w:pPr>
      <w:r>
        <w:rPr>
          <w:lang w:val="en-GB"/>
        </w:rPr>
        <w:t>9.</w:t>
      </w:r>
      <w:r>
        <w:rPr>
          <w:lang w:val="en-GB"/>
        </w:rPr>
        <w:tab/>
      </w:r>
      <w:r w:rsidR="00DC56F2">
        <w:rPr>
          <w:lang w:val="en-GB"/>
        </w:rPr>
        <w:t xml:space="preserve">Products in transport Class 9 </w:t>
      </w:r>
      <w:r w:rsidR="00B863DC">
        <w:rPr>
          <w:lang w:val="en-GB"/>
        </w:rPr>
        <w:t xml:space="preserve">(Miscellaneous dangerous substances and articles […]) generally </w:t>
      </w:r>
      <w:r w:rsidR="00DC56F2">
        <w:rPr>
          <w:lang w:val="en-GB"/>
        </w:rPr>
        <w:t>do</w:t>
      </w:r>
      <w:r w:rsidR="00DC56F2" w:rsidRPr="003825D0">
        <w:rPr>
          <w:lang w:val="en-GB"/>
        </w:rPr>
        <w:t xml:space="preserve"> not have a corresponding GHS hazard classification</w:t>
      </w:r>
      <w:r w:rsidR="00DC56F2">
        <w:rPr>
          <w:lang w:val="en-GB"/>
        </w:rPr>
        <w:t xml:space="preserve">, so the option for these is to either exclude them from the GHS altogether or to keep them in the GHS hazard class Explosives. </w:t>
      </w:r>
      <w:r w:rsidR="001807F7">
        <w:rPr>
          <w:lang w:val="en-GB"/>
        </w:rPr>
        <w:t xml:space="preserve">If the latter option is chosen, they would be classified </w:t>
      </w:r>
      <w:r w:rsidR="00B863DC">
        <w:rPr>
          <w:lang w:val="en-GB"/>
        </w:rPr>
        <w:t xml:space="preserve">as Explosives </w:t>
      </w:r>
      <w:r w:rsidR="001807F7">
        <w:rPr>
          <w:lang w:val="en-GB"/>
        </w:rPr>
        <w:t xml:space="preserve">in </w:t>
      </w:r>
      <w:r w:rsidR="00B863DC">
        <w:rPr>
          <w:lang w:val="en-GB"/>
        </w:rPr>
        <w:t xml:space="preserve">the new </w:t>
      </w:r>
      <w:r w:rsidR="001807F7">
        <w:rPr>
          <w:lang w:val="en-GB"/>
        </w:rPr>
        <w:t xml:space="preserve">Category 1 unless explicitly directed to another classification, as they </w:t>
      </w:r>
      <w:r w:rsidR="001807F7" w:rsidRPr="003825D0">
        <w:rPr>
          <w:lang w:val="en-GB"/>
        </w:rPr>
        <w:t xml:space="preserve">have not been assigned a division </w:t>
      </w:r>
      <w:r w:rsidR="001807F7">
        <w:rPr>
          <w:lang w:val="en-GB"/>
        </w:rPr>
        <w:t>according to Part I of the Manual of Test and Criteria.</w:t>
      </w:r>
      <w:r w:rsidR="00B863DC">
        <w:rPr>
          <w:rStyle w:val="FootnoteReference"/>
          <w:lang w:val="en-GB"/>
        </w:rPr>
        <w:footnoteReference w:id="7"/>
      </w:r>
      <w:r w:rsidR="004B7AFD">
        <w:rPr>
          <w:lang w:val="en-GB"/>
        </w:rPr>
        <w:t xml:space="preserve"> Table 3 in </w:t>
      </w:r>
      <w:r w:rsidR="00A0646E">
        <w:rPr>
          <w:lang w:val="en-GB"/>
        </w:rPr>
        <w:t>A</w:t>
      </w:r>
      <w:r w:rsidR="004B7AFD">
        <w:rPr>
          <w:lang w:val="en-GB"/>
        </w:rPr>
        <w:t xml:space="preserve">nnex </w:t>
      </w:r>
      <w:r w:rsidR="00A0646E">
        <w:rPr>
          <w:lang w:val="en-GB"/>
        </w:rPr>
        <w:t xml:space="preserve">II </w:t>
      </w:r>
      <w:r w:rsidR="004B7AFD">
        <w:rPr>
          <w:lang w:val="en-GB"/>
        </w:rPr>
        <w:t>to this document lists</w:t>
      </w:r>
      <w:r w:rsidR="00B863DC">
        <w:rPr>
          <w:lang w:val="en-GB"/>
        </w:rPr>
        <w:t xml:space="preserve"> some</w:t>
      </w:r>
      <w:r w:rsidR="004B7AFD">
        <w:rPr>
          <w:lang w:val="en-GB"/>
        </w:rPr>
        <w:t xml:space="preserve"> products of this type that are found in the </w:t>
      </w:r>
      <w:r w:rsidR="00B863DC">
        <w:rPr>
          <w:lang w:val="en-GB"/>
        </w:rPr>
        <w:t>DGL</w:t>
      </w:r>
      <w:r w:rsidR="004B7AFD">
        <w:rPr>
          <w:lang w:val="en-GB"/>
        </w:rPr>
        <w:t>.</w:t>
      </w:r>
    </w:p>
    <w:p w14:paraId="08791BFF" w14:textId="5B579FA0" w:rsidR="00364EFB" w:rsidRPr="00364EFB" w:rsidRDefault="00EF6010" w:rsidP="00364EFB">
      <w:pPr>
        <w:pStyle w:val="SingleTxtG"/>
        <w:rPr>
          <w:b/>
          <w:sz w:val="24"/>
          <w:lang w:val="en-GB"/>
        </w:rPr>
      </w:pPr>
      <w:r>
        <w:rPr>
          <w:b/>
          <w:sz w:val="24"/>
          <w:lang w:val="en-GB"/>
        </w:rPr>
        <w:t>General c</w:t>
      </w:r>
      <w:r w:rsidR="00364EFB" w:rsidRPr="00364EFB">
        <w:rPr>
          <w:b/>
          <w:sz w:val="24"/>
          <w:lang w:val="en-GB"/>
        </w:rPr>
        <w:t xml:space="preserve">onditions for exclusion from GHS </w:t>
      </w:r>
      <w:r w:rsidR="007A323D">
        <w:rPr>
          <w:b/>
          <w:sz w:val="24"/>
          <w:lang w:val="en-GB"/>
        </w:rPr>
        <w:t>Chapter 2.1</w:t>
      </w:r>
    </w:p>
    <w:p w14:paraId="15514380" w14:textId="084F958F" w:rsidR="008337F4" w:rsidRDefault="006A35DA" w:rsidP="006A35DA">
      <w:pPr>
        <w:pStyle w:val="SingleTxtG"/>
        <w:rPr>
          <w:lang w:val="en-GB"/>
        </w:rPr>
      </w:pPr>
      <w:r>
        <w:rPr>
          <w:lang w:val="en-GB"/>
        </w:rPr>
        <w:t>10.</w:t>
      </w:r>
      <w:r>
        <w:rPr>
          <w:lang w:val="en-GB"/>
        </w:rPr>
        <w:tab/>
      </w:r>
      <w:r w:rsidR="00EF6010">
        <w:rPr>
          <w:lang w:val="en-GB"/>
        </w:rPr>
        <w:t>The classification of products</w:t>
      </w:r>
      <w:r w:rsidR="008337F4">
        <w:rPr>
          <w:lang w:val="en-GB"/>
        </w:rPr>
        <w:t xml:space="preserve"> consisting of or containing explosives</w:t>
      </w:r>
      <w:r w:rsidR="00EF6010">
        <w:rPr>
          <w:lang w:val="en-GB"/>
        </w:rPr>
        <w:t xml:space="preserve"> in </w:t>
      </w:r>
      <w:r w:rsidR="008E4789">
        <w:rPr>
          <w:lang w:val="en-GB"/>
        </w:rPr>
        <w:t xml:space="preserve">a </w:t>
      </w:r>
      <w:r w:rsidR="00EF6010">
        <w:rPr>
          <w:lang w:val="en-GB"/>
        </w:rPr>
        <w:t xml:space="preserve">class </w:t>
      </w:r>
      <w:r w:rsidR="008E4789">
        <w:rPr>
          <w:lang w:val="en-GB"/>
        </w:rPr>
        <w:t xml:space="preserve">other </w:t>
      </w:r>
      <w:r w:rsidR="00EF6010">
        <w:rPr>
          <w:lang w:val="en-GB"/>
        </w:rPr>
        <w:t xml:space="preserve">than Class 1 for transport </w:t>
      </w:r>
      <w:r w:rsidR="007F6B9E">
        <w:rPr>
          <w:lang w:val="en-GB"/>
        </w:rPr>
        <w:t xml:space="preserve">in </w:t>
      </w:r>
      <w:r w:rsidR="00EF6010">
        <w:rPr>
          <w:lang w:val="en-GB"/>
        </w:rPr>
        <w:t>some cases depends on a particular transport configuration, and</w:t>
      </w:r>
      <w:r w:rsidR="00E35BB9">
        <w:rPr>
          <w:lang w:val="en-GB"/>
        </w:rPr>
        <w:t xml:space="preserve"> in other</w:t>
      </w:r>
      <w:r w:rsidR="00EF6010">
        <w:rPr>
          <w:lang w:val="en-GB"/>
        </w:rPr>
        <w:t xml:space="preserve"> cases</w:t>
      </w:r>
      <w:r w:rsidR="008337F4">
        <w:rPr>
          <w:lang w:val="en-GB"/>
        </w:rPr>
        <w:t xml:space="preserve"> it</w:t>
      </w:r>
      <w:r w:rsidR="00E35BB9">
        <w:rPr>
          <w:lang w:val="en-GB"/>
        </w:rPr>
        <w:t xml:space="preserve"> does</w:t>
      </w:r>
      <w:r w:rsidR="00EF6010">
        <w:rPr>
          <w:lang w:val="en-GB"/>
        </w:rPr>
        <w:t xml:space="preserve"> not. For the former products, remaining in the transport configuration </w:t>
      </w:r>
      <w:r w:rsidR="007373A3">
        <w:rPr>
          <w:lang w:val="en-GB"/>
        </w:rPr>
        <w:t xml:space="preserve">is considered a necessary </w:t>
      </w:r>
      <w:r w:rsidR="00EF6010">
        <w:rPr>
          <w:lang w:val="en-GB"/>
        </w:rPr>
        <w:t>condition also for</w:t>
      </w:r>
      <w:r w:rsidR="007373A3">
        <w:rPr>
          <w:lang w:val="en-GB"/>
        </w:rPr>
        <w:t xml:space="preserve"> a deviating GHS classification. For the latter, such a condition is, however, not needed.</w:t>
      </w:r>
    </w:p>
    <w:p w14:paraId="6B36AD39" w14:textId="079C0A9B" w:rsidR="00EF6010" w:rsidRDefault="006A35DA" w:rsidP="006A35DA">
      <w:pPr>
        <w:pStyle w:val="SingleTxtG"/>
        <w:rPr>
          <w:lang w:val="en-GB"/>
        </w:rPr>
      </w:pPr>
      <w:r>
        <w:rPr>
          <w:lang w:val="en-GB"/>
        </w:rPr>
        <w:t>11.</w:t>
      </w:r>
      <w:r>
        <w:rPr>
          <w:lang w:val="en-GB"/>
        </w:rPr>
        <w:tab/>
      </w:r>
      <w:r w:rsidR="00BC5520">
        <w:rPr>
          <w:lang w:val="en-GB"/>
        </w:rPr>
        <w:t>In addition, it is considered that the use of a</w:t>
      </w:r>
      <w:r w:rsidR="00EF6010">
        <w:rPr>
          <w:lang w:val="en-GB"/>
        </w:rPr>
        <w:t xml:space="preserve"> product generally needs to be allowed without </w:t>
      </w:r>
      <w:r w:rsidR="00BC5520">
        <w:rPr>
          <w:lang w:val="en-GB"/>
        </w:rPr>
        <w:t>triggering</w:t>
      </w:r>
      <w:r w:rsidR="00EF6010">
        <w:rPr>
          <w:lang w:val="en-GB"/>
        </w:rPr>
        <w:t xml:space="preserve"> reclassification, for practical reasons</w:t>
      </w:r>
      <w:r w:rsidR="00E35BB9">
        <w:rPr>
          <w:lang w:val="en-GB"/>
        </w:rPr>
        <w:t>.</w:t>
      </w:r>
      <w:r w:rsidR="008337F4">
        <w:rPr>
          <w:lang w:val="en-GB"/>
        </w:rPr>
        <w:t xml:space="preserve"> This is similar to how reclassification of an explosive classified in the new Category 2 should not be triggered by the use of the product.</w:t>
      </w:r>
      <w:r w:rsidR="00C15BB7">
        <w:rPr>
          <w:rStyle w:val="FootnoteReference"/>
          <w:lang w:val="en-GB"/>
        </w:rPr>
        <w:footnoteReference w:id="8"/>
      </w:r>
      <w:r w:rsidR="008337F4">
        <w:rPr>
          <w:lang w:val="en-GB"/>
        </w:rPr>
        <w:t xml:space="preserve"> </w:t>
      </w:r>
    </w:p>
    <w:p w14:paraId="20DC5188" w14:textId="1C2ADB48" w:rsidR="00CE2B0A" w:rsidRDefault="00765191" w:rsidP="00A66355">
      <w:pPr>
        <w:pStyle w:val="SingleTxtG"/>
        <w:rPr>
          <w:b/>
          <w:sz w:val="24"/>
          <w:lang w:val="en-GB"/>
        </w:rPr>
      </w:pPr>
      <w:r>
        <w:rPr>
          <w:b/>
          <w:sz w:val="24"/>
          <w:lang w:val="en-GB"/>
        </w:rPr>
        <w:t>Proposals</w:t>
      </w:r>
    </w:p>
    <w:p w14:paraId="0FAD53E7" w14:textId="5321AC50" w:rsidR="00A66355" w:rsidRPr="00A66355" w:rsidRDefault="00BC5520" w:rsidP="00A66355">
      <w:pPr>
        <w:pStyle w:val="SingleTxtG"/>
        <w:rPr>
          <w:b/>
          <w:lang w:val="en-GB"/>
        </w:rPr>
      </w:pPr>
      <w:r>
        <w:rPr>
          <w:b/>
          <w:lang w:val="en-GB"/>
        </w:rPr>
        <w:t xml:space="preserve">Proposal 1: </w:t>
      </w:r>
      <w:r w:rsidR="00C92AD1">
        <w:rPr>
          <w:b/>
          <w:lang w:val="en-GB"/>
        </w:rPr>
        <w:t>Direct p</w:t>
      </w:r>
      <w:r w:rsidR="00C92AD1" w:rsidRPr="00A66355">
        <w:rPr>
          <w:b/>
          <w:lang w:val="en-GB"/>
        </w:rPr>
        <w:t xml:space="preserve">roducts </w:t>
      </w:r>
      <w:r w:rsidR="00A66355" w:rsidRPr="00A66355">
        <w:rPr>
          <w:b/>
          <w:lang w:val="en-GB"/>
        </w:rPr>
        <w:t xml:space="preserve">in </w:t>
      </w:r>
      <w:r w:rsidR="00A66355">
        <w:rPr>
          <w:b/>
          <w:lang w:val="en-GB"/>
        </w:rPr>
        <w:t xml:space="preserve">transport </w:t>
      </w:r>
      <w:r w:rsidR="00A66355" w:rsidRPr="00A66355">
        <w:rPr>
          <w:b/>
          <w:lang w:val="en-GB"/>
        </w:rPr>
        <w:t>Class 2, 3, 4 and 5</w:t>
      </w:r>
      <w:r w:rsidR="00C92AD1">
        <w:rPr>
          <w:b/>
          <w:lang w:val="en-GB"/>
        </w:rPr>
        <w:t xml:space="preserve"> to the corresponding GHS hazard class</w:t>
      </w:r>
      <w:r w:rsidR="007C7FA3">
        <w:rPr>
          <w:b/>
          <w:lang w:val="en-GB"/>
        </w:rPr>
        <w:t>ification</w:t>
      </w:r>
    </w:p>
    <w:p w14:paraId="28771987" w14:textId="22FE0F42" w:rsidR="00A66355" w:rsidRDefault="006A35DA" w:rsidP="006A35DA">
      <w:pPr>
        <w:pStyle w:val="SingleTxtG"/>
        <w:rPr>
          <w:lang w:val="en-GB"/>
        </w:rPr>
      </w:pPr>
      <w:r>
        <w:rPr>
          <w:lang w:val="en-GB"/>
        </w:rPr>
        <w:t>12.</w:t>
      </w:r>
      <w:r>
        <w:rPr>
          <w:lang w:val="en-GB"/>
        </w:rPr>
        <w:tab/>
      </w:r>
      <w:r w:rsidR="00A66355">
        <w:rPr>
          <w:lang w:val="en-GB"/>
        </w:rPr>
        <w:t xml:space="preserve">For products classified in Class 2, 3, 4 or 5 according to the DGL, it is proposed to insert a provision that directs them to the corresponding GHS </w:t>
      </w:r>
      <w:r w:rsidR="00C15BB7">
        <w:rPr>
          <w:lang w:val="en-GB"/>
        </w:rPr>
        <w:t xml:space="preserve">(physical) </w:t>
      </w:r>
      <w:r w:rsidR="00A66355">
        <w:rPr>
          <w:lang w:val="en-GB"/>
        </w:rPr>
        <w:t>hazard class and category, provided that (a) they are in the transport configuration; or (b) the transport classification does not depend on a particular configuration or (c) they are in use.</w:t>
      </w:r>
    </w:p>
    <w:p w14:paraId="446F5DFB" w14:textId="4562726D" w:rsidR="00A66355" w:rsidRPr="00A66355" w:rsidRDefault="00BC5520" w:rsidP="00A66355">
      <w:pPr>
        <w:pStyle w:val="SingleTxtG"/>
        <w:rPr>
          <w:b/>
          <w:lang w:val="en-GB"/>
        </w:rPr>
      </w:pPr>
      <w:r>
        <w:rPr>
          <w:b/>
          <w:lang w:val="en-GB"/>
        </w:rPr>
        <w:t xml:space="preserve">Proposal 2: </w:t>
      </w:r>
      <w:r w:rsidR="00C92AD1">
        <w:rPr>
          <w:b/>
          <w:lang w:val="en-GB"/>
        </w:rPr>
        <w:t>Allow the direction of p</w:t>
      </w:r>
      <w:r w:rsidR="00A66355" w:rsidRPr="00A66355">
        <w:rPr>
          <w:b/>
          <w:lang w:val="en-GB"/>
        </w:rPr>
        <w:t>roducts in transport Class 6</w:t>
      </w:r>
      <w:r>
        <w:rPr>
          <w:b/>
          <w:lang w:val="en-GB"/>
        </w:rPr>
        <w:t xml:space="preserve"> </w:t>
      </w:r>
      <w:r w:rsidR="00A66355" w:rsidRPr="00A66355">
        <w:rPr>
          <w:b/>
          <w:lang w:val="en-GB"/>
        </w:rPr>
        <w:t>or 8</w:t>
      </w:r>
      <w:r w:rsidR="00C92AD1">
        <w:rPr>
          <w:b/>
          <w:lang w:val="en-GB"/>
        </w:rPr>
        <w:t xml:space="preserve"> to the corresponding GHS hazard class</w:t>
      </w:r>
    </w:p>
    <w:p w14:paraId="3E14E80D" w14:textId="644E1810" w:rsidR="00A66355" w:rsidRDefault="006A35DA" w:rsidP="006A35DA">
      <w:pPr>
        <w:pStyle w:val="SingleTxtG"/>
        <w:rPr>
          <w:lang w:val="en-GB"/>
        </w:rPr>
      </w:pPr>
      <w:r>
        <w:rPr>
          <w:lang w:val="en-GB"/>
        </w:rPr>
        <w:t>13.</w:t>
      </w:r>
      <w:r>
        <w:rPr>
          <w:lang w:val="en-GB"/>
        </w:rPr>
        <w:tab/>
      </w:r>
      <w:r w:rsidR="00A66355">
        <w:rPr>
          <w:lang w:val="en-GB"/>
        </w:rPr>
        <w:t xml:space="preserve">For products classified in Class 6 or 8 according to the DGL, it is proposed to insert a </w:t>
      </w:r>
      <w:r w:rsidR="00E35BB9">
        <w:rPr>
          <w:lang w:val="en-GB"/>
        </w:rPr>
        <w:t xml:space="preserve">note </w:t>
      </w:r>
      <w:r w:rsidR="00A66355">
        <w:rPr>
          <w:lang w:val="en-GB"/>
        </w:rPr>
        <w:t xml:space="preserve">that directs them to the corresponding GHS hazard class, subject to a competent authority approval. In this way these products are not forced into another </w:t>
      </w:r>
      <w:r w:rsidR="00E35BB9">
        <w:rPr>
          <w:lang w:val="en-GB"/>
        </w:rPr>
        <w:t>classification but the option to</w:t>
      </w:r>
      <w:r w:rsidR="00A66355">
        <w:rPr>
          <w:lang w:val="en-GB"/>
        </w:rPr>
        <w:t xml:space="preserve"> do so exists. A</w:t>
      </w:r>
      <w:r w:rsidR="00E35BB9">
        <w:rPr>
          <w:lang w:val="en-GB"/>
        </w:rPr>
        <w:t xml:space="preserve"> competen</w:t>
      </w:r>
      <w:r w:rsidR="007A323D">
        <w:rPr>
          <w:lang w:val="en-GB"/>
        </w:rPr>
        <w:t xml:space="preserve">t authority approval should </w:t>
      </w:r>
      <w:r w:rsidR="00E35BB9">
        <w:rPr>
          <w:lang w:val="en-GB"/>
        </w:rPr>
        <w:t>be</w:t>
      </w:r>
      <w:r w:rsidR="00A66355">
        <w:rPr>
          <w:lang w:val="en-GB"/>
        </w:rPr>
        <w:t xml:space="preserve"> unproblematic</w:t>
      </w:r>
      <w:r w:rsidR="007A323D">
        <w:rPr>
          <w:lang w:val="en-GB"/>
        </w:rPr>
        <w:t xml:space="preserve"> for these very special products</w:t>
      </w:r>
      <w:r w:rsidR="00A66355">
        <w:rPr>
          <w:lang w:val="en-GB"/>
        </w:rPr>
        <w:t>. The same</w:t>
      </w:r>
      <w:r w:rsidR="007A323D">
        <w:rPr>
          <w:lang w:val="en-GB"/>
        </w:rPr>
        <w:t xml:space="preserve"> general</w:t>
      </w:r>
      <w:r w:rsidR="00A66355">
        <w:rPr>
          <w:lang w:val="en-GB"/>
        </w:rPr>
        <w:t xml:space="preserve"> conditions as for </w:t>
      </w:r>
      <w:r w:rsidR="00E35BB9">
        <w:rPr>
          <w:lang w:val="en-GB"/>
        </w:rPr>
        <w:t xml:space="preserve">products directed to </w:t>
      </w:r>
      <w:r w:rsidR="00A66355">
        <w:rPr>
          <w:lang w:val="en-GB"/>
        </w:rPr>
        <w:t>Class 2, 3, 4 and 5 would apply.</w:t>
      </w:r>
      <w:r w:rsidR="00322C8C">
        <w:rPr>
          <w:lang w:val="en-GB"/>
        </w:rPr>
        <w:t xml:space="preserve"> It should be noted that by applying this note to Class 6 as a whole, also division 6.2 (Infectious substances) would be included although there is no corresponding GHS hazard class as the GHS does not cover this type of hazard at all. </w:t>
      </w:r>
    </w:p>
    <w:p w14:paraId="0010A2F8" w14:textId="77777777" w:rsidR="007839A0" w:rsidRDefault="007839A0">
      <w:pPr>
        <w:suppressAutoHyphens w:val="0"/>
        <w:spacing w:line="240" w:lineRule="auto"/>
        <w:rPr>
          <w:b/>
        </w:rPr>
      </w:pPr>
      <w:r>
        <w:rPr>
          <w:b/>
        </w:rPr>
        <w:br w:type="page"/>
      </w:r>
    </w:p>
    <w:p w14:paraId="5C8CC10E" w14:textId="085D5849" w:rsidR="00A66355" w:rsidRPr="00A66355" w:rsidRDefault="00BC5520" w:rsidP="00A66355">
      <w:pPr>
        <w:pStyle w:val="SingleTxtG"/>
        <w:rPr>
          <w:b/>
          <w:lang w:val="en-GB"/>
        </w:rPr>
      </w:pPr>
      <w:r>
        <w:rPr>
          <w:b/>
          <w:lang w:val="en-GB"/>
        </w:rPr>
        <w:lastRenderedPageBreak/>
        <w:t xml:space="preserve">Proposal 3: </w:t>
      </w:r>
      <w:r w:rsidR="00C92AD1">
        <w:rPr>
          <w:b/>
          <w:lang w:val="en-GB"/>
        </w:rPr>
        <w:t>Classify p</w:t>
      </w:r>
      <w:r w:rsidR="00A66355" w:rsidRPr="00A66355">
        <w:rPr>
          <w:b/>
          <w:lang w:val="en-GB"/>
        </w:rPr>
        <w:t>roducts in transport Class 9</w:t>
      </w:r>
      <w:r w:rsidR="00C92AD1">
        <w:rPr>
          <w:b/>
          <w:lang w:val="en-GB"/>
        </w:rPr>
        <w:t xml:space="preserve"> as GHS Explosives </w:t>
      </w:r>
      <w:r w:rsidR="007C7FA3">
        <w:rPr>
          <w:b/>
          <w:lang w:val="en-GB"/>
        </w:rPr>
        <w:t xml:space="preserve">in </w:t>
      </w:r>
      <w:r w:rsidR="00C92AD1">
        <w:rPr>
          <w:b/>
          <w:lang w:val="en-GB"/>
        </w:rPr>
        <w:t>Sub-category 2C</w:t>
      </w:r>
    </w:p>
    <w:p w14:paraId="4A939572" w14:textId="29C193B7" w:rsidR="00140F7D" w:rsidRDefault="006A35DA" w:rsidP="006A35DA">
      <w:pPr>
        <w:pStyle w:val="SingleTxtG"/>
        <w:rPr>
          <w:lang w:val="en-GB"/>
        </w:rPr>
      </w:pPr>
      <w:r>
        <w:rPr>
          <w:lang w:val="en-GB"/>
        </w:rPr>
        <w:t>14.</w:t>
      </w:r>
      <w:r>
        <w:rPr>
          <w:lang w:val="en-GB"/>
        </w:rPr>
        <w:tab/>
      </w:r>
      <w:r w:rsidR="00B155DC">
        <w:rPr>
          <w:lang w:val="en-GB"/>
        </w:rPr>
        <w:t xml:space="preserve">For products classified in Class 9 according to the DGL, it is proposed to insert a provision that directs them to classification </w:t>
      </w:r>
      <w:r w:rsidR="00C15BB7">
        <w:rPr>
          <w:lang w:val="en-GB"/>
        </w:rPr>
        <w:t xml:space="preserve">in </w:t>
      </w:r>
      <w:r w:rsidR="00B155DC">
        <w:rPr>
          <w:lang w:val="en-GB"/>
        </w:rPr>
        <w:t>Sub-category 2C within the hazard class Explosives</w:t>
      </w:r>
      <w:r w:rsidR="00C15BB7">
        <w:rPr>
          <w:lang w:val="en-GB"/>
        </w:rPr>
        <w:t xml:space="preserve"> as proposed</w:t>
      </w:r>
      <w:r w:rsidR="00B155DC">
        <w:rPr>
          <w:lang w:val="en-GB"/>
        </w:rPr>
        <w:t>, provided that (a) they are in the transport configuration; or (b) the transport classification does not depend on a particular configuration or (c) they are in use.</w:t>
      </w:r>
      <w:r w:rsidR="000C515C">
        <w:rPr>
          <w:lang w:val="en-GB"/>
        </w:rPr>
        <w:t xml:space="preserve"> As</w:t>
      </w:r>
      <w:r w:rsidR="00C15BB7">
        <w:rPr>
          <w:lang w:val="en-GB"/>
        </w:rPr>
        <w:t xml:space="preserve"> these product</w:t>
      </w:r>
      <w:r w:rsidR="00722A5B">
        <w:rPr>
          <w:lang w:val="en-GB"/>
        </w:rPr>
        <w:t>s</w:t>
      </w:r>
      <w:r w:rsidR="00C15BB7">
        <w:rPr>
          <w:lang w:val="en-GB"/>
        </w:rPr>
        <w:t xml:space="preserve"> </w:t>
      </w:r>
      <w:r w:rsidR="00FF51BF">
        <w:rPr>
          <w:lang w:val="en-GB"/>
        </w:rPr>
        <w:t xml:space="preserve">represent an explosion hazard corresponding to Sub-category 2C </w:t>
      </w:r>
      <w:r w:rsidR="00C15BB7">
        <w:rPr>
          <w:lang w:val="en-GB"/>
        </w:rPr>
        <w:t xml:space="preserve">(“low hazard”) </w:t>
      </w:r>
      <w:r w:rsidR="00FF51BF">
        <w:rPr>
          <w:lang w:val="en-GB"/>
        </w:rPr>
        <w:t>or less, this seems more appropriate than to classify them as Category 1</w:t>
      </w:r>
      <w:r w:rsidR="00BC5520">
        <w:rPr>
          <w:lang w:val="en-GB"/>
        </w:rPr>
        <w:t xml:space="preserve"> which would lead to exaggerated hazard communication</w:t>
      </w:r>
      <w:r w:rsidR="00FF51BF">
        <w:rPr>
          <w:lang w:val="en-GB"/>
        </w:rPr>
        <w:t>.</w:t>
      </w:r>
    </w:p>
    <w:p w14:paraId="6150161E" w14:textId="5797C59A" w:rsidR="00A66355" w:rsidRPr="00C92AD1" w:rsidRDefault="00C92AD1" w:rsidP="00140F7D">
      <w:pPr>
        <w:pStyle w:val="SingleTxtG"/>
        <w:rPr>
          <w:sz w:val="24"/>
          <w:lang w:val="en-GB"/>
        </w:rPr>
      </w:pPr>
      <w:r>
        <w:rPr>
          <w:b/>
          <w:sz w:val="24"/>
          <w:lang w:val="en-GB"/>
        </w:rPr>
        <w:t>Proposed additional t</w:t>
      </w:r>
      <w:r w:rsidRPr="00C92AD1">
        <w:rPr>
          <w:b/>
          <w:sz w:val="24"/>
          <w:lang w:val="en-GB"/>
        </w:rPr>
        <w:t xml:space="preserve">ext </w:t>
      </w:r>
      <w:r w:rsidR="00765191" w:rsidRPr="00C92AD1">
        <w:rPr>
          <w:b/>
          <w:sz w:val="24"/>
          <w:lang w:val="en-GB"/>
        </w:rPr>
        <w:t>for insertion into new GHS Chapter 2.1</w:t>
      </w:r>
    </w:p>
    <w:p w14:paraId="53A96DEA" w14:textId="1D68C0C3" w:rsidR="00BC5520" w:rsidRDefault="006A35DA" w:rsidP="006A35DA">
      <w:pPr>
        <w:pStyle w:val="SingleTxtG"/>
        <w:rPr>
          <w:lang w:val="en-GB"/>
        </w:rPr>
      </w:pPr>
      <w:r>
        <w:rPr>
          <w:lang w:val="en-GB"/>
        </w:rPr>
        <w:t>15.</w:t>
      </w:r>
      <w:r>
        <w:rPr>
          <w:lang w:val="en-GB"/>
        </w:rPr>
        <w:tab/>
      </w:r>
      <w:r w:rsidR="00765191">
        <w:rPr>
          <w:lang w:val="en-GB"/>
        </w:rPr>
        <w:t xml:space="preserve">Annex I </w:t>
      </w:r>
      <w:r w:rsidR="00FF51BF">
        <w:rPr>
          <w:lang w:val="en-GB"/>
        </w:rPr>
        <w:t xml:space="preserve">to this document </w:t>
      </w:r>
      <w:r w:rsidR="00765191">
        <w:rPr>
          <w:lang w:val="en-GB"/>
        </w:rPr>
        <w:t xml:space="preserve">contains proposed </w:t>
      </w:r>
      <w:r w:rsidR="00993EE1">
        <w:rPr>
          <w:lang w:val="en-GB"/>
        </w:rPr>
        <w:t>provisions</w:t>
      </w:r>
      <w:r w:rsidR="00765191">
        <w:rPr>
          <w:lang w:val="en-GB"/>
        </w:rPr>
        <w:t xml:space="preserve"> for insertion into </w:t>
      </w:r>
      <w:r w:rsidR="00573E39">
        <w:rPr>
          <w:lang w:val="en-GB"/>
        </w:rPr>
        <w:t>section 2.1.1 of GHS</w:t>
      </w:r>
      <w:r w:rsidR="00765191">
        <w:rPr>
          <w:lang w:val="en-GB"/>
        </w:rPr>
        <w:t xml:space="preserve"> Chapter 2.1</w:t>
      </w:r>
      <w:r w:rsidR="005624D6">
        <w:rPr>
          <w:lang w:val="en-GB"/>
        </w:rPr>
        <w:t xml:space="preserve"> as proposed in </w:t>
      </w:r>
      <w:r w:rsidR="005624D6" w:rsidRPr="007A323D">
        <w:rPr>
          <w:lang w:val="en-GB"/>
        </w:rPr>
        <w:t>ST/SG/AC.10/C.3/2020/20−ST/SG/AC.10/C.4/2020/5</w:t>
      </w:r>
      <w:r w:rsidR="005624D6">
        <w:rPr>
          <w:lang w:val="en-GB"/>
        </w:rPr>
        <w:t>,</w:t>
      </w:r>
      <w:r w:rsidR="005624D6" w:rsidRPr="00CA4DF2">
        <w:rPr>
          <w:lang w:val="en-GB"/>
        </w:rPr>
        <w:t xml:space="preserve"> </w:t>
      </w:r>
      <w:r w:rsidR="005624D6">
        <w:rPr>
          <w:lang w:val="en-GB"/>
        </w:rPr>
        <w:t xml:space="preserve">amended by </w:t>
      </w:r>
      <w:r w:rsidR="005624D6" w:rsidRPr="007A323D">
        <w:rPr>
          <w:lang w:val="en-GB"/>
        </w:rPr>
        <w:t>ST/SG/AC.10/C.3/2020/20/Add.1−ST/SG/AC.10/C.4/2020/5/Add.1</w:t>
      </w:r>
      <w:r w:rsidR="00765191">
        <w:rPr>
          <w:lang w:val="en-GB"/>
        </w:rPr>
        <w:t xml:space="preserve">, for consideration of the Sub-committees. </w:t>
      </w:r>
    </w:p>
    <w:p w14:paraId="1E162B6A" w14:textId="49F37F55" w:rsidR="00B4603C" w:rsidRPr="000B1DEA" w:rsidRDefault="006A35DA" w:rsidP="006A35DA">
      <w:pPr>
        <w:pStyle w:val="SingleTxtG"/>
        <w:rPr>
          <w:lang w:val="en-GB"/>
        </w:rPr>
      </w:pPr>
      <w:r w:rsidRPr="000B1DEA">
        <w:rPr>
          <w:lang w:val="en-GB"/>
        </w:rPr>
        <w:t>16.</w:t>
      </w:r>
      <w:r w:rsidRPr="000B1DEA">
        <w:rPr>
          <w:lang w:val="en-GB"/>
        </w:rPr>
        <w:tab/>
      </w:r>
      <w:r w:rsidR="00765191">
        <w:rPr>
          <w:lang w:val="en-GB"/>
        </w:rPr>
        <w:t>The Sub-committees are reminded that adopting the</w:t>
      </w:r>
      <w:r w:rsidR="00FF51BF">
        <w:rPr>
          <w:lang w:val="en-GB"/>
        </w:rPr>
        <w:t xml:space="preserve">se </w:t>
      </w:r>
      <w:r w:rsidR="00C15BB7">
        <w:rPr>
          <w:lang w:val="en-GB"/>
        </w:rPr>
        <w:t xml:space="preserve">additional </w:t>
      </w:r>
      <w:r w:rsidR="00FF51BF">
        <w:rPr>
          <w:lang w:val="en-GB"/>
        </w:rPr>
        <w:t xml:space="preserve">provisions </w:t>
      </w:r>
      <w:r w:rsidR="00765191">
        <w:rPr>
          <w:lang w:val="en-GB"/>
        </w:rPr>
        <w:t xml:space="preserve">is not necessary for the adoption of the new </w:t>
      </w:r>
      <w:r w:rsidR="00BC5520">
        <w:rPr>
          <w:lang w:val="en-GB"/>
        </w:rPr>
        <w:t xml:space="preserve">GHS </w:t>
      </w:r>
      <w:r w:rsidR="00765191">
        <w:rPr>
          <w:lang w:val="en-GB"/>
        </w:rPr>
        <w:t>Chapter 2.1 as proposed. Not adopting the additional pro</w:t>
      </w:r>
      <w:r w:rsidR="00FF51BF">
        <w:rPr>
          <w:lang w:val="en-GB"/>
        </w:rPr>
        <w:t>visions</w:t>
      </w:r>
      <w:r w:rsidR="00C15BB7">
        <w:rPr>
          <w:lang w:val="en-GB"/>
        </w:rPr>
        <w:t xml:space="preserve"> presented in Annex I</w:t>
      </w:r>
      <w:r w:rsidR="00765191">
        <w:rPr>
          <w:lang w:val="en-GB"/>
        </w:rPr>
        <w:t xml:space="preserve"> </w:t>
      </w:r>
      <w:r w:rsidR="00C15BB7">
        <w:rPr>
          <w:lang w:val="en-GB"/>
        </w:rPr>
        <w:t xml:space="preserve">to this document </w:t>
      </w:r>
      <w:r w:rsidR="00765191">
        <w:rPr>
          <w:lang w:val="en-GB"/>
        </w:rPr>
        <w:t xml:space="preserve">would </w:t>
      </w:r>
      <w:r w:rsidR="00FF51BF">
        <w:rPr>
          <w:lang w:val="en-GB"/>
        </w:rPr>
        <w:t xml:space="preserve">only </w:t>
      </w:r>
      <w:r w:rsidR="00765191">
        <w:rPr>
          <w:lang w:val="en-GB"/>
        </w:rPr>
        <w:t xml:space="preserve">mean that the affected products will remain in the grey area </w:t>
      </w:r>
      <w:r w:rsidR="00FF51BF">
        <w:rPr>
          <w:lang w:val="en-GB"/>
        </w:rPr>
        <w:t>where they currently are, i.e. it</w:t>
      </w:r>
      <w:r w:rsidR="00765191">
        <w:rPr>
          <w:lang w:val="en-GB"/>
        </w:rPr>
        <w:t xml:space="preserve"> represents the status quo.</w:t>
      </w:r>
      <w:r w:rsidR="00B4603C">
        <w:rPr>
          <w:lang w:val="en-GB"/>
        </w:rPr>
        <w:br w:type="page"/>
      </w:r>
    </w:p>
    <w:p w14:paraId="66CC3510" w14:textId="394408D5" w:rsidR="00B76F2A" w:rsidRDefault="00B76F2A" w:rsidP="007839A0">
      <w:pPr>
        <w:pStyle w:val="HChG"/>
      </w:pPr>
      <w:r w:rsidRPr="00BA5DE9">
        <w:lastRenderedPageBreak/>
        <w:t>Annex</w:t>
      </w:r>
      <w:r w:rsidR="00E71CC6">
        <w:t xml:space="preserve"> I</w:t>
      </w:r>
    </w:p>
    <w:p w14:paraId="0213B8B0" w14:textId="36ED3E2E" w:rsidR="00E71CC6" w:rsidRDefault="007839A0" w:rsidP="007839A0">
      <w:pPr>
        <w:pStyle w:val="HChG"/>
      </w:pPr>
      <w:r>
        <w:tab/>
      </w:r>
      <w:r>
        <w:tab/>
      </w:r>
      <w:r w:rsidR="00644B80">
        <w:t>Proposed additional</w:t>
      </w:r>
      <w:r w:rsidR="00E71CC6">
        <w:t xml:space="preserve"> provisions for</w:t>
      </w:r>
      <w:r w:rsidR="001D13CF">
        <w:t xml:space="preserve"> the</w:t>
      </w:r>
      <w:r w:rsidR="00E71CC6">
        <w:t xml:space="preserve"> </w:t>
      </w:r>
      <w:r w:rsidR="00807E8D">
        <w:t xml:space="preserve">new </w:t>
      </w:r>
      <w:r w:rsidR="00E71CC6">
        <w:t>GHS Chapter 2.1</w:t>
      </w:r>
    </w:p>
    <w:p w14:paraId="18A8EDEB" w14:textId="6E31B993" w:rsidR="00E71CC6" w:rsidRPr="003825D0" w:rsidRDefault="00E71CC6" w:rsidP="00E71CC6">
      <w:pPr>
        <w:pStyle w:val="SingleTxtG"/>
        <w:rPr>
          <w:lang w:val="en-GB"/>
        </w:rPr>
      </w:pPr>
      <w:r w:rsidRPr="003825D0">
        <w:rPr>
          <w:lang w:val="en-GB"/>
        </w:rPr>
        <w:t>“2.1.1.2.3</w:t>
      </w:r>
      <w:r w:rsidRPr="003825D0">
        <w:rPr>
          <w:lang w:val="en-GB"/>
        </w:rPr>
        <w:tab/>
        <w:t>For products consisting of or containing explosives, which are assigned a specific UN-number in a</w:t>
      </w:r>
      <w:r w:rsidR="00A016B0">
        <w:rPr>
          <w:lang w:val="en-GB"/>
        </w:rPr>
        <w:t xml:space="preserve"> </w:t>
      </w:r>
      <w:r w:rsidRPr="003825D0">
        <w:rPr>
          <w:lang w:val="en-GB"/>
        </w:rPr>
        <w:t xml:space="preserve">class </w:t>
      </w:r>
      <w:r w:rsidR="00A016B0">
        <w:rPr>
          <w:lang w:val="en-GB"/>
        </w:rPr>
        <w:t xml:space="preserve">other </w:t>
      </w:r>
      <w:r w:rsidRPr="003825D0">
        <w:rPr>
          <w:lang w:val="en-GB"/>
        </w:rPr>
        <w:t xml:space="preserve">than Class 1 according to the Dangerous Goods List of the </w:t>
      </w:r>
      <w:r w:rsidRPr="00647169">
        <w:rPr>
          <w:i/>
          <w:lang w:val="en-GB"/>
        </w:rPr>
        <w:t>UN Model Reg</w:t>
      </w:r>
      <w:r w:rsidR="00AB393C" w:rsidRPr="00647169">
        <w:rPr>
          <w:i/>
          <w:lang w:val="en-GB"/>
        </w:rPr>
        <w:t>ulations</w:t>
      </w:r>
      <w:r w:rsidR="00AB393C">
        <w:rPr>
          <w:lang w:val="en-GB"/>
        </w:rPr>
        <w:t>, the following applies:</w:t>
      </w:r>
    </w:p>
    <w:p w14:paraId="23BBFE28" w14:textId="77777777" w:rsidR="00E71CC6" w:rsidRPr="003825D0" w:rsidRDefault="00E71CC6" w:rsidP="00E71CC6">
      <w:pPr>
        <w:pStyle w:val="SingleTxtG"/>
        <w:rPr>
          <w:lang w:val="en-GB"/>
        </w:rPr>
      </w:pPr>
      <w:r w:rsidRPr="003825D0">
        <w:rPr>
          <w:lang w:val="en-GB"/>
        </w:rPr>
        <w:t xml:space="preserve">2.1.1.2.3.1      Products according to 2.1.1.2.3 which are assigned a specific UN-number in Class 2, 3, 4 or 5 are classified in the GHS hazard class and category corresponding to the transport classification, and excluded from the hazard class explosives, provided that: </w:t>
      </w:r>
    </w:p>
    <w:p w14:paraId="7E11F754" w14:textId="77777777" w:rsidR="00E71CC6" w:rsidRPr="003825D0" w:rsidRDefault="00E71CC6" w:rsidP="007D01B5">
      <w:pPr>
        <w:pStyle w:val="SingleTxtG"/>
        <w:ind w:firstLine="567"/>
        <w:rPr>
          <w:lang w:val="en-GB"/>
        </w:rPr>
      </w:pPr>
      <w:r w:rsidRPr="003825D0">
        <w:rPr>
          <w:lang w:val="en-GB"/>
        </w:rPr>
        <w:t>(a) the product is in the transport configuration; or</w:t>
      </w:r>
    </w:p>
    <w:p w14:paraId="124A5791" w14:textId="77777777" w:rsidR="00E71CC6" w:rsidRPr="003825D0" w:rsidRDefault="00E71CC6" w:rsidP="007D01B5">
      <w:pPr>
        <w:pStyle w:val="SingleTxtG"/>
        <w:ind w:firstLine="567"/>
        <w:rPr>
          <w:b/>
          <w:lang w:val="en-GB"/>
        </w:rPr>
      </w:pPr>
      <w:r w:rsidRPr="003825D0">
        <w:rPr>
          <w:lang w:val="en-GB"/>
        </w:rPr>
        <w:t>(b) the transport classification does not depend on a particular configuration; or</w:t>
      </w:r>
    </w:p>
    <w:p w14:paraId="490E0781" w14:textId="77777777" w:rsidR="00E71CC6" w:rsidRDefault="00E71CC6" w:rsidP="007D01B5">
      <w:pPr>
        <w:pStyle w:val="SingleTxtG"/>
        <w:ind w:firstLine="567"/>
        <w:rPr>
          <w:lang w:val="en-GB"/>
        </w:rPr>
      </w:pPr>
      <w:r w:rsidRPr="003825D0">
        <w:rPr>
          <w:lang w:val="en-GB"/>
        </w:rPr>
        <w:t>(c) the product is in use (see 2.1.1.3.4)</w:t>
      </w:r>
    </w:p>
    <w:p w14:paraId="3A42B1B0" w14:textId="76B52D97" w:rsidR="00E71CC6" w:rsidRPr="003825D0" w:rsidRDefault="00E71CC6" w:rsidP="00E71CC6">
      <w:pPr>
        <w:pStyle w:val="SingleTxtG"/>
        <w:rPr>
          <w:lang w:val="en-GB"/>
        </w:rPr>
      </w:pPr>
      <w:r>
        <w:rPr>
          <w:b/>
          <w:i/>
          <w:lang w:val="en-GB"/>
        </w:rPr>
        <w:br/>
      </w:r>
      <w:r w:rsidRPr="003825D0">
        <w:rPr>
          <w:b/>
          <w:i/>
          <w:lang w:val="en-GB"/>
        </w:rPr>
        <w:t>NOTE:</w:t>
      </w:r>
      <w:r w:rsidRPr="003825D0">
        <w:rPr>
          <w:i/>
          <w:lang w:val="en-GB"/>
        </w:rPr>
        <w:t xml:space="preserve"> Subject to approval from the competent authority, products according to 2.1.1.2.3 which are assigned a specific UN-number in Class 6 or 8 may be classified in the corresponding GHS hazard class and category, and excluded from the hazard class explosives, provided that the same conditions as stated in 2.1.1.2.3.1 are met.</w:t>
      </w:r>
    </w:p>
    <w:p w14:paraId="2BA76DE7" w14:textId="24352287" w:rsidR="00E71CC6" w:rsidRPr="003825D0" w:rsidRDefault="00E71CC6" w:rsidP="00E71CC6">
      <w:pPr>
        <w:pStyle w:val="SingleTxtG"/>
        <w:rPr>
          <w:b/>
          <w:lang w:val="en-GB"/>
        </w:rPr>
      </w:pPr>
      <w:r>
        <w:rPr>
          <w:lang w:val="en-GB"/>
        </w:rPr>
        <w:br/>
      </w:r>
      <w:r w:rsidRPr="003825D0">
        <w:rPr>
          <w:lang w:val="en-GB"/>
        </w:rPr>
        <w:t>2.1.1.2.3.2      Products according to 2.1.1.2.3 which are assigned a specific UN-number in Class 9 are classified as explosives in Sub-category 2C, provided that:</w:t>
      </w:r>
    </w:p>
    <w:p w14:paraId="512FFCE6" w14:textId="77777777" w:rsidR="00E71CC6" w:rsidRPr="003825D0" w:rsidRDefault="00E71CC6" w:rsidP="007D01B5">
      <w:pPr>
        <w:pStyle w:val="SingleTxtG"/>
        <w:ind w:firstLine="567"/>
        <w:rPr>
          <w:lang w:val="en-GB"/>
        </w:rPr>
      </w:pPr>
      <w:r w:rsidRPr="003825D0">
        <w:rPr>
          <w:lang w:val="en-GB"/>
        </w:rPr>
        <w:t>(a) the product is in the transport configuration; or</w:t>
      </w:r>
    </w:p>
    <w:p w14:paraId="3905F66C" w14:textId="77777777" w:rsidR="00E71CC6" w:rsidRPr="003825D0" w:rsidRDefault="00E71CC6" w:rsidP="007D01B5">
      <w:pPr>
        <w:pStyle w:val="SingleTxtG"/>
        <w:ind w:firstLine="567"/>
        <w:rPr>
          <w:b/>
          <w:lang w:val="en-GB"/>
        </w:rPr>
      </w:pPr>
      <w:r w:rsidRPr="003825D0">
        <w:rPr>
          <w:lang w:val="en-GB"/>
        </w:rPr>
        <w:t>(b) the transport classification does not depend on a particular configuration; or</w:t>
      </w:r>
    </w:p>
    <w:p w14:paraId="34CB522B" w14:textId="77777777" w:rsidR="00E71CC6" w:rsidRDefault="00E71CC6" w:rsidP="007D01B5">
      <w:pPr>
        <w:pStyle w:val="SingleTxtG"/>
        <w:ind w:firstLine="567"/>
        <w:rPr>
          <w:lang w:val="en-GB"/>
        </w:rPr>
      </w:pPr>
      <w:r w:rsidRPr="003825D0">
        <w:rPr>
          <w:lang w:val="en-GB"/>
        </w:rPr>
        <w:t>(c) the product is in use (see 2.1.1.3.4)”</w:t>
      </w:r>
    </w:p>
    <w:p w14:paraId="0FBFDDC3" w14:textId="77777777" w:rsidR="00E71CC6" w:rsidRPr="00BA5DE9" w:rsidRDefault="00E71CC6" w:rsidP="00B4603C">
      <w:pPr>
        <w:pStyle w:val="SingleTxtG"/>
        <w:rPr>
          <w:b/>
          <w:sz w:val="24"/>
          <w:szCs w:val="24"/>
          <w:lang w:val="en-GB"/>
        </w:rPr>
      </w:pPr>
    </w:p>
    <w:p w14:paraId="54C05EAA" w14:textId="7F02EAC4" w:rsidR="00E71CC6" w:rsidRDefault="00E71CC6">
      <w:pPr>
        <w:suppressAutoHyphens w:val="0"/>
        <w:spacing w:line="240" w:lineRule="auto"/>
      </w:pPr>
      <w:r>
        <w:br w:type="page"/>
      </w:r>
    </w:p>
    <w:p w14:paraId="2DF5533F" w14:textId="3A82F0F4" w:rsidR="00BA5DE9" w:rsidRDefault="001C2932" w:rsidP="007839A0">
      <w:pPr>
        <w:pStyle w:val="HChG"/>
      </w:pPr>
      <w:r>
        <w:lastRenderedPageBreak/>
        <w:t>Annex II</w:t>
      </w:r>
    </w:p>
    <w:p w14:paraId="31BF5EFA" w14:textId="16E7EC88" w:rsidR="007A323D" w:rsidRPr="00E71CC6" w:rsidRDefault="007839A0" w:rsidP="007839A0">
      <w:pPr>
        <w:pStyle w:val="HChG"/>
      </w:pPr>
      <w:r>
        <w:tab/>
      </w:r>
      <w:r>
        <w:tab/>
      </w:r>
      <w:r w:rsidR="00E71CC6">
        <w:t>Tables of affected products</w:t>
      </w:r>
      <w:r w:rsidR="007A323D">
        <w:t xml:space="preserve"> in the Dangerous Goods List (DGL)</w:t>
      </w:r>
    </w:p>
    <w:p w14:paraId="07A5BF84" w14:textId="1674B5BA" w:rsidR="00B76F2A" w:rsidRPr="008E03BE" w:rsidRDefault="00B76F2A" w:rsidP="00375A3E">
      <w:pPr>
        <w:pStyle w:val="SingleTxtG"/>
        <w:rPr>
          <w:b/>
          <w:lang w:val="en-GB"/>
        </w:rPr>
      </w:pPr>
      <w:r w:rsidRPr="008E03BE">
        <w:rPr>
          <w:b/>
          <w:lang w:val="en-GB"/>
        </w:rPr>
        <w:t>Table 1: Examples of products consisting of or containing explosives</w:t>
      </w:r>
      <w:r w:rsidR="00A87B71">
        <w:rPr>
          <w:b/>
          <w:lang w:val="en-GB"/>
        </w:rPr>
        <w:t>, which</w:t>
      </w:r>
      <w:r w:rsidRPr="008E03BE">
        <w:rPr>
          <w:b/>
          <w:lang w:val="en-GB"/>
        </w:rPr>
        <w:t xml:space="preserve"> are classified in Class 2, 3, 4 or 5 according to the D</w:t>
      </w:r>
      <w:r w:rsidR="007A323D" w:rsidRPr="008E03BE">
        <w:rPr>
          <w:b/>
          <w:lang w:val="en-GB"/>
        </w:rPr>
        <w:t>GL</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846"/>
        <w:gridCol w:w="3260"/>
        <w:gridCol w:w="1843"/>
        <w:gridCol w:w="2266"/>
      </w:tblGrid>
      <w:tr w:rsidR="00B4603C" w14:paraId="64D721EF" w14:textId="775C200B" w:rsidTr="00A87B71">
        <w:tc>
          <w:tcPr>
            <w:tcW w:w="846" w:type="dxa"/>
            <w:vAlign w:val="center"/>
          </w:tcPr>
          <w:p w14:paraId="515F4073" w14:textId="1DB74CC6" w:rsidR="00B4603C" w:rsidRPr="00C15A71" w:rsidRDefault="00B4603C" w:rsidP="00F75A03">
            <w:pPr>
              <w:pStyle w:val="SingleTxtG"/>
              <w:ind w:left="0" w:right="0"/>
              <w:jc w:val="left"/>
              <w:rPr>
                <w:b/>
                <w:lang w:val="en-GB"/>
              </w:rPr>
            </w:pPr>
            <w:r w:rsidRPr="00C15A71">
              <w:rPr>
                <w:b/>
                <w:lang w:val="en-GB"/>
              </w:rPr>
              <w:t>UN-number</w:t>
            </w:r>
          </w:p>
        </w:tc>
        <w:tc>
          <w:tcPr>
            <w:tcW w:w="3260" w:type="dxa"/>
            <w:vAlign w:val="center"/>
          </w:tcPr>
          <w:p w14:paraId="4E386713" w14:textId="71A1BC09" w:rsidR="00B4603C" w:rsidRPr="00C15A71" w:rsidRDefault="00251E5C" w:rsidP="00F75A03">
            <w:pPr>
              <w:pStyle w:val="SingleTxtG"/>
              <w:ind w:left="0" w:right="-9"/>
              <w:jc w:val="left"/>
              <w:rPr>
                <w:b/>
                <w:lang w:val="en-GB"/>
              </w:rPr>
            </w:pPr>
            <w:r>
              <w:rPr>
                <w:b/>
                <w:lang w:val="en-GB"/>
              </w:rPr>
              <w:t>Name and description</w:t>
            </w:r>
          </w:p>
        </w:tc>
        <w:tc>
          <w:tcPr>
            <w:tcW w:w="1843" w:type="dxa"/>
            <w:vAlign w:val="center"/>
          </w:tcPr>
          <w:p w14:paraId="50B0A7C4" w14:textId="179238F4" w:rsidR="00B4603C" w:rsidRPr="00C15A71" w:rsidRDefault="00DC599B" w:rsidP="00F75A03">
            <w:pPr>
              <w:pStyle w:val="SingleTxtG"/>
              <w:ind w:left="0" w:right="-9"/>
              <w:jc w:val="left"/>
              <w:rPr>
                <w:b/>
                <w:lang w:val="en-GB"/>
              </w:rPr>
            </w:pPr>
            <w:r>
              <w:rPr>
                <w:b/>
                <w:lang w:val="en-GB"/>
              </w:rPr>
              <w:t>Transport</w:t>
            </w:r>
            <w:r w:rsidR="00B4603C" w:rsidRPr="00C15A71">
              <w:rPr>
                <w:b/>
                <w:lang w:val="en-GB"/>
              </w:rPr>
              <w:t xml:space="preserve"> classification</w:t>
            </w:r>
            <w:r w:rsidR="00A87B71">
              <w:rPr>
                <w:rStyle w:val="FootnoteReference"/>
                <w:b/>
                <w:lang w:val="en-GB"/>
              </w:rPr>
              <w:footnoteReference w:id="9"/>
            </w:r>
          </w:p>
        </w:tc>
        <w:tc>
          <w:tcPr>
            <w:tcW w:w="2266" w:type="dxa"/>
            <w:vAlign w:val="center"/>
          </w:tcPr>
          <w:p w14:paraId="24463F75" w14:textId="30BA3A36" w:rsidR="00B4603C" w:rsidRPr="00C15A71" w:rsidRDefault="00B4603C" w:rsidP="00F75A03">
            <w:pPr>
              <w:pStyle w:val="SingleTxtG"/>
              <w:ind w:left="0" w:right="-9"/>
              <w:jc w:val="left"/>
              <w:rPr>
                <w:b/>
                <w:lang w:val="en-GB"/>
              </w:rPr>
            </w:pPr>
            <w:r w:rsidRPr="00C15A71">
              <w:rPr>
                <w:b/>
                <w:lang w:val="en-GB"/>
              </w:rPr>
              <w:t>Corresponding GHS classification</w:t>
            </w:r>
          </w:p>
        </w:tc>
      </w:tr>
      <w:tr w:rsidR="00BE6F90" w14:paraId="544BCE50" w14:textId="77777777" w:rsidTr="00A87B71">
        <w:tc>
          <w:tcPr>
            <w:tcW w:w="846" w:type="dxa"/>
            <w:vAlign w:val="center"/>
          </w:tcPr>
          <w:p w14:paraId="0ABD6140" w14:textId="2EA0FC1A" w:rsidR="00BE6F90" w:rsidRPr="00C15A71" w:rsidRDefault="00BE6F90" w:rsidP="00BE6F90">
            <w:pPr>
              <w:pStyle w:val="SingleTxtG"/>
              <w:ind w:left="0" w:right="0"/>
              <w:jc w:val="left"/>
              <w:rPr>
                <w:b/>
                <w:lang w:val="en-GB"/>
              </w:rPr>
            </w:pPr>
            <w:r w:rsidRPr="00C15A71">
              <w:rPr>
                <w:b/>
                <w:lang w:val="en-GB"/>
              </w:rPr>
              <w:t>1044</w:t>
            </w:r>
          </w:p>
        </w:tc>
        <w:tc>
          <w:tcPr>
            <w:tcW w:w="3260" w:type="dxa"/>
            <w:vAlign w:val="center"/>
          </w:tcPr>
          <w:p w14:paraId="1E489A03" w14:textId="70F4436A" w:rsidR="00BE6F90" w:rsidRPr="00BE6F90" w:rsidRDefault="00BE6F90" w:rsidP="00BE6F90">
            <w:pPr>
              <w:pStyle w:val="SingleTxtG"/>
              <w:ind w:left="0" w:right="-9"/>
              <w:jc w:val="left"/>
              <w:rPr>
                <w:lang w:val="en-GB"/>
              </w:rPr>
            </w:pPr>
            <w:r w:rsidRPr="00C15A71">
              <w:rPr>
                <w:lang w:val="en-GB"/>
              </w:rPr>
              <w:t>Fire extinguishers</w:t>
            </w:r>
          </w:p>
        </w:tc>
        <w:tc>
          <w:tcPr>
            <w:tcW w:w="1843" w:type="dxa"/>
            <w:vAlign w:val="center"/>
          </w:tcPr>
          <w:p w14:paraId="62492A57" w14:textId="3720BA75" w:rsidR="00BE6F90" w:rsidRPr="00BE6F90" w:rsidRDefault="00BB7839" w:rsidP="00BB7839">
            <w:pPr>
              <w:pStyle w:val="SingleTxtG"/>
              <w:ind w:left="0" w:right="-9"/>
              <w:jc w:val="left"/>
              <w:rPr>
                <w:lang w:val="en-GB"/>
              </w:rPr>
            </w:pPr>
            <w:r>
              <w:rPr>
                <w:lang w:val="en-GB"/>
              </w:rPr>
              <w:t>Class 2, Division</w:t>
            </w:r>
            <w:r w:rsidR="00BE6F90" w:rsidRPr="00C15A71">
              <w:rPr>
                <w:lang w:val="en-GB"/>
              </w:rPr>
              <w:t xml:space="preserve"> 2.2</w:t>
            </w:r>
          </w:p>
        </w:tc>
        <w:tc>
          <w:tcPr>
            <w:tcW w:w="2266" w:type="dxa"/>
            <w:vAlign w:val="center"/>
          </w:tcPr>
          <w:p w14:paraId="2BEA3DA6" w14:textId="2C0BC354" w:rsidR="00123BCC" w:rsidRPr="00BE6F90" w:rsidRDefault="00BE6F90" w:rsidP="00BE6F90">
            <w:pPr>
              <w:pStyle w:val="SingleTxtG"/>
              <w:ind w:left="0" w:right="-9"/>
              <w:jc w:val="left"/>
              <w:rPr>
                <w:lang w:val="en-GB"/>
              </w:rPr>
            </w:pPr>
            <w:r w:rsidRPr="00C15A71">
              <w:rPr>
                <w:lang w:val="en-GB"/>
              </w:rPr>
              <w:t>Gas under pressure</w:t>
            </w:r>
            <w:r w:rsidR="00123BCC">
              <w:rPr>
                <w:lang w:val="en-GB"/>
              </w:rPr>
              <w:br/>
              <w:t>(group as applicable)</w:t>
            </w:r>
          </w:p>
        </w:tc>
      </w:tr>
      <w:tr w:rsidR="00BE6F90" w14:paraId="4B39036A" w14:textId="77777777" w:rsidTr="00A87B71">
        <w:tc>
          <w:tcPr>
            <w:tcW w:w="846" w:type="dxa"/>
            <w:vAlign w:val="center"/>
          </w:tcPr>
          <w:p w14:paraId="181697B3" w14:textId="4CCEF597" w:rsidR="00BE6F90" w:rsidRPr="00C15A71" w:rsidRDefault="00BE6F90" w:rsidP="00BE6F90">
            <w:pPr>
              <w:pStyle w:val="SingleTxtG"/>
              <w:ind w:left="0" w:right="0"/>
              <w:jc w:val="left"/>
              <w:rPr>
                <w:b/>
                <w:lang w:val="en-GB"/>
              </w:rPr>
            </w:pPr>
            <w:r w:rsidRPr="00C15A71">
              <w:rPr>
                <w:b/>
                <w:lang w:val="en-GB"/>
              </w:rPr>
              <w:t>1331</w:t>
            </w:r>
          </w:p>
        </w:tc>
        <w:tc>
          <w:tcPr>
            <w:tcW w:w="3260" w:type="dxa"/>
            <w:vAlign w:val="center"/>
          </w:tcPr>
          <w:p w14:paraId="35C65EA8" w14:textId="3AB080CA" w:rsidR="00BE6F90" w:rsidRPr="00BE6F90" w:rsidRDefault="00BE6F90" w:rsidP="00BE6F90">
            <w:pPr>
              <w:pStyle w:val="SingleTxtG"/>
              <w:ind w:left="0" w:right="-9"/>
              <w:jc w:val="left"/>
              <w:rPr>
                <w:lang w:val="en-GB"/>
              </w:rPr>
            </w:pPr>
            <w:r w:rsidRPr="00C15A71">
              <w:t xml:space="preserve">MATCHES, 'STRIKE ANYWHERE' </w:t>
            </w:r>
          </w:p>
        </w:tc>
        <w:tc>
          <w:tcPr>
            <w:tcW w:w="1843" w:type="dxa"/>
            <w:vAlign w:val="center"/>
          </w:tcPr>
          <w:p w14:paraId="162A2874" w14:textId="6458F544" w:rsidR="00BE6F90" w:rsidRPr="00BE6F90" w:rsidRDefault="00BB7839" w:rsidP="00BB7839">
            <w:pPr>
              <w:pStyle w:val="SingleTxtG"/>
              <w:ind w:left="0" w:right="-9"/>
              <w:jc w:val="left"/>
              <w:rPr>
                <w:lang w:val="en-GB"/>
              </w:rPr>
            </w:pPr>
            <w:r>
              <w:rPr>
                <w:lang w:val="en-GB"/>
              </w:rPr>
              <w:t xml:space="preserve">Class 4, </w:t>
            </w:r>
            <w:r w:rsidR="00BE6F90" w:rsidRPr="00C15A71">
              <w:rPr>
                <w:lang w:val="en-GB"/>
              </w:rPr>
              <w:t>Div</w:t>
            </w:r>
            <w:r>
              <w:rPr>
                <w:lang w:val="en-GB"/>
              </w:rPr>
              <w:t>ision</w:t>
            </w:r>
            <w:r w:rsidR="00BE6F90" w:rsidRPr="00C15A71">
              <w:rPr>
                <w:lang w:val="en-GB"/>
              </w:rPr>
              <w:t xml:space="preserve"> 4.1, PG III</w:t>
            </w:r>
          </w:p>
        </w:tc>
        <w:tc>
          <w:tcPr>
            <w:tcW w:w="2266" w:type="dxa"/>
            <w:vAlign w:val="center"/>
          </w:tcPr>
          <w:p w14:paraId="6A5EA050" w14:textId="443A3632" w:rsidR="00BE6F90" w:rsidRPr="00BE6F90" w:rsidRDefault="00BE6F90" w:rsidP="00BE6F90">
            <w:pPr>
              <w:pStyle w:val="SingleTxtG"/>
              <w:ind w:left="0" w:right="-9"/>
              <w:jc w:val="left"/>
              <w:rPr>
                <w:lang w:val="en-GB"/>
              </w:rPr>
            </w:pPr>
            <w:r w:rsidRPr="00C15A71">
              <w:rPr>
                <w:lang w:val="en-GB"/>
              </w:rPr>
              <w:t>Flammable solids, Cat. 2</w:t>
            </w:r>
          </w:p>
        </w:tc>
      </w:tr>
      <w:tr w:rsidR="00BE6F90" w14:paraId="745B9383" w14:textId="77777777" w:rsidTr="00A87B71">
        <w:tc>
          <w:tcPr>
            <w:tcW w:w="846" w:type="dxa"/>
            <w:vAlign w:val="center"/>
          </w:tcPr>
          <w:p w14:paraId="7FC91DF0" w14:textId="00CA89E9" w:rsidR="00BE6F90" w:rsidRPr="00C15A71" w:rsidRDefault="00BE6F90" w:rsidP="00BE6F90">
            <w:pPr>
              <w:pStyle w:val="SingleTxtG"/>
              <w:ind w:left="0" w:right="0"/>
              <w:jc w:val="left"/>
              <w:rPr>
                <w:b/>
                <w:lang w:val="en-GB"/>
              </w:rPr>
            </w:pPr>
            <w:r w:rsidRPr="00C15A71">
              <w:rPr>
                <w:b/>
                <w:lang w:val="en-GB"/>
              </w:rPr>
              <w:t>1944</w:t>
            </w:r>
          </w:p>
        </w:tc>
        <w:tc>
          <w:tcPr>
            <w:tcW w:w="3260" w:type="dxa"/>
            <w:vAlign w:val="center"/>
          </w:tcPr>
          <w:p w14:paraId="618E8BE4" w14:textId="75195B53" w:rsidR="00BE6F90" w:rsidRPr="00C15A71" w:rsidRDefault="00BE6F90" w:rsidP="00BE6F90">
            <w:pPr>
              <w:pStyle w:val="SingleTxtG"/>
              <w:ind w:left="0" w:right="-9"/>
              <w:jc w:val="left"/>
            </w:pPr>
            <w:r w:rsidRPr="00C15A71">
              <w:rPr>
                <w:lang w:val="en-GB"/>
              </w:rPr>
              <w:t>MATCHES, SAFETY (book, card or strike on box)</w:t>
            </w:r>
          </w:p>
        </w:tc>
        <w:tc>
          <w:tcPr>
            <w:tcW w:w="1843" w:type="dxa"/>
            <w:vAlign w:val="center"/>
          </w:tcPr>
          <w:p w14:paraId="34998A43" w14:textId="536138A0" w:rsidR="00BE6F90" w:rsidRPr="00C15A71" w:rsidRDefault="00A87B71" w:rsidP="00BE6F90">
            <w:pPr>
              <w:pStyle w:val="SingleTxtG"/>
              <w:ind w:left="0" w:right="-9"/>
              <w:jc w:val="left"/>
              <w:rPr>
                <w:lang w:val="en-GB"/>
              </w:rPr>
            </w:pPr>
            <w:r>
              <w:rPr>
                <w:lang w:val="en-GB"/>
              </w:rPr>
              <w:t xml:space="preserve">Class 4, </w:t>
            </w:r>
            <w:r w:rsidRPr="00C15A71">
              <w:rPr>
                <w:lang w:val="en-GB"/>
              </w:rPr>
              <w:t>Div</w:t>
            </w:r>
            <w:r>
              <w:rPr>
                <w:lang w:val="en-GB"/>
              </w:rPr>
              <w:t>ision</w:t>
            </w:r>
            <w:r w:rsidRPr="00C15A71">
              <w:rPr>
                <w:lang w:val="en-GB"/>
              </w:rPr>
              <w:t xml:space="preserve"> 4.1, PG III</w:t>
            </w:r>
          </w:p>
        </w:tc>
        <w:tc>
          <w:tcPr>
            <w:tcW w:w="2266" w:type="dxa"/>
            <w:vAlign w:val="center"/>
          </w:tcPr>
          <w:p w14:paraId="0159FD6B" w14:textId="47774A20" w:rsidR="00BE6F90" w:rsidRPr="00C15A71" w:rsidRDefault="00BE6F90" w:rsidP="00BE6F90">
            <w:pPr>
              <w:pStyle w:val="SingleTxtG"/>
              <w:ind w:left="0" w:right="-9"/>
              <w:jc w:val="left"/>
              <w:rPr>
                <w:lang w:val="en-GB"/>
              </w:rPr>
            </w:pPr>
            <w:r w:rsidRPr="00C15A71">
              <w:rPr>
                <w:lang w:val="en-GB"/>
              </w:rPr>
              <w:t>Flammable solids, Cat. 2</w:t>
            </w:r>
          </w:p>
        </w:tc>
      </w:tr>
      <w:tr w:rsidR="00BE6F90" w14:paraId="05C92C04" w14:textId="77777777" w:rsidTr="00A87B71">
        <w:tc>
          <w:tcPr>
            <w:tcW w:w="846" w:type="dxa"/>
            <w:vAlign w:val="center"/>
          </w:tcPr>
          <w:p w14:paraId="5857B643" w14:textId="46637A34" w:rsidR="00BE6F90" w:rsidRPr="00C15A71" w:rsidRDefault="00BE6F90" w:rsidP="00BE6F90">
            <w:pPr>
              <w:pStyle w:val="SingleTxtG"/>
              <w:ind w:left="0" w:right="0"/>
              <w:jc w:val="left"/>
              <w:rPr>
                <w:b/>
                <w:lang w:val="en-GB"/>
              </w:rPr>
            </w:pPr>
            <w:r w:rsidRPr="00C15A71">
              <w:rPr>
                <w:b/>
                <w:lang w:val="en-GB"/>
              </w:rPr>
              <w:t>1945</w:t>
            </w:r>
          </w:p>
        </w:tc>
        <w:tc>
          <w:tcPr>
            <w:tcW w:w="3260" w:type="dxa"/>
            <w:vAlign w:val="center"/>
          </w:tcPr>
          <w:p w14:paraId="37F8100B" w14:textId="7153E8CA" w:rsidR="00BE6F90" w:rsidRPr="00C15A71" w:rsidRDefault="00BE6F90" w:rsidP="00BE6F90">
            <w:pPr>
              <w:pStyle w:val="SingleTxtG"/>
              <w:ind w:left="0" w:right="-9"/>
              <w:jc w:val="left"/>
            </w:pPr>
            <w:r w:rsidRPr="00C15A71">
              <w:rPr>
                <w:lang w:val="en-GB"/>
              </w:rPr>
              <w:t>MATCHES, WAX 'VESTA'</w:t>
            </w:r>
          </w:p>
        </w:tc>
        <w:tc>
          <w:tcPr>
            <w:tcW w:w="1843" w:type="dxa"/>
            <w:vAlign w:val="center"/>
          </w:tcPr>
          <w:p w14:paraId="428C3875" w14:textId="6E66B896" w:rsidR="00BE6F90" w:rsidRPr="00C15A71" w:rsidRDefault="00A87B71" w:rsidP="00BE6F90">
            <w:pPr>
              <w:pStyle w:val="SingleTxtG"/>
              <w:ind w:left="0" w:right="-9"/>
              <w:jc w:val="left"/>
              <w:rPr>
                <w:lang w:val="en-GB"/>
              </w:rPr>
            </w:pPr>
            <w:r>
              <w:rPr>
                <w:lang w:val="en-GB"/>
              </w:rPr>
              <w:t xml:space="preserve">Class 4, </w:t>
            </w:r>
            <w:r w:rsidRPr="00C15A71">
              <w:rPr>
                <w:lang w:val="en-GB"/>
              </w:rPr>
              <w:t>Div</w:t>
            </w:r>
            <w:r>
              <w:rPr>
                <w:lang w:val="en-GB"/>
              </w:rPr>
              <w:t>ision</w:t>
            </w:r>
            <w:r w:rsidRPr="00C15A71">
              <w:rPr>
                <w:lang w:val="en-GB"/>
              </w:rPr>
              <w:t xml:space="preserve"> 4.1, PG III</w:t>
            </w:r>
          </w:p>
        </w:tc>
        <w:tc>
          <w:tcPr>
            <w:tcW w:w="2266" w:type="dxa"/>
            <w:vAlign w:val="center"/>
          </w:tcPr>
          <w:p w14:paraId="185EBEC4" w14:textId="6B456508" w:rsidR="00BE6F90" w:rsidRPr="00C15A71" w:rsidRDefault="00BE6F90" w:rsidP="00BE6F90">
            <w:pPr>
              <w:pStyle w:val="SingleTxtG"/>
              <w:ind w:left="0" w:right="-9"/>
              <w:jc w:val="left"/>
              <w:rPr>
                <w:lang w:val="en-GB"/>
              </w:rPr>
            </w:pPr>
            <w:r w:rsidRPr="00C15A71">
              <w:rPr>
                <w:lang w:val="en-GB"/>
              </w:rPr>
              <w:t>Flammable solids, Cat. 2</w:t>
            </w:r>
          </w:p>
        </w:tc>
      </w:tr>
      <w:tr w:rsidR="00BE6F90" w14:paraId="1566E117" w14:textId="77777777" w:rsidTr="00A87B71">
        <w:tc>
          <w:tcPr>
            <w:tcW w:w="846" w:type="dxa"/>
            <w:vAlign w:val="center"/>
          </w:tcPr>
          <w:p w14:paraId="6E6FDBC1" w14:textId="21869E09" w:rsidR="00BE6F90" w:rsidRPr="00C15A71" w:rsidRDefault="00BE6F90" w:rsidP="00BE6F90">
            <w:pPr>
              <w:pStyle w:val="SingleTxtG"/>
              <w:ind w:left="0" w:right="0"/>
              <w:jc w:val="left"/>
              <w:rPr>
                <w:b/>
                <w:lang w:val="en-GB"/>
              </w:rPr>
            </w:pPr>
            <w:r w:rsidRPr="00C15A71">
              <w:rPr>
                <w:b/>
                <w:lang w:val="en-GB"/>
              </w:rPr>
              <w:t>1956</w:t>
            </w:r>
          </w:p>
        </w:tc>
        <w:tc>
          <w:tcPr>
            <w:tcW w:w="3260" w:type="dxa"/>
            <w:vAlign w:val="center"/>
          </w:tcPr>
          <w:p w14:paraId="544E5E2B" w14:textId="4469851A" w:rsidR="00BE6F90" w:rsidRPr="00C15A71" w:rsidRDefault="00BE6F90" w:rsidP="00BE6F90">
            <w:pPr>
              <w:pStyle w:val="SingleTxtG"/>
              <w:ind w:left="0" w:right="-9"/>
              <w:jc w:val="left"/>
              <w:rPr>
                <w:lang w:val="en-GB"/>
              </w:rPr>
            </w:pPr>
            <w:r w:rsidRPr="00C15A71">
              <w:rPr>
                <w:lang w:val="en-GB"/>
              </w:rPr>
              <w:t>Compressed gas</w:t>
            </w:r>
          </w:p>
        </w:tc>
        <w:tc>
          <w:tcPr>
            <w:tcW w:w="1843" w:type="dxa"/>
            <w:vAlign w:val="center"/>
          </w:tcPr>
          <w:p w14:paraId="5D7F768E" w14:textId="1F241B60" w:rsidR="00BE6F90" w:rsidRPr="00C15A71" w:rsidRDefault="00BE6F90" w:rsidP="00BE6F90">
            <w:pPr>
              <w:pStyle w:val="SingleTxtG"/>
              <w:ind w:left="0" w:right="-9"/>
              <w:jc w:val="left"/>
              <w:rPr>
                <w:lang w:val="en-GB"/>
              </w:rPr>
            </w:pPr>
            <w:r w:rsidRPr="00C15A71">
              <w:rPr>
                <w:lang w:val="en-GB"/>
              </w:rPr>
              <w:t>Class 2.2</w:t>
            </w:r>
          </w:p>
        </w:tc>
        <w:tc>
          <w:tcPr>
            <w:tcW w:w="2266" w:type="dxa"/>
            <w:vAlign w:val="center"/>
          </w:tcPr>
          <w:p w14:paraId="7DF404BE" w14:textId="473AFF0D" w:rsidR="00BE6F90" w:rsidRPr="00C15A71" w:rsidRDefault="00BE6F90" w:rsidP="00BE6F90">
            <w:pPr>
              <w:pStyle w:val="SingleTxtG"/>
              <w:ind w:left="0" w:right="-9"/>
              <w:jc w:val="left"/>
              <w:rPr>
                <w:lang w:val="en-GB"/>
              </w:rPr>
            </w:pPr>
            <w:r w:rsidRPr="00C15A71">
              <w:rPr>
                <w:lang w:val="en-GB"/>
              </w:rPr>
              <w:t>Gas under pressure, compressed gas</w:t>
            </w:r>
          </w:p>
        </w:tc>
      </w:tr>
      <w:tr w:rsidR="00B4603C" w14:paraId="2D699043" w14:textId="77777777" w:rsidTr="00A87B71">
        <w:tc>
          <w:tcPr>
            <w:tcW w:w="846" w:type="dxa"/>
            <w:vAlign w:val="center"/>
          </w:tcPr>
          <w:p w14:paraId="583D6540" w14:textId="2677EC5B" w:rsidR="00B4603C" w:rsidRPr="00C15A71" w:rsidRDefault="00B4603C" w:rsidP="00F75A03">
            <w:pPr>
              <w:pStyle w:val="SingleTxtG"/>
              <w:ind w:left="0" w:right="0"/>
              <w:jc w:val="left"/>
              <w:rPr>
                <w:b/>
                <w:lang w:val="en-GB"/>
              </w:rPr>
            </w:pPr>
            <w:r w:rsidRPr="00C15A71">
              <w:rPr>
                <w:b/>
                <w:lang w:val="en-GB"/>
              </w:rPr>
              <w:t>2254</w:t>
            </w:r>
          </w:p>
        </w:tc>
        <w:tc>
          <w:tcPr>
            <w:tcW w:w="3260" w:type="dxa"/>
            <w:vAlign w:val="center"/>
          </w:tcPr>
          <w:p w14:paraId="46621CFE" w14:textId="12EB6D5C" w:rsidR="00B4603C" w:rsidRPr="00C15A71" w:rsidRDefault="003378A5" w:rsidP="00F75A03">
            <w:pPr>
              <w:pStyle w:val="Default"/>
              <w:rPr>
                <w:sz w:val="20"/>
                <w:szCs w:val="20"/>
              </w:rPr>
            </w:pPr>
            <w:r w:rsidRPr="00C15A71">
              <w:rPr>
                <w:sz w:val="20"/>
                <w:szCs w:val="20"/>
              </w:rPr>
              <w:t xml:space="preserve">MATCHES, FUSEE </w:t>
            </w:r>
          </w:p>
        </w:tc>
        <w:tc>
          <w:tcPr>
            <w:tcW w:w="1843" w:type="dxa"/>
            <w:vAlign w:val="center"/>
          </w:tcPr>
          <w:p w14:paraId="3CFF26D2" w14:textId="468FA3FF" w:rsidR="00B4603C" w:rsidRPr="00C15A71" w:rsidRDefault="00A87B71" w:rsidP="00F75A03">
            <w:pPr>
              <w:pStyle w:val="SingleTxtG"/>
              <w:ind w:left="0" w:right="-9"/>
              <w:jc w:val="left"/>
              <w:rPr>
                <w:lang w:val="en-GB"/>
              </w:rPr>
            </w:pPr>
            <w:r>
              <w:rPr>
                <w:lang w:val="en-GB"/>
              </w:rPr>
              <w:t xml:space="preserve">Class 4, </w:t>
            </w:r>
            <w:r w:rsidRPr="00C15A71">
              <w:rPr>
                <w:lang w:val="en-GB"/>
              </w:rPr>
              <w:t>Div</w:t>
            </w:r>
            <w:r>
              <w:rPr>
                <w:lang w:val="en-GB"/>
              </w:rPr>
              <w:t>ision</w:t>
            </w:r>
            <w:r w:rsidRPr="00C15A71">
              <w:rPr>
                <w:lang w:val="en-GB"/>
              </w:rPr>
              <w:t xml:space="preserve"> 4.1, PG III</w:t>
            </w:r>
          </w:p>
        </w:tc>
        <w:tc>
          <w:tcPr>
            <w:tcW w:w="2266" w:type="dxa"/>
            <w:vAlign w:val="center"/>
          </w:tcPr>
          <w:p w14:paraId="23812B5F" w14:textId="62C20E73" w:rsidR="00B4603C" w:rsidRPr="00C15A71" w:rsidRDefault="003378A5" w:rsidP="00F75A03">
            <w:pPr>
              <w:pStyle w:val="SingleTxtG"/>
              <w:ind w:left="0" w:right="-9"/>
              <w:jc w:val="left"/>
              <w:rPr>
                <w:lang w:val="en-GB"/>
              </w:rPr>
            </w:pPr>
            <w:r w:rsidRPr="00C15A71">
              <w:rPr>
                <w:lang w:val="en-GB"/>
              </w:rPr>
              <w:t>Flammable solids, Cat. 2</w:t>
            </w:r>
          </w:p>
        </w:tc>
      </w:tr>
      <w:tr w:rsidR="00B4603C" w14:paraId="27C5938F" w14:textId="77777777" w:rsidTr="00A87B71">
        <w:tc>
          <w:tcPr>
            <w:tcW w:w="846" w:type="dxa"/>
            <w:vAlign w:val="center"/>
          </w:tcPr>
          <w:p w14:paraId="619E63DB" w14:textId="42598A85" w:rsidR="00B4603C" w:rsidRPr="00C15A71" w:rsidRDefault="003378A5" w:rsidP="00F75A03">
            <w:pPr>
              <w:pStyle w:val="SingleTxtG"/>
              <w:ind w:left="0" w:right="0"/>
              <w:jc w:val="left"/>
              <w:rPr>
                <w:b/>
                <w:lang w:val="en-GB"/>
              </w:rPr>
            </w:pPr>
            <w:r w:rsidRPr="00C15A71">
              <w:rPr>
                <w:b/>
                <w:lang w:val="en-GB"/>
              </w:rPr>
              <w:t>3270</w:t>
            </w:r>
          </w:p>
        </w:tc>
        <w:tc>
          <w:tcPr>
            <w:tcW w:w="3260" w:type="dxa"/>
            <w:vAlign w:val="center"/>
          </w:tcPr>
          <w:p w14:paraId="1469A6D2" w14:textId="77B18875" w:rsidR="00B4603C" w:rsidRPr="007A323D" w:rsidRDefault="003378A5" w:rsidP="00F75A03">
            <w:pPr>
              <w:pStyle w:val="Default"/>
              <w:rPr>
                <w:sz w:val="20"/>
                <w:szCs w:val="20"/>
                <w:lang w:val="en-GB"/>
              </w:rPr>
            </w:pPr>
            <w:r w:rsidRPr="007A323D">
              <w:rPr>
                <w:sz w:val="20"/>
                <w:szCs w:val="20"/>
                <w:lang w:val="en-GB"/>
              </w:rPr>
              <w:t xml:space="preserve">NITROCELLULOSE MEMBRANE FILTERS, with not more than 12.6 % nitrogen, by dry mass </w:t>
            </w:r>
          </w:p>
        </w:tc>
        <w:tc>
          <w:tcPr>
            <w:tcW w:w="1843" w:type="dxa"/>
            <w:vAlign w:val="center"/>
          </w:tcPr>
          <w:p w14:paraId="34318D19" w14:textId="15A0150D" w:rsidR="00B4603C" w:rsidRPr="00C15A71" w:rsidRDefault="00A87B71" w:rsidP="00F75A03">
            <w:pPr>
              <w:pStyle w:val="SingleTxtG"/>
              <w:ind w:left="0" w:right="-9"/>
              <w:jc w:val="left"/>
              <w:rPr>
                <w:lang w:val="en-GB"/>
              </w:rPr>
            </w:pPr>
            <w:r>
              <w:rPr>
                <w:lang w:val="en-GB"/>
              </w:rPr>
              <w:t xml:space="preserve">Class 4, </w:t>
            </w:r>
            <w:r w:rsidRPr="00C15A71">
              <w:rPr>
                <w:lang w:val="en-GB"/>
              </w:rPr>
              <w:t>Div</w:t>
            </w:r>
            <w:r>
              <w:rPr>
                <w:lang w:val="en-GB"/>
              </w:rPr>
              <w:t>ision 4.1, PG II</w:t>
            </w:r>
          </w:p>
        </w:tc>
        <w:tc>
          <w:tcPr>
            <w:tcW w:w="2266" w:type="dxa"/>
            <w:vAlign w:val="center"/>
          </w:tcPr>
          <w:p w14:paraId="6BFEC482" w14:textId="54ADCAB0" w:rsidR="00B4603C" w:rsidRPr="00C15A71" w:rsidRDefault="003378A5" w:rsidP="00F75A03">
            <w:pPr>
              <w:pStyle w:val="SingleTxtG"/>
              <w:ind w:left="0" w:right="-9"/>
              <w:jc w:val="left"/>
              <w:rPr>
                <w:lang w:val="en-GB"/>
              </w:rPr>
            </w:pPr>
            <w:r w:rsidRPr="00C15A71">
              <w:rPr>
                <w:lang w:val="en-GB"/>
              </w:rPr>
              <w:t>Flammable solids, Cat. 1</w:t>
            </w:r>
          </w:p>
        </w:tc>
      </w:tr>
    </w:tbl>
    <w:p w14:paraId="0ED605DC" w14:textId="20DEC6D5" w:rsidR="00375A3E" w:rsidRDefault="00375A3E" w:rsidP="00375A3E">
      <w:pPr>
        <w:pStyle w:val="SingleTxtG"/>
        <w:ind w:left="0"/>
        <w:rPr>
          <w:lang w:val="en-GB"/>
        </w:rPr>
      </w:pPr>
    </w:p>
    <w:p w14:paraId="178FFC33" w14:textId="77777777" w:rsidR="00A87B71" w:rsidRDefault="00A87B71" w:rsidP="00FF51BF">
      <w:pPr>
        <w:pStyle w:val="SingleTxtG"/>
        <w:rPr>
          <w:b/>
          <w:lang w:val="en-GB"/>
        </w:rPr>
      </w:pPr>
    </w:p>
    <w:p w14:paraId="4DEC252E" w14:textId="77777777" w:rsidR="00A87B71" w:rsidRDefault="00A87B71" w:rsidP="00FF51BF">
      <w:pPr>
        <w:pStyle w:val="SingleTxtG"/>
        <w:rPr>
          <w:b/>
          <w:lang w:val="en-GB"/>
        </w:rPr>
      </w:pPr>
    </w:p>
    <w:p w14:paraId="12AD1131" w14:textId="77777777" w:rsidR="00A87B71" w:rsidRDefault="00A87B71" w:rsidP="00FF51BF">
      <w:pPr>
        <w:pStyle w:val="SingleTxtG"/>
        <w:rPr>
          <w:b/>
          <w:lang w:val="en-GB"/>
        </w:rPr>
      </w:pPr>
    </w:p>
    <w:p w14:paraId="5A250F47" w14:textId="77777777" w:rsidR="00A87B71" w:rsidRDefault="00A87B71" w:rsidP="00FF51BF">
      <w:pPr>
        <w:pStyle w:val="SingleTxtG"/>
        <w:rPr>
          <w:b/>
          <w:lang w:val="en-GB"/>
        </w:rPr>
      </w:pPr>
    </w:p>
    <w:p w14:paraId="226543E1" w14:textId="77777777" w:rsidR="00A87B71" w:rsidRDefault="00A87B71" w:rsidP="00FF51BF">
      <w:pPr>
        <w:pStyle w:val="SingleTxtG"/>
        <w:rPr>
          <w:b/>
          <w:lang w:val="en-GB"/>
        </w:rPr>
      </w:pPr>
    </w:p>
    <w:p w14:paraId="4F525431" w14:textId="77777777" w:rsidR="00A87B71" w:rsidRDefault="00A87B71" w:rsidP="00FF51BF">
      <w:pPr>
        <w:pStyle w:val="SingleTxtG"/>
        <w:rPr>
          <w:b/>
          <w:lang w:val="en-GB"/>
        </w:rPr>
      </w:pPr>
    </w:p>
    <w:p w14:paraId="190D6D76" w14:textId="77777777" w:rsidR="00A87B71" w:rsidRDefault="00A87B71" w:rsidP="00FF51BF">
      <w:pPr>
        <w:pStyle w:val="SingleTxtG"/>
        <w:rPr>
          <w:b/>
          <w:lang w:val="en-GB"/>
        </w:rPr>
      </w:pPr>
    </w:p>
    <w:p w14:paraId="17761659" w14:textId="77777777" w:rsidR="00A87B71" w:rsidRDefault="00A87B71" w:rsidP="00FF51BF">
      <w:pPr>
        <w:pStyle w:val="SingleTxtG"/>
        <w:rPr>
          <w:b/>
          <w:lang w:val="en-GB"/>
        </w:rPr>
      </w:pPr>
    </w:p>
    <w:p w14:paraId="110D748E" w14:textId="77777777" w:rsidR="00A87B71" w:rsidRDefault="00A87B71" w:rsidP="00FF51BF">
      <w:pPr>
        <w:pStyle w:val="SingleTxtG"/>
        <w:rPr>
          <w:b/>
          <w:lang w:val="en-GB"/>
        </w:rPr>
      </w:pPr>
    </w:p>
    <w:p w14:paraId="495F35B3" w14:textId="77777777" w:rsidR="00A87B71" w:rsidRDefault="00A87B71" w:rsidP="00FF51BF">
      <w:pPr>
        <w:pStyle w:val="SingleTxtG"/>
        <w:rPr>
          <w:b/>
          <w:lang w:val="en-GB"/>
        </w:rPr>
      </w:pPr>
    </w:p>
    <w:p w14:paraId="0F354DF4" w14:textId="7D0F2324" w:rsidR="00A356B4" w:rsidRPr="008E03BE" w:rsidRDefault="00A356B4" w:rsidP="00FF51BF">
      <w:pPr>
        <w:pStyle w:val="SingleTxtG"/>
        <w:rPr>
          <w:b/>
          <w:lang w:val="en-GB"/>
        </w:rPr>
      </w:pPr>
      <w:r w:rsidRPr="008E03BE">
        <w:rPr>
          <w:b/>
          <w:lang w:val="en-GB"/>
        </w:rPr>
        <w:lastRenderedPageBreak/>
        <w:t xml:space="preserve">Table 2: Examples of products consisting of or containing </w:t>
      </w:r>
      <w:r w:rsidR="00A87B71">
        <w:rPr>
          <w:b/>
          <w:lang w:val="en-GB"/>
        </w:rPr>
        <w:t>explosives, which</w:t>
      </w:r>
      <w:r w:rsidRPr="008E03BE">
        <w:rPr>
          <w:b/>
          <w:lang w:val="en-GB"/>
        </w:rPr>
        <w:t xml:space="preserve"> are classified in Class 6 or 8 according to the </w:t>
      </w:r>
      <w:r w:rsidR="007A323D" w:rsidRPr="008E03BE">
        <w:rPr>
          <w:b/>
          <w:lang w:val="en-GB"/>
        </w:rPr>
        <w:t>DGL</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846"/>
        <w:gridCol w:w="3260"/>
        <w:gridCol w:w="1843"/>
        <w:gridCol w:w="2266"/>
      </w:tblGrid>
      <w:tr w:rsidR="00A356B4" w14:paraId="52D98C87" w14:textId="77777777" w:rsidTr="00A87B71">
        <w:tc>
          <w:tcPr>
            <w:tcW w:w="846" w:type="dxa"/>
            <w:vAlign w:val="center"/>
          </w:tcPr>
          <w:p w14:paraId="2D52706C" w14:textId="77777777" w:rsidR="00A356B4" w:rsidRPr="00C15A71" w:rsidRDefault="00A356B4" w:rsidP="002B6EE1">
            <w:pPr>
              <w:pStyle w:val="SingleTxtG"/>
              <w:ind w:left="0" w:right="0"/>
              <w:jc w:val="left"/>
              <w:rPr>
                <w:b/>
                <w:lang w:val="en-GB"/>
              </w:rPr>
            </w:pPr>
            <w:r w:rsidRPr="00C15A71">
              <w:rPr>
                <w:b/>
                <w:lang w:val="en-GB"/>
              </w:rPr>
              <w:t>UN-number</w:t>
            </w:r>
          </w:p>
        </w:tc>
        <w:tc>
          <w:tcPr>
            <w:tcW w:w="3260" w:type="dxa"/>
            <w:vAlign w:val="center"/>
          </w:tcPr>
          <w:p w14:paraId="4EAFBD58" w14:textId="77777777" w:rsidR="00A356B4" w:rsidRPr="00C15A71" w:rsidRDefault="00A356B4" w:rsidP="002B6EE1">
            <w:pPr>
              <w:pStyle w:val="SingleTxtG"/>
              <w:ind w:left="0" w:right="-9"/>
              <w:jc w:val="left"/>
              <w:rPr>
                <w:b/>
                <w:lang w:val="en-GB"/>
              </w:rPr>
            </w:pPr>
            <w:r>
              <w:rPr>
                <w:b/>
                <w:lang w:val="en-GB"/>
              </w:rPr>
              <w:t>Name and description</w:t>
            </w:r>
          </w:p>
        </w:tc>
        <w:tc>
          <w:tcPr>
            <w:tcW w:w="1843" w:type="dxa"/>
            <w:vAlign w:val="center"/>
          </w:tcPr>
          <w:p w14:paraId="46FFB834" w14:textId="2D00E447" w:rsidR="00A356B4" w:rsidRPr="00C15A71" w:rsidRDefault="00A356B4" w:rsidP="00BF797D">
            <w:pPr>
              <w:pStyle w:val="SingleTxtG"/>
              <w:ind w:left="0" w:right="-9"/>
              <w:jc w:val="left"/>
              <w:rPr>
                <w:b/>
                <w:lang w:val="en-GB"/>
              </w:rPr>
            </w:pPr>
            <w:r>
              <w:rPr>
                <w:b/>
                <w:lang w:val="en-GB"/>
              </w:rPr>
              <w:t>Transport</w:t>
            </w:r>
            <w:r w:rsidRPr="00C15A71">
              <w:rPr>
                <w:b/>
                <w:lang w:val="en-GB"/>
              </w:rPr>
              <w:t xml:space="preserve"> classification</w:t>
            </w:r>
          </w:p>
        </w:tc>
        <w:tc>
          <w:tcPr>
            <w:tcW w:w="2266" w:type="dxa"/>
            <w:vAlign w:val="center"/>
          </w:tcPr>
          <w:p w14:paraId="5B4A778F" w14:textId="1CDF095B" w:rsidR="00A356B4" w:rsidRPr="00C15A71" w:rsidRDefault="00A356B4" w:rsidP="002B6EE1">
            <w:pPr>
              <w:pStyle w:val="SingleTxtG"/>
              <w:ind w:left="0" w:right="-9"/>
              <w:jc w:val="left"/>
              <w:rPr>
                <w:b/>
                <w:lang w:val="en-GB"/>
              </w:rPr>
            </w:pPr>
            <w:r w:rsidRPr="00C15A71">
              <w:rPr>
                <w:b/>
                <w:lang w:val="en-GB"/>
              </w:rPr>
              <w:t>Corresponding GHS classification</w:t>
            </w:r>
            <w:r w:rsidR="00BF797D">
              <w:rPr>
                <w:rStyle w:val="FootnoteReference"/>
                <w:b/>
                <w:lang w:val="en-GB"/>
              </w:rPr>
              <w:footnoteReference w:id="10"/>
            </w:r>
          </w:p>
        </w:tc>
      </w:tr>
      <w:tr w:rsidR="00A356B4" w14:paraId="2E49A59D" w14:textId="77777777" w:rsidTr="00A87B71">
        <w:tc>
          <w:tcPr>
            <w:tcW w:w="846" w:type="dxa"/>
            <w:vAlign w:val="center"/>
          </w:tcPr>
          <w:p w14:paraId="7EF1003D" w14:textId="789CF3E0" w:rsidR="00A356B4" w:rsidRPr="00C15A71" w:rsidRDefault="00A356B4" w:rsidP="00A356B4">
            <w:pPr>
              <w:pStyle w:val="SingleTxtG"/>
              <w:ind w:left="0" w:right="0"/>
              <w:jc w:val="left"/>
              <w:rPr>
                <w:b/>
                <w:lang w:val="en-GB"/>
              </w:rPr>
            </w:pPr>
            <w:r>
              <w:rPr>
                <w:b/>
                <w:lang w:val="en-GB"/>
              </w:rPr>
              <w:t>2016</w:t>
            </w:r>
          </w:p>
        </w:tc>
        <w:tc>
          <w:tcPr>
            <w:tcW w:w="3260" w:type="dxa"/>
            <w:vAlign w:val="center"/>
          </w:tcPr>
          <w:p w14:paraId="7EA32542" w14:textId="4B934056" w:rsidR="00A356B4" w:rsidRPr="007A323D" w:rsidRDefault="00A356B4" w:rsidP="002B6EE1">
            <w:pPr>
              <w:pStyle w:val="Default"/>
              <w:rPr>
                <w:sz w:val="20"/>
                <w:szCs w:val="20"/>
                <w:lang w:val="en-GB"/>
              </w:rPr>
            </w:pPr>
            <w:r w:rsidRPr="007A323D">
              <w:rPr>
                <w:sz w:val="20"/>
                <w:szCs w:val="20"/>
                <w:lang w:val="en-GB"/>
              </w:rPr>
              <w:t xml:space="preserve">AMMUNITION, TOXIC, NON-EXPLOSIVE without burster or expelling charge, non-fuzed </w:t>
            </w:r>
          </w:p>
        </w:tc>
        <w:tc>
          <w:tcPr>
            <w:tcW w:w="1843" w:type="dxa"/>
            <w:vAlign w:val="center"/>
          </w:tcPr>
          <w:p w14:paraId="53D953FB" w14:textId="62BEAEC7" w:rsidR="00A356B4" w:rsidRPr="000A629D" w:rsidRDefault="00A87B71" w:rsidP="002B6EE1">
            <w:pPr>
              <w:pStyle w:val="SingleTxtG"/>
              <w:ind w:left="0" w:right="-9"/>
              <w:jc w:val="left"/>
              <w:rPr>
                <w:lang w:val="en-GB"/>
              </w:rPr>
            </w:pPr>
            <w:r>
              <w:rPr>
                <w:lang w:val="en-GB"/>
              </w:rPr>
              <w:t xml:space="preserve">Class 6, </w:t>
            </w:r>
            <w:r w:rsidR="00332D75">
              <w:rPr>
                <w:lang w:val="en-GB"/>
              </w:rPr>
              <w:t>Div</w:t>
            </w:r>
            <w:r>
              <w:rPr>
                <w:lang w:val="en-GB"/>
              </w:rPr>
              <w:t>ision</w:t>
            </w:r>
            <w:r w:rsidR="00332D75">
              <w:rPr>
                <w:lang w:val="en-GB"/>
              </w:rPr>
              <w:t xml:space="preserve">. </w:t>
            </w:r>
            <w:r w:rsidR="00A356B4" w:rsidRPr="000A629D">
              <w:rPr>
                <w:lang w:val="en-GB"/>
              </w:rPr>
              <w:t>6.1</w:t>
            </w:r>
          </w:p>
        </w:tc>
        <w:tc>
          <w:tcPr>
            <w:tcW w:w="2266" w:type="dxa"/>
            <w:vAlign w:val="center"/>
          </w:tcPr>
          <w:p w14:paraId="53779987" w14:textId="1930EA9B" w:rsidR="00A356B4" w:rsidRPr="000A629D" w:rsidRDefault="000A629D" w:rsidP="002B6EE1">
            <w:pPr>
              <w:pStyle w:val="SingleTxtG"/>
              <w:ind w:left="0" w:right="-9"/>
              <w:jc w:val="left"/>
              <w:rPr>
                <w:lang w:val="en-GB"/>
              </w:rPr>
            </w:pPr>
            <w:r>
              <w:rPr>
                <w:lang w:val="en-GB"/>
              </w:rPr>
              <w:t>Acute toxicity</w:t>
            </w:r>
          </w:p>
        </w:tc>
      </w:tr>
      <w:tr w:rsidR="00A356B4" w14:paraId="0B274D91" w14:textId="77777777" w:rsidTr="00A87B71">
        <w:tc>
          <w:tcPr>
            <w:tcW w:w="846" w:type="dxa"/>
            <w:vAlign w:val="center"/>
          </w:tcPr>
          <w:p w14:paraId="5A633C25" w14:textId="0F36532B" w:rsidR="00A356B4" w:rsidRPr="00C15A71" w:rsidRDefault="00A356B4" w:rsidP="002B6EE1">
            <w:pPr>
              <w:pStyle w:val="SingleTxtG"/>
              <w:ind w:left="0" w:right="0"/>
              <w:jc w:val="left"/>
              <w:rPr>
                <w:b/>
                <w:lang w:val="en-GB"/>
              </w:rPr>
            </w:pPr>
            <w:r w:rsidRPr="00A356B4">
              <w:rPr>
                <w:b/>
                <w:lang w:val="en-GB"/>
              </w:rPr>
              <w:t>2017</w:t>
            </w:r>
          </w:p>
        </w:tc>
        <w:tc>
          <w:tcPr>
            <w:tcW w:w="3260" w:type="dxa"/>
            <w:vAlign w:val="center"/>
          </w:tcPr>
          <w:p w14:paraId="2C07358E" w14:textId="624E9B88" w:rsidR="00A356B4" w:rsidRPr="007A323D" w:rsidRDefault="00A356B4" w:rsidP="002B6EE1">
            <w:pPr>
              <w:pStyle w:val="Default"/>
              <w:rPr>
                <w:sz w:val="20"/>
                <w:szCs w:val="20"/>
                <w:lang w:val="en-GB"/>
              </w:rPr>
            </w:pPr>
            <w:r w:rsidRPr="007A323D">
              <w:rPr>
                <w:sz w:val="20"/>
                <w:szCs w:val="20"/>
                <w:lang w:val="en-GB"/>
              </w:rPr>
              <w:t xml:space="preserve">AMMUNITION, TEAR-PRODUCING, NON-EXPLOSIVE without burster or expelling charge, non-fuzed </w:t>
            </w:r>
          </w:p>
        </w:tc>
        <w:tc>
          <w:tcPr>
            <w:tcW w:w="1843" w:type="dxa"/>
            <w:vAlign w:val="center"/>
          </w:tcPr>
          <w:p w14:paraId="2B9E4175" w14:textId="06B0B289" w:rsidR="00A356B4" w:rsidRPr="000A629D" w:rsidRDefault="00A87B71" w:rsidP="002B6EE1">
            <w:pPr>
              <w:pStyle w:val="SingleTxtG"/>
              <w:ind w:left="0" w:right="-9"/>
              <w:jc w:val="left"/>
              <w:rPr>
                <w:lang w:val="en-GB"/>
              </w:rPr>
            </w:pPr>
            <w:r>
              <w:rPr>
                <w:lang w:val="en-GB"/>
              </w:rPr>
              <w:t>Class 6, Division</w:t>
            </w:r>
            <w:r w:rsidR="00332D75" w:rsidRPr="000A629D">
              <w:rPr>
                <w:lang w:val="en-GB"/>
              </w:rPr>
              <w:t xml:space="preserve"> </w:t>
            </w:r>
            <w:r w:rsidR="00A356B4" w:rsidRPr="000A629D">
              <w:rPr>
                <w:lang w:val="en-GB"/>
              </w:rPr>
              <w:t>6.1</w:t>
            </w:r>
          </w:p>
        </w:tc>
        <w:tc>
          <w:tcPr>
            <w:tcW w:w="2266" w:type="dxa"/>
            <w:vAlign w:val="center"/>
          </w:tcPr>
          <w:p w14:paraId="7141FA2C" w14:textId="26057BB6" w:rsidR="00A356B4" w:rsidRPr="000A629D" w:rsidRDefault="000A629D" w:rsidP="002B6EE1">
            <w:pPr>
              <w:pStyle w:val="SingleTxtG"/>
              <w:ind w:left="0" w:right="-9"/>
              <w:jc w:val="left"/>
              <w:rPr>
                <w:lang w:val="en-GB"/>
              </w:rPr>
            </w:pPr>
            <w:r>
              <w:rPr>
                <w:lang w:val="en-GB"/>
              </w:rPr>
              <w:t>Acute toxicity</w:t>
            </w:r>
          </w:p>
        </w:tc>
      </w:tr>
      <w:tr w:rsidR="00A356B4" w14:paraId="7D7D848C" w14:textId="77777777" w:rsidTr="00A87B71">
        <w:tc>
          <w:tcPr>
            <w:tcW w:w="846" w:type="dxa"/>
            <w:vAlign w:val="center"/>
          </w:tcPr>
          <w:p w14:paraId="7DD77695" w14:textId="31851F20" w:rsidR="00A356B4" w:rsidRPr="00A356B4" w:rsidRDefault="00A356B4" w:rsidP="002B6EE1">
            <w:pPr>
              <w:pStyle w:val="SingleTxtG"/>
              <w:ind w:left="0" w:right="0"/>
              <w:jc w:val="left"/>
              <w:rPr>
                <w:b/>
                <w:lang w:val="en-GB"/>
              </w:rPr>
            </w:pPr>
            <w:r>
              <w:rPr>
                <w:b/>
                <w:lang w:val="en-GB"/>
              </w:rPr>
              <w:t>2794</w:t>
            </w:r>
          </w:p>
        </w:tc>
        <w:tc>
          <w:tcPr>
            <w:tcW w:w="3260" w:type="dxa"/>
            <w:vAlign w:val="center"/>
          </w:tcPr>
          <w:p w14:paraId="4DED3A33" w14:textId="7830AB5F" w:rsidR="00A356B4" w:rsidRPr="007A323D" w:rsidRDefault="00A356B4" w:rsidP="002B6EE1">
            <w:pPr>
              <w:pStyle w:val="Default"/>
              <w:rPr>
                <w:sz w:val="20"/>
                <w:szCs w:val="20"/>
                <w:lang w:val="en-GB"/>
              </w:rPr>
            </w:pPr>
            <w:r w:rsidRPr="007A323D">
              <w:rPr>
                <w:sz w:val="20"/>
                <w:szCs w:val="20"/>
                <w:lang w:val="en-GB"/>
              </w:rPr>
              <w:t xml:space="preserve">BATTERIES, WET, FILLED WITH ACID, electric storage </w:t>
            </w:r>
          </w:p>
        </w:tc>
        <w:tc>
          <w:tcPr>
            <w:tcW w:w="1843" w:type="dxa"/>
            <w:vAlign w:val="center"/>
          </w:tcPr>
          <w:p w14:paraId="20DE8AF9" w14:textId="2E40C9CD" w:rsidR="00A356B4" w:rsidRPr="000A629D" w:rsidRDefault="00A356B4" w:rsidP="002B6EE1">
            <w:pPr>
              <w:pStyle w:val="SingleTxtG"/>
              <w:ind w:left="0" w:right="-9"/>
              <w:jc w:val="left"/>
              <w:rPr>
                <w:lang w:val="en-GB"/>
              </w:rPr>
            </w:pPr>
            <w:r w:rsidRPr="000A629D">
              <w:rPr>
                <w:lang w:val="en-GB"/>
              </w:rPr>
              <w:t>Class 8</w:t>
            </w:r>
          </w:p>
        </w:tc>
        <w:tc>
          <w:tcPr>
            <w:tcW w:w="2266" w:type="dxa"/>
            <w:vAlign w:val="center"/>
          </w:tcPr>
          <w:p w14:paraId="14864122" w14:textId="569C09D4" w:rsidR="00A356B4" w:rsidRPr="000A629D" w:rsidRDefault="000A629D" w:rsidP="002B6EE1">
            <w:pPr>
              <w:pStyle w:val="SingleTxtG"/>
              <w:ind w:left="0" w:right="-9"/>
              <w:jc w:val="left"/>
              <w:rPr>
                <w:lang w:val="en-GB"/>
              </w:rPr>
            </w:pPr>
            <w:r>
              <w:rPr>
                <w:lang w:val="en-GB"/>
              </w:rPr>
              <w:t>Skin/eye corrosive</w:t>
            </w:r>
          </w:p>
        </w:tc>
      </w:tr>
      <w:tr w:rsidR="00A356B4" w14:paraId="5B5664A7" w14:textId="77777777" w:rsidTr="00A87B71">
        <w:tc>
          <w:tcPr>
            <w:tcW w:w="846" w:type="dxa"/>
            <w:vAlign w:val="center"/>
          </w:tcPr>
          <w:p w14:paraId="5352EED6" w14:textId="6D46309A" w:rsidR="00A356B4" w:rsidRPr="00C15A71" w:rsidRDefault="00A356B4" w:rsidP="002B6EE1">
            <w:pPr>
              <w:pStyle w:val="SingleTxtG"/>
              <w:ind w:left="0" w:right="0"/>
              <w:jc w:val="left"/>
              <w:rPr>
                <w:b/>
                <w:lang w:val="en-GB"/>
              </w:rPr>
            </w:pPr>
            <w:r>
              <w:rPr>
                <w:b/>
                <w:lang w:val="en-GB"/>
              </w:rPr>
              <w:t>2795</w:t>
            </w:r>
          </w:p>
        </w:tc>
        <w:tc>
          <w:tcPr>
            <w:tcW w:w="3260" w:type="dxa"/>
            <w:vAlign w:val="center"/>
          </w:tcPr>
          <w:p w14:paraId="2FA16AE0" w14:textId="4D992B24" w:rsidR="00A356B4" w:rsidRPr="007A323D" w:rsidRDefault="00A356B4" w:rsidP="00A356B4">
            <w:pPr>
              <w:pStyle w:val="Default"/>
              <w:rPr>
                <w:sz w:val="20"/>
                <w:szCs w:val="20"/>
                <w:lang w:val="en-GB"/>
              </w:rPr>
            </w:pPr>
            <w:r w:rsidRPr="007A323D">
              <w:rPr>
                <w:sz w:val="20"/>
                <w:szCs w:val="20"/>
                <w:lang w:val="en-GB"/>
              </w:rPr>
              <w:t xml:space="preserve">BATTERIES, WET, FILLED WITH ALKALI, electric storage </w:t>
            </w:r>
          </w:p>
        </w:tc>
        <w:tc>
          <w:tcPr>
            <w:tcW w:w="1843" w:type="dxa"/>
            <w:vAlign w:val="center"/>
          </w:tcPr>
          <w:p w14:paraId="5E8DD2C3" w14:textId="2EA566B2" w:rsidR="00A356B4" w:rsidRPr="000A629D" w:rsidRDefault="00A356B4" w:rsidP="002B6EE1">
            <w:pPr>
              <w:pStyle w:val="SingleTxtG"/>
              <w:ind w:left="0" w:right="-9"/>
              <w:jc w:val="left"/>
              <w:rPr>
                <w:lang w:val="en-GB"/>
              </w:rPr>
            </w:pPr>
            <w:r w:rsidRPr="000A629D">
              <w:rPr>
                <w:lang w:val="en-GB"/>
              </w:rPr>
              <w:t>Class 8</w:t>
            </w:r>
          </w:p>
        </w:tc>
        <w:tc>
          <w:tcPr>
            <w:tcW w:w="2266" w:type="dxa"/>
            <w:vAlign w:val="center"/>
          </w:tcPr>
          <w:p w14:paraId="01DB764F" w14:textId="4A8975CD" w:rsidR="00A356B4" w:rsidRPr="000A629D" w:rsidRDefault="000A629D" w:rsidP="002B6EE1">
            <w:pPr>
              <w:pStyle w:val="SingleTxtG"/>
              <w:ind w:left="0" w:right="-9"/>
              <w:jc w:val="left"/>
              <w:rPr>
                <w:lang w:val="en-GB"/>
              </w:rPr>
            </w:pPr>
            <w:r>
              <w:rPr>
                <w:lang w:val="en-GB"/>
              </w:rPr>
              <w:t>Skin/eye corrosive</w:t>
            </w:r>
          </w:p>
        </w:tc>
      </w:tr>
      <w:tr w:rsidR="00A356B4" w14:paraId="462F5850" w14:textId="77777777" w:rsidTr="00A87B71">
        <w:tc>
          <w:tcPr>
            <w:tcW w:w="846" w:type="dxa"/>
            <w:vAlign w:val="center"/>
          </w:tcPr>
          <w:p w14:paraId="1C603E1A" w14:textId="04224E48" w:rsidR="00A356B4" w:rsidRPr="00C15A71" w:rsidRDefault="00A356B4" w:rsidP="002B6EE1">
            <w:pPr>
              <w:pStyle w:val="SingleTxtG"/>
              <w:ind w:left="0" w:right="0"/>
              <w:jc w:val="left"/>
              <w:rPr>
                <w:b/>
                <w:lang w:val="en-GB"/>
              </w:rPr>
            </w:pPr>
            <w:r>
              <w:rPr>
                <w:b/>
                <w:lang w:val="en-GB"/>
              </w:rPr>
              <w:t>2800</w:t>
            </w:r>
          </w:p>
        </w:tc>
        <w:tc>
          <w:tcPr>
            <w:tcW w:w="3260" w:type="dxa"/>
            <w:vAlign w:val="center"/>
          </w:tcPr>
          <w:p w14:paraId="333B3759" w14:textId="551E9038" w:rsidR="00A356B4" w:rsidRPr="007A323D" w:rsidRDefault="00A356B4" w:rsidP="002B6EE1">
            <w:pPr>
              <w:pStyle w:val="Default"/>
              <w:rPr>
                <w:sz w:val="20"/>
                <w:szCs w:val="20"/>
                <w:lang w:val="en-GB"/>
              </w:rPr>
            </w:pPr>
            <w:r w:rsidRPr="007A323D">
              <w:rPr>
                <w:sz w:val="20"/>
                <w:szCs w:val="20"/>
                <w:lang w:val="en-GB"/>
              </w:rPr>
              <w:t xml:space="preserve">BATTERIES, WET, NON-SPILLABLE, electric storage </w:t>
            </w:r>
          </w:p>
        </w:tc>
        <w:tc>
          <w:tcPr>
            <w:tcW w:w="1843" w:type="dxa"/>
            <w:vAlign w:val="center"/>
          </w:tcPr>
          <w:p w14:paraId="01C72B40" w14:textId="25548FA9" w:rsidR="00A356B4" w:rsidRPr="000A629D" w:rsidRDefault="00A356B4" w:rsidP="002B6EE1">
            <w:pPr>
              <w:pStyle w:val="SingleTxtG"/>
              <w:ind w:left="0" w:right="-9"/>
              <w:jc w:val="left"/>
              <w:rPr>
                <w:lang w:val="en-GB"/>
              </w:rPr>
            </w:pPr>
            <w:r w:rsidRPr="000A629D">
              <w:rPr>
                <w:lang w:val="en-GB"/>
              </w:rPr>
              <w:t>Class 8</w:t>
            </w:r>
          </w:p>
        </w:tc>
        <w:tc>
          <w:tcPr>
            <w:tcW w:w="2266" w:type="dxa"/>
            <w:vAlign w:val="center"/>
          </w:tcPr>
          <w:p w14:paraId="50D2E887" w14:textId="29569951" w:rsidR="00A356B4" w:rsidRPr="000A629D" w:rsidRDefault="000A629D" w:rsidP="002B6EE1">
            <w:pPr>
              <w:pStyle w:val="SingleTxtG"/>
              <w:ind w:left="0" w:right="-9"/>
              <w:jc w:val="left"/>
              <w:rPr>
                <w:lang w:val="en-GB"/>
              </w:rPr>
            </w:pPr>
            <w:r>
              <w:rPr>
                <w:lang w:val="en-GB"/>
              </w:rPr>
              <w:t>Skin/eye corrosive</w:t>
            </w:r>
          </w:p>
        </w:tc>
      </w:tr>
    </w:tbl>
    <w:p w14:paraId="751AB56D" w14:textId="77777777" w:rsidR="00375A3E" w:rsidRDefault="00375A3E" w:rsidP="00BA5DE9">
      <w:pPr>
        <w:pStyle w:val="SingleTxtG"/>
        <w:rPr>
          <w:lang w:val="en-GB"/>
        </w:rPr>
      </w:pPr>
    </w:p>
    <w:p w14:paraId="71171E83" w14:textId="487BED0C" w:rsidR="00BA5DE9" w:rsidRPr="008E03BE" w:rsidRDefault="00A356B4" w:rsidP="00BA5DE9">
      <w:pPr>
        <w:pStyle w:val="SingleTxtG"/>
        <w:rPr>
          <w:b/>
          <w:lang w:val="en-GB"/>
        </w:rPr>
      </w:pPr>
      <w:r w:rsidRPr="008E03BE">
        <w:rPr>
          <w:b/>
          <w:lang w:val="en-GB"/>
        </w:rPr>
        <w:t>Table 3</w:t>
      </w:r>
      <w:r w:rsidR="00BA5DE9" w:rsidRPr="008E03BE">
        <w:rPr>
          <w:b/>
          <w:lang w:val="en-GB"/>
        </w:rPr>
        <w:t>: Examples of products consisting of or containing explosives</w:t>
      </w:r>
      <w:r w:rsidR="00A87B71">
        <w:rPr>
          <w:b/>
          <w:lang w:val="en-GB"/>
        </w:rPr>
        <w:t>, which</w:t>
      </w:r>
      <w:r w:rsidR="00BA5DE9" w:rsidRPr="008E03BE">
        <w:rPr>
          <w:b/>
          <w:lang w:val="en-GB"/>
        </w:rPr>
        <w:t xml:space="preserve"> are classified in Class </w:t>
      </w:r>
      <w:r w:rsidRPr="008E03BE">
        <w:rPr>
          <w:b/>
          <w:lang w:val="en-GB"/>
        </w:rPr>
        <w:t>9</w:t>
      </w:r>
      <w:r w:rsidR="00BA5DE9" w:rsidRPr="008E03BE">
        <w:rPr>
          <w:b/>
          <w:lang w:val="en-GB"/>
        </w:rPr>
        <w:t xml:space="preserve"> according to the </w:t>
      </w:r>
      <w:r w:rsidR="007A323D" w:rsidRPr="008E03BE">
        <w:rPr>
          <w:b/>
          <w:lang w:val="en-GB"/>
        </w:rPr>
        <w:t>DGL</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846"/>
        <w:gridCol w:w="3118"/>
        <w:gridCol w:w="1701"/>
        <w:gridCol w:w="2550"/>
      </w:tblGrid>
      <w:tr w:rsidR="00BA5DE9" w14:paraId="1BB2DD0F" w14:textId="77777777" w:rsidTr="007A2674">
        <w:tc>
          <w:tcPr>
            <w:tcW w:w="846" w:type="dxa"/>
            <w:vAlign w:val="center"/>
          </w:tcPr>
          <w:p w14:paraId="1EFA6DA5" w14:textId="77777777" w:rsidR="00BA5DE9" w:rsidRPr="00C15A71" w:rsidRDefault="00BA5DE9" w:rsidP="002B6EE1">
            <w:pPr>
              <w:pStyle w:val="SingleTxtG"/>
              <w:ind w:left="0" w:right="0"/>
              <w:jc w:val="left"/>
              <w:rPr>
                <w:b/>
                <w:lang w:val="en-GB"/>
              </w:rPr>
            </w:pPr>
            <w:r w:rsidRPr="00C15A71">
              <w:rPr>
                <w:b/>
                <w:lang w:val="en-GB"/>
              </w:rPr>
              <w:t>UN-number</w:t>
            </w:r>
          </w:p>
        </w:tc>
        <w:tc>
          <w:tcPr>
            <w:tcW w:w="3118" w:type="dxa"/>
            <w:vAlign w:val="center"/>
          </w:tcPr>
          <w:p w14:paraId="084D15B5" w14:textId="77777777" w:rsidR="00BA5DE9" w:rsidRPr="00C15A71" w:rsidRDefault="00BA5DE9" w:rsidP="002B6EE1">
            <w:pPr>
              <w:pStyle w:val="SingleTxtG"/>
              <w:ind w:left="0" w:right="-9"/>
              <w:jc w:val="left"/>
              <w:rPr>
                <w:b/>
                <w:lang w:val="en-GB"/>
              </w:rPr>
            </w:pPr>
            <w:r>
              <w:rPr>
                <w:b/>
                <w:lang w:val="en-GB"/>
              </w:rPr>
              <w:t>Name and description</w:t>
            </w:r>
          </w:p>
        </w:tc>
        <w:tc>
          <w:tcPr>
            <w:tcW w:w="1701" w:type="dxa"/>
            <w:vAlign w:val="center"/>
          </w:tcPr>
          <w:p w14:paraId="10466E2A" w14:textId="77777777" w:rsidR="00BA5DE9" w:rsidRPr="00C15A71" w:rsidRDefault="00BA5DE9" w:rsidP="002B6EE1">
            <w:pPr>
              <w:pStyle w:val="SingleTxtG"/>
              <w:ind w:left="0" w:right="-9"/>
              <w:jc w:val="left"/>
              <w:rPr>
                <w:b/>
                <w:lang w:val="en-GB"/>
              </w:rPr>
            </w:pPr>
            <w:r>
              <w:rPr>
                <w:b/>
                <w:lang w:val="en-GB"/>
              </w:rPr>
              <w:t>Transport</w:t>
            </w:r>
            <w:r w:rsidRPr="00C15A71">
              <w:rPr>
                <w:b/>
                <w:lang w:val="en-GB"/>
              </w:rPr>
              <w:t xml:space="preserve"> classification</w:t>
            </w:r>
          </w:p>
        </w:tc>
        <w:tc>
          <w:tcPr>
            <w:tcW w:w="2550" w:type="dxa"/>
            <w:vAlign w:val="center"/>
          </w:tcPr>
          <w:p w14:paraId="78FCF794" w14:textId="55EDE416" w:rsidR="00BA5DE9" w:rsidRPr="00C15A71" w:rsidRDefault="004C7147" w:rsidP="002B6EE1">
            <w:pPr>
              <w:pStyle w:val="SingleTxtG"/>
              <w:ind w:left="0" w:right="-9"/>
              <w:jc w:val="left"/>
              <w:rPr>
                <w:b/>
                <w:lang w:val="en-GB"/>
              </w:rPr>
            </w:pPr>
            <w:r>
              <w:rPr>
                <w:b/>
                <w:lang w:val="en-GB"/>
              </w:rPr>
              <w:t>Proposed</w:t>
            </w:r>
            <w:r w:rsidR="00BA5DE9" w:rsidRPr="00C15A71">
              <w:rPr>
                <w:b/>
                <w:lang w:val="en-GB"/>
              </w:rPr>
              <w:t xml:space="preserve"> GHS classification</w:t>
            </w:r>
          </w:p>
        </w:tc>
      </w:tr>
      <w:tr w:rsidR="00BA5DE9" w14:paraId="3E20347A" w14:textId="77777777" w:rsidTr="007A2674">
        <w:tc>
          <w:tcPr>
            <w:tcW w:w="846" w:type="dxa"/>
            <w:vAlign w:val="center"/>
          </w:tcPr>
          <w:p w14:paraId="37D73854" w14:textId="31FAEE1F" w:rsidR="00BA5DE9" w:rsidRPr="00C15A71" w:rsidRDefault="00A356B4" w:rsidP="002B6EE1">
            <w:pPr>
              <w:pStyle w:val="SingleTxtG"/>
              <w:ind w:left="0" w:right="0"/>
              <w:jc w:val="left"/>
              <w:rPr>
                <w:b/>
                <w:lang w:val="en-GB"/>
              </w:rPr>
            </w:pPr>
            <w:r>
              <w:rPr>
                <w:b/>
                <w:lang w:val="en-GB"/>
              </w:rPr>
              <w:t>2990</w:t>
            </w:r>
          </w:p>
        </w:tc>
        <w:tc>
          <w:tcPr>
            <w:tcW w:w="3118" w:type="dxa"/>
            <w:vAlign w:val="center"/>
          </w:tcPr>
          <w:p w14:paraId="5698CAFA" w14:textId="47B272C3" w:rsidR="00BA5DE9" w:rsidRPr="007A323D" w:rsidRDefault="00A356B4" w:rsidP="00A356B4">
            <w:pPr>
              <w:pStyle w:val="Default"/>
              <w:rPr>
                <w:sz w:val="20"/>
                <w:szCs w:val="20"/>
                <w:lang w:val="en-GB"/>
              </w:rPr>
            </w:pPr>
            <w:r w:rsidRPr="007A323D">
              <w:rPr>
                <w:sz w:val="20"/>
                <w:szCs w:val="20"/>
                <w:lang w:val="en-GB"/>
              </w:rPr>
              <w:t xml:space="preserve">LIFE SAVING APPLIANCES SELF-INFLATING </w:t>
            </w:r>
          </w:p>
        </w:tc>
        <w:tc>
          <w:tcPr>
            <w:tcW w:w="1701" w:type="dxa"/>
            <w:vAlign w:val="center"/>
          </w:tcPr>
          <w:p w14:paraId="3EAFB834" w14:textId="23B2A586" w:rsidR="00BA5DE9" w:rsidRPr="00C15A71" w:rsidRDefault="004C7147" w:rsidP="002B6EE1">
            <w:pPr>
              <w:pStyle w:val="SingleTxtG"/>
              <w:ind w:left="0" w:right="-9"/>
              <w:jc w:val="left"/>
              <w:rPr>
                <w:lang w:val="en-GB"/>
              </w:rPr>
            </w:pPr>
            <w:r>
              <w:rPr>
                <w:lang w:val="en-GB"/>
              </w:rPr>
              <w:t>Class 9</w:t>
            </w:r>
          </w:p>
        </w:tc>
        <w:tc>
          <w:tcPr>
            <w:tcW w:w="2550" w:type="dxa"/>
            <w:vAlign w:val="center"/>
          </w:tcPr>
          <w:p w14:paraId="763A857E" w14:textId="79F16AAD" w:rsidR="00BA5DE9" w:rsidRPr="00C15A71" w:rsidRDefault="004C7147" w:rsidP="002B6EE1">
            <w:pPr>
              <w:pStyle w:val="SingleTxtG"/>
              <w:ind w:left="0" w:right="-9"/>
              <w:jc w:val="left"/>
              <w:rPr>
                <w:lang w:val="en-GB"/>
              </w:rPr>
            </w:pPr>
            <w:r>
              <w:rPr>
                <w:lang w:val="en-GB"/>
              </w:rPr>
              <w:t>Explosive</w:t>
            </w:r>
            <w:r w:rsidR="00375A3E">
              <w:rPr>
                <w:lang w:val="en-GB"/>
              </w:rPr>
              <w:t>, Sub-cat</w:t>
            </w:r>
            <w:r w:rsidR="007A2674">
              <w:rPr>
                <w:lang w:val="en-GB"/>
              </w:rPr>
              <w:t>egory</w:t>
            </w:r>
            <w:r w:rsidR="00375A3E">
              <w:rPr>
                <w:lang w:val="en-GB"/>
              </w:rPr>
              <w:t>.</w:t>
            </w:r>
            <w:r>
              <w:rPr>
                <w:lang w:val="en-GB"/>
              </w:rPr>
              <w:t xml:space="preserve"> 2C</w:t>
            </w:r>
          </w:p>
        </w:tc>
      </w:tr>
      <w:tr w:rsidR="00CF5F63" w14:paraId="6BA033F9" w14:textId="77777777" w:rsidTr="007A2674">
        <w:tc>
          <w:tcPr>
            <w:tcW w:w="846" w:type="dxa"/>
            <w:vAlign w:val="center"/>
          </w:tcPr>
          <w:p w14:paraId="24282DE4" w14:textId="3EBD0F13" w:rsidR="00CF5F63" w:rsidRDefault="00CF5F63" w:rsidP="00CF5F63">
            <w:pPr>
              <w:pStyle w:val="SingleTxtG"/>
              <w:ind w:left="0" w:right="0"/>
              <w:jc w:val="left"/>
              <w:rPr>
                <w:b/>
                <w:lang w:val="en-GB"/>
              </w:rPr>
            </w:pPr>
            <w:r>
              <w:rPr>
                <w:b/>
                <w:lang w:val="en-GB"/>
              </w:rPr>
              <w:t>3072</w:t>
            </w:r>
          </w:p>
        </w:tc>
        <w:tc>
          <w:tcPr>
            <w:tcW w:w="3118" w:type="dxa"/>
            <w:vAlign w:val="center"/>
          </w:tcPr>
          <w:p w14:paraId="347538BB" w14:textId="75F824B0" w:rsidR="00CF5F63" w:rsidRPr="007A323D" w:rsidRDefault="00CF5F63" w:rsidP="00CF5F63">
            <w:pPr>
              <w:pStyle w:val="Default"/>
              <w:rPr>
                <w:sz w:val="20"/>
                <w:szCs w:val="20"/>
                <w:lang w:val="en-GB"/>
              </w:rPr>
            </w:pPr>
            <w:r w:rsidRPr="007A323D">
              <w:rPr>
                <w:sz w:val="20"/>
                <w:szCs w:val="20"/>
                <w:lang w:val="en-GB"/>
              </w:rPr>
              <w:t xml:space="preserve">LIFE SAVING APPLIANCES NOT SELF-INFLATING </w:t>
            </w:r>
          </w:p>
        </w:tc>
        <w:tc>
          <w:tcPr>
            <w:tcW w:w="1701" w:type="dxa"/>
            <w:vAlign w:val="center"/>
          </w:tcPr>
          <w:p w14:paraId="100E1A8E" w14:textId="4BA47D81" w:rsidR="00CF5F63" w:rsidRDefault="00CF5F63" w:rsidP="00CF5F63">
            <w:pPr>
              <w:pStyle w:val="SingleTxtG"/>
              <w:ind w:left="0" w:right="-9"/>
              <w:jc w:val="left"/>
              <w:rPr>
                <w:lang w:val="en-GB"/>
              </w:rPr>
            </w:pPr>
            <w:r>
              <w:rPr>
                <w:lang w:val="en-GB"/>
              </w:rPr>
              <w:t>Class 9</w:t>
            </w:r>
          </w:p>
        </w:tc>
        <w:tc>
          <w:tcPr>
            <w:tcW w:w="2550" w:type="dxa"/>
            <w:vAlign w:val="center"/>
          </w:tcPr>
          <w:p w14:paraId="081D6B0B" w14:textId="03C568BB" w:rsidR="00CF5F63" w:rsidRDefault="007A2674" w:rsidP="00CF5F63">
            <w:pPr>
              <w:pStyle w:val="SingleTxtG"/>
              <w:ind w:left="0" w:right="-9"/>
              <w:jc w:val="left"/>
              <w:rPr>
                <w:lang w:val="en-GB"/>
              </w:rPr>
            </w:pPr>
            <w:r>
              <w:rPr>
                <w:lang w:val="en-GB"/>
              </w:rPr>
              <w:t>Explosive, Sub-category. 2C</w:t>
            </w:r>
          </w:p>
        </w:tc>
      </w:tr>
      <w:tr w:rsidR="00CF5F63" w14:paraId="10F286A7" w14:textId="77777777" w:rsidTr="007A2674">
        <w:tc>
          <w:tcPr>
            <w:tcW w:w="846" w:type="dxa"/>
            <w:vAlign w:val="center"/>
          </w:tcPr>
          <w:p w14:paraId="2384B2C3" w14:textId="214E8905" w:rsidR="00CF5F63" w:rsidRDefault="00CF5F63" w:rsidP="00CF5F63">
            <w:pPr>
              <w:pStyle w:val="SingleTxtG"/>
              <w:ind w:left="0" w:right="0"/>
              <w:jc w:val="left"/>
              <w:rPr>
                <w:b/>
                <w:lang w:val="en-GB"/>
              </w:rPr>
            </w:pPr>
            <w:r w:rsidRPr="00A356B4">
              <w:rPr>
                <w:b/>
              </w:rPr>
              <w:t>3268</w:t>
            </w:r>
          </w:p>
        </w:tc>
        <w:tc>
          <w:tcPr>
            <w:tcW w:w="3118" w:type="dxa"/>
            <w:vAlign w:val="center"/>
          </w:tcPr>
          <w:p w14:paraId="34CA9D82" w14:textId="5CEB548A" w:rsidR="00CF5F63" w:rsidRDefault="00CF5F63" w:rsidP="00CF5F63">
            <w:pPr>
              <w:pStyle w:val="Default"/>
              <w:rPr>
                <w:sz w:val="20"/>
                <w:szCs w:val="20"/>
              </w:rPr>
            </w:pPr>
            <w:r>
              <w:rPr>
                <w:sz w:val="20"/>
                <w:szCs w:val="20"/>
              </w:rPr>
              <w:t xml:space="preserve">SAFETY DEVICES </w:t>
            </w:r>
          </w:p>
        </w:tc>
        <w:tc>
          <w:tcPr>
            <w:tcW w:w="1701" w:type="dxa"/>
            <w:vAlign w:val="center"/>
          </w:tcPr>
          <w:p w14:paraId="5C0966AE" w14:textId="4B17248C" w:rsidR="00CF5F63" w:rsidRDefault="00CF5F63" w:rsidP="00CF5F63">
            <w:pPr>
              <w:pStyle w:val="SingleTxtG"/>
              <w:ind w:left="0" w:right="-9"/>
              <w:jc w:val="left"/>
              <w:rPr>
                <w:lang w:val="en-GB"/>
              </w:rPr>
            </w:pPr>
            <w:r>
              <w:rPr>
                <w:lang w:val="en-GB"/>
              </w:rPr>
              <w:t>Class 9</w:t>
            </w:r>
          </w:p>
        </w:tc>
        <w:tc>
          <w:tcPr>
            <w:tcW w:w="2550" w:type="dxa"/>
            <w:vAlign w:val="center"/>
          </w:tcPr>
          <w:p w14:paraId="6FB514F9" w14:textId="3F83C72F" w:rsidR="00CF5F63" w:rsidRDefault="007A2674" w:rsidP="00CF5F63">
            <w:pPr>
              <w:pStyle w:val="SingleTxtG"/>
              <w:ind w:left="0" w:right="-9"/>
              <w:jc w:val="left"/>
              <w:rPr>
                <w:lang w:val="en-GB"/>
              </w:rPr>
            </w:pPr>
            <w:r>
              <w:rPr>
                <w:lang w:val="en-GB"/>
              </w:rPr>
              <w:t>Explosive, Sub-category. 2C</w:t>
            </w:r>
          </w:p>
        </w:tc>
      </w:tr>
    </w:tbl>
    <w:p w14:paraId="2D058A9B" w14:textId="0135B778" w:rsidR="00D97B68" w:rsidRPr="003825D0" w:rsidRDefault="00D97B68" w:rsidP="00B4603C">
      <w:pPr>
        <w:pStyle w:val="SingleTxtG"/>
        <w:rPr>
          <w:lang w:val="en-GB"/>
        </w:rPr>
      </w:pPr>
    </w:p>
    <w:p w14:paraId="35E662B5" w14:textId="77777777" w:rsidR="00747C8C" w:rsidRPr="003825D0" w:rsidRDefault="00747C8C" w:rsidP="00747C8C">
      <w:pPr>
        <w:spacing w:before="240"/>
        <w:jc w:val="center"/>
        <w:rPr>
          <w:u w:val="single"/>
        </w:rPr>
      </w:pPr>
      <w:r w:rsidRPr="003825D0">
        <w:rPr>
          <w:u w:val="single"/>
        </w:rPr>
        <w:tab/>
      </w:r>
      <w:r w:rsidRPr="003825D0">
        <w:rPr>
          <w:u w:val="single"/>
        </w:rPr>
        <w:tab/>
      </w:r>
      <w:r w:rsidRPr="003825D0">
        <w:rPr>
          <w:u w:val="single"/>
        </w:rPr>
        <w:tab/>
      </w:r>
    </w:p>
    <w:sectPr w:rsidR="00747C8C" w:rsidRPr="003825D0" w:rsidSect="008C1A0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964" w:footer="1701"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654D" w16cex:dateUtc="2020-10-26T21: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22F85" w14:textId="77777777" w:rsidR="0036271B" w:rsidRDefault="0036271B"/>
  </w:endnote>
  <w:endnote w:type="continuationSeparator" w:id="0">
    <w:p w14:paraId="3942A697" w14:textId="77777777" w:rsidR="0036271B" w:rsidRDefault="0036271B"/>
  </w:endnote>
  <w:endnote w:type="continuationNotice" w:id="1">
    <w:p w14:paraId="40ACD374" w14:textId="77777777" w:rsidR="0036271B" w:rsidRDefault="00362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9CCB" w14:textId="6D57DEEE" w:rsidR="00B71B78" w:rsidRPr="000216CC" w:rsidRDefault="00B71B78"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2708C">
      <w:rPr>
        <w:b/>
        <w:noProof/>
        <w:sz w:val="18"/>
      </w:rPr>
      <w:t>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4213" w14:textId="1071D5D1" w:rsidR="00B71B78" w:rsidRPr="000216CC" w:rsidRDefault="00B71B78"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2708C">
      <w:rPr>
        <w:b/>
        <w:noProof/>
        <w:sz w:val="18"/>
      </w:rPr>
      <w:t>7</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C355" w14:textId="77777777" w:rsidR="00B71B78" w:rsidRDefault="00B71B78"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19C89" w14:textId="77777777" w:rsidR="0036271B" w:rsidRPr="000B175B" w:rsidRDefault="0036271B" w:rsidP="000B175B">
      <w:pPr>
        <w:tabs>
          <w:tab w:val="right" w:pos="2155"/>
        </w:tabs>
        <w:spacing w:after="80"/>
        <w:ind w:left="680"/>
        <w:rPr>
          <w:u w:val="single"/>
        </w:rPr>
      </w:pPr>
      <w:r>
        <w:rPr>
          <w:u w:val="single"/>
        </w:rPr>
        <w:tab/>
      </w:r>
    </w:p>
  </w:footnote>
  <w:footnote w:type="continuationSeparator" w:id="0">
    <w:p w14:paraId="6806997F" w14:textId="77777777" w:rsidR="0036271B" w:rsidRPr="00FC68B7" w:rsidRDefault="0036271B" w:rsidP="00FC68B7">
      <w:pPr>
        <w:tabs>
          <w:tab w:val="left" w:pos="2155"/>
        </w:tabs>
        <w:spacing w:after="80"/>
        <w:ind w:left="680"/>
        <w:rPr>
          <w:u w:val="single"/>
        </w:rPr>
      </w:pPr>
      <w:r>
        <w:rPr>
          <w:u w:val="single"/>
        </w:rPr>
        <w:tab/>
      </w:r>
    </w:p>
  </w:footnote>
  <w:footnote w:type="continuationNotice" w:id="1">
    <w:p w14:paraId="65419BA0" w14:textId="77777777" w:rsidR="0036271B" w:rsidRDefault="0036271B"/>
  </w:footnote>
  <w:footnote w:id="2">
    <w:p w14:paraId="11B1469C" w14:textId="2FF9B60D" w:rsidR="00973A43" w:rsidRPr="007A323D" w:rsidRDefault="00973A43" w:rsidP="007839A0">
      <w:pPr>
        <w:pStyle w:val="FootnoteText"/>
        <w:ind w:firstLine="0"/>
        <w:rPr>
          <w:lang w:val="en-GB"/>
        </w:rPr>
      </w:pPr>
      <w:r>
        <w:rPr>
          <w:rStyle w:val="FootnoteReference"/>
        </w:rPr>
        <w:footnoteRef/>
      </w:r>
      <w:r>
        <w:t xml:space="preserve"> </w:t>
      </w:r>
      <w:r w:rsidRPr="007A323D">
        <w:rPr>
          <w:lang w:val="en-GB"/>
        </w:rPr>
        <w:t xml:space="preserve">See </w:t>
      </w:r>
      <w:r w:rsidR="007A323D" w:rsidRPr="007A323D">
        <w:rPr>
          <w:lang w:val="en-GB"/>
        </w:rPr>
        <w:t>ST/SG/AC.10/C.3/2020/20/Add.1−ST/SG/AC.10/C.4/2020/5/Add.1</w:t>
      </w:r>
      <w:r w:rsidR="007A323D">
        <w:rPr>
          <w:lang w:val="en-GB"/>
        </w:rPr>
        <w:t xml:space="preserve"> and </w:t>
      </w:r>
      <w:r w:rsidRPr="007A323D">
        <w:rPr>
          <w:lang w:val="en-GB"/>
        </w:rPr>
        <w:t xml:space="preserve">the latest status report on the review of GHS Chapter 2.1, </w:t>
      </w:r>
      <w:r>
        <w:rPr>
          <w:lang w:val="en-GB"/>
        </w:rPr>
        <w:t>UN/SCETDG/57/INF.16-UN/SCEGHS/39/INF.13</w:t>
      </w:r>
      <w:r w:rsidR="007A323D">
        <w:rPr>
          <w:lang w:val="en-GB"/>
        </w:rPr>
        <w:t>. A</w:t>
      </w:r>
      <w:r>
        <w:rPr>
          <w:lang w:val="en-GB"/>
        </w:rPr>
        <w:t xml:space="preserve"> comprehensive description of these products</w:t>
      </w:r>
      <w:r w:rsidR="007A323D">
        <w:rPr>
          <w:lang w:val="en-GB"/>
        </w:rPr>
        <w:t xml:space="preserve"> can be found</w:t>
      </w:r>
      <w:r>
        <w:rPr>
          <w:lang w:val="en-GB"/>
        </w:rPr>
        <w:t xml:space="preserve"> in UN/SCETDG/57/INF.15-UN/SCEGHS/39/INF.10.</w:t>
      </w:r>
    </w:p>
  </w:footnote>
  <w:footnote w:id="3">
    <w:p w14:paraId="0922CFF6" w14:textId="3DE1976B" w:rsidR="002E5F21" w:rsidRPr="00375A3E" w:rsidRDefault="002E5F21" w:rsidP="007839A0">
      <w:pPr>
        <w:pStyle w:val="FootnoteText"/>
        <w:ind w:firstLine="0"/>
        <w:rPr>
          <w:lang w:val="en-GB"/>
        </w:rPr>
      </w:pPr>
      <w:r w:rsidRPr="00375A3E">
        <w:rPr>
          <w:rStyle w:val="FootnoteReference"/>
          <w:lang w:val="en-GB"/>
        </w:rPr>
        <w:footnoteRef/>
      </w:r>
      <w:r w:rsidRPr="00375A3E">
        <w:rPr>
          <w:lang w:val="en-GB"/>
        </w:rPr>
        <w:t xml:space="preserve"> See provision 2.1.1.1 (b) in Chapter 2.1 of the UN Model Regulations and provision 2.1.1.2 (b) in Chapter 2.1 of the GHS, respectively. (The latter corresponds to provision 2.1.1.2.1 (b) in the proposed new GHS Chapter 2.1.)</w:t>
      </w:r>
    </w:p>
  </w:footnote>
  <w:footnote w:id="4">
    <w:p w14:paraId="34330D8F" w14:textId="7FD3AA7F" w:rsidR="00995386" w:rsidRPr="00375A3E" w:rsidRDefault="00995386" w:rsidP="007839A0">
      <w:pPr>
        <w:pStyle w:val="FootnoteText"/>
        <w:ind w:firstLine="0"/>
        <w:rPr>
          <w:lang w:val="en-GB"/>
        </w:rPr>
      </w:pPr>
      <w:r w:rsidRPr="00375A3E">
        <w:rPr>
          <w:rStyle w:val="FootnoteReference"/>
          <w:lang w:val="en-GB"/>
        </w:rPr>
        <w:footnoteRef/>
      </w:r>
      <w:r w:rsidRPr="00375A3E">
        <w:rPr>
          <w:lang w:val="en-GB"/>
        </w:rPr>
        <w:t xml:space="preserve"> In the defin</w:t>
      </w:r>
      <w:r w:rsidR="00375A3E">
        <w:rPr>
          <w:lang w:val="en-GB"/>
        </w:rPr>
        <w:t>i</w:t>
      </w:r>
      <w:r w:rsidRPr="00375A3E">
        <w:rPr>
          <w:lang w:val="en-GB"/>
        </w:rPr>
        <w:t xml:space="preserve">tions of </w:t>
      </w:r>
      <w:r w:rsidR="007839A0">
        <w:rPr>
          <w:lang w:val="en-GB"/>
        </w:rPr>
        <w:t>“</w:t>
      </w:r>
      <w:r w:rsidRPr="00375A3E">
        <w:rPr>
          <w:lang w:val="en-GB"/>
        </w:rPr>
        <w:t>Hazard statement”, ”Label” and ”Precautionary statement” in Chapter 1.2 of the GHS, reference is made to the concept ”hazardous product”.</w:t>
      </w:r>
    </w:p>
  </w:footnote>
  <w:footnote w:id="5">
    <w:p w14:paraId="240082C1" w14:textId="1DB49F36" w:rsidR="00507277" w:rsidRPr="00375A3E" w:rsidRDefault="00507277" w:rsidP="007839A0">
      <w:pPr>
        <w:pStyle w:val="FootnoteText"/>
        <w:ind w:firstLine="0"/>
        <w:rPr>
          <w:lang w:val="en-GB"/>
        </w:rPr>
      </w:pPr>
      <w:r w:rsidRPr="00375A3E">
        <w:rPr>
          <w:rStyle w:val="FootnoteReference"/>
          <w:lang w:val="en-GB"/>
        </w:rPr>
        <w:footnoteRef/>
      </w:r>
      <w:r w:rsidRPr="00375A3E">
        <w:rPr>
          <w:lang w:val="en-GB"/>
        </w:rPr>
        <w:t xml:space="preserve"> See Table 1.1 in Section 1 of the Manual of Tests and Criteria (Rev. 7)</w:t>
      </w:r>
    </w:p>
  </w:footnote>
  <w:footnote w:id="6">
    <w:p w14:paraId="7D1B926F" w14:textId="696F6D78" w:rsidR="003754C6" w:rsidRPr="007A323D" w:rsidRDefault="003754C6" w:rsidP="007839A0">
      <w:pPr>
        <w:pStyle w:val="FootnoteText"/>
        <w:ind w:firstLine="0"/>
        <w:rPr>
          <w:lang w:val="en-GB"/>
        </w:rPr>
      </w:pPr>
      <w:r w:rsidRPr="00375A3E">
        <w:rPr>
          <w:rStyle w:val="FootnoteReference"/>
          <w:lang w:val="en-GB"/>
        </w:rPr>
        <w:footnoteRef/>
      </w:r>
      <w:r w:rsidRPr="00375A3E">
        <w:rPr>
          <w:lang w:val="en-GB"/>
        </w:rPr>
        <w:t xml:space="preserve"> Class 2 of the UN Model Regulations comprises gases and does not use packing groups. The relation to the GHS is more complicated as the GHS splits the various hazards associated with gases into several hazard classes (Gases under pressure, Flammable gases, Oxidizing gases and Aerosols). A translation from a transport classification within Class 2 to a GHS classification is, however, generally possible</w:t>
      </w:r>
      <w:r w:rsidR="00825DA1" w:rsidRPr="00375A3E">
        <w:rPr>
          <w:lang w:val="en-GB"/>
        </w:rPr>
        <w:t>, see Table 1.1 in Section 1 of the Manual of Tests and Criteria (Rev. 7).</w:t>
      </w:r>
    </w:p>
  </w:footnote>
  <w:footnote w:id="7">
    <w:p w14:paraId="6C61AE92" w14:textId="25DD9308" w:rsidR="00B863DC" w:rsidRPr="007A323D" w:rsidRDefault="00B863DC" w:rsidP="007839A0">
      <w:pPr>
        <w:pStyle w:val="FootnoteText"/>
        <w:ind w:firstLine="0"/>
        <w:rPr>
          <w:lang w:val="en-GB"/>
        </w:rPr>
      </w:pPr>
      <w:r>
        <w:rPr>
          <w:rStyle w:val="FootnoteReference"/>
        </w:rPr>
        <w:footnoteRef/>
      </w:r>
      <w:r>
        <w:t xml:space="preserve"> </w:t>
      </w:r>
      <w:r w:rsidRPr="007A323D">
        <w:rPr>
          <w:lang w:val="en-GB"/>
        </w:rPr>
        <w:t>See the criteria for Category 1 in section 2.1.2 of the proposed new GHS Chapter 2.1.</w:t>
      </w:r>
    </w:p>
  </w:footnote>
  <w:footnote w:id="8">
    <w:p w14:paraId="70DACCEA" w14:textId="374B7272" w:rsidR="00C15BB7" w:rsidRPr="007A323D" w:rsidRDefault="00C15BB7" w:rsidP="007839A0">
      <w:pPr>
        <w:pStyle w:val="FootnoteText"/>
        <w:ind w:firstLine="0"/>
        <w:rPr>
          <w:lang w:val="en-GB"/>
        </w:rPr>
      </w:pPr>
      <w:r>
        <w:rPr>
          <w:rStyle w:val="FootnoteReference"/>
        </w:rPr>
        <w:footnoteRef/>
      </w:r>
      <w:r>
        <w:t xml:space="preserve"> </w:t>
      </w:r>
      <w:r w:rsidRPr="007A323D">
        <w:rPr>
          <w:lang w:val="en-GB"/>
        </w:rPr>
        <w:t>See provision 2.1.1.3.4 in section 2.1.1 of the proposed new GHS Chapter 2.1.</w:t>
      </w:r>
    </w:p>
  </w:footnote>
  <w:footnote w:id="9">
    <w:p w14:paraId="5F9FB4FE" w14:textId="6CB008EB" w:rsidR="00A87B71" w:rsidRPr="00A87B71" w:rsidRDefault="00A87B71" w:rsidP="007839A0">
      <w:pPr>
        <w:pStyle w:val="FootnoteText"/>
        <w:ind w:firstLine="0"/>
        <w:rPr>
          <w:lang w:val="en-GB"/>
        </w:rPr>
      </w:pPr>
      <w:r>
        <w:rPr>
          <w:rStyle w:val="FootnoteReference"/>
        </w:rPr>
        <w:footnoteRef/>
      </w:r>
      <w:r>
        <w:t xml:space="preserve"> </w:t>
      </w:r>
      <w:r w:rsidRPr="00A87B71">
        <w:rPr>
          <w:lang w:val="en-GB"/>
        </w:rPr>
        <w:t>PG stands for Packing Group.</w:t>
      </w:r>
    </w:p>
  </w:footnote>
  <w:footnote w:id="10">
    <w:p w14:paraId="3376B589" w14:textId="7F5A8654" w:rsidR="00BF797D" w:rsidRPr="00BF797D" w:rsidRDefault="00BF797D" w:rsidP="007839A0">
      <w:pPr>
        <w:pStyle w:val="FootnoteText"/>
        <w:ind w:firstLine="0"/>
        <w:rPr>
          <w:lang w:val="en-GB"/>
        </w:rPr>
      </w:pPr>
      <w:r>
        <w:rPr>
          <w:rStyle w:val="FootnoteReference"/>
        </w:rPr>
        <w:footnoteRef/>
      </w:r>
      <w:r>
        <w:t xml:space="preserve"> </w:t>
      </w:r>
      <w:r w:rsidRPr="00A87B71">
        <w:rPr>
          <w:lang w:val="en-GB"/>
        </w:rPr>
        <w:t>Packing groups are normally not assigned to articles</w:t>
      </w:r>
      <w:r>
        <w:rPr>
          <w:lang w:val="en-GB"/>
        </w:rPr>
        <w:t>, and therefore no corresponding GHS category can be assigned by default.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9B4F" w14:textId="46A9A6F2" w:rsidR="00B71B78" w:rsidRPr="001E5919" w:rsidRDefault="007D01B5" w:rsidP="001E5919">
    <w:pPr>
      <w:pStyle w:val="Header"/>
      <w:rPr>
        <w:lang w:val="fr-FR"/>
      </w:rPr>
    </w:pPr>
    <w:r>
      <w:rPr>
        <w:lang w:val="fr-FR"/>
      </w:rPr>
      <w:t>UN/SCETDG/57/INF.</w:t>
    </w:r>
    <w:r w:rsidR="007839A0">
      <w:rPr>
        <w:lang w:val="fr-FR"/>
      </w:rPr>
      <w:t>33</w:t>
    </w:r>
    <w:r w:rsidR="00EE73F9">
      <w:rPr>
        <w:lang w:val="fr-FR"/>
      </w:rPr>
      <w:br/>
    </w:r>
    <w:r w:rsidR="00B71B78">
      <w:rPr>
        <w:lang w:val="fr-FR"/>
      </w:rPr>
      <w:t>UN/SCEGHS/39/INF.</w:t>
    </w:r>
    <w:r w:rsidR="007839A0">
      <w:rPr>
        <w:lang w:val="fr-FR"/>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41F6" w14:textId="77D58CC4" w:rsidR="00B71B78" w:rsidRPr="001E5919" w:rsidRDefault="007D01B5" w:rsidP="001E5919">
    <w:pPr>
      <w:pStyle w:val="Header"/>
      <w:jc w:val="right"/>
      <w:rPr>
        <w:lang w:val="fr-FR"/>
      </w:rPr>
    </w:pPr>
    <w:r>
      <w:rPr>
        <w:lang w:val="fr-FR"/>
      </w:rPr>
      <w:t>UN/SCETDG/57/INF.</w:t>
    </w:r>
    <w:r w:rsidR="007839A0">
      <w:rPr>
        <w:lang w:val="fr-FR"/>
      </w:rPr>
      <w:t>33</w:t>
    </w:r>
    <w:r w:rsidR="00EE73F9">
      <w:rPr>
        <w:lang w:val="fr-FR"/>
      </w:rPr>
      <w:br/>
      <w:t>UN/SCEGHS/39/INF.</w:t>
    </w:r>
    <w:r w:rsidR="007839A0">
      <w:rPr>
        <w:lang w:val="fr-FR"/>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B615" w14:textId="7233323F" w:rsidR="00B71B78" w:rsidRPr="00542C8D" w:rsidRDefault="00B71B78"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0948D56"/>
    <w:lvl w:ilvl="0" w:tplc="EA7C2B66">
      <w:start w:val="1"/>
      <w:numFmt w:val="decimal"/>
      <w:lvlText w:val="%1."/>
      <w:lvlJc w:val="left"/>
      <w:pPr>
        <w:ind w:left="6750"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40124B"/>
    <w:multiLevelType w:val="hybridMultilevel"/>
    <w:tmpl w:val="CBEA5AEC"/>
    <w:lvl w:ilvl="0" w:tplc="04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51EFBD"/>
    <w:multiLevelType w:val="hybridMultilevel"/>
    <w:tmpl w:val="037967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D6C6FEE"/>
    <w:multiLevelType w:val="hybridMultilevel"/>
    <w:tmpl w:val="89A89CC2"/>
    <w:lvl w:ilvl="0" w:tplc="04090017">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1D7C46FE"/>
    <w:multiLevelType w:val="hybridMultilevel"/>
    <w:tmpl w:val="5484C730"/>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21B3798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2B371D9B"/>
    <w:multiLevelType w:val="hybridMultilevel"/>
    <w:tmpl w:val="DFC8A98C"/>
    <w:lvl w:ilvl="0" w:tplc="35F42AAE">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0"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2"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5" w15:restartNumberingAfterBreak="0">
    <w:nsid w:val="5E1639F7"/>
    <w:multiLevelType w:val="multilevel"/>
    <w:tmpl w:val="CB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B04C44"/>
    <w:multiLevelType w:val="hybridMultilevel"/>
    <w:tmpl w:val="28DCCBEC"/>
    <w:lvl w:ilvl="0" w:tplc="04090001">
      <w:start w:val="1"/>
      <w:numFmt w:val="bullet"/>
      <w:lvlText w:val=""/>
      <w:lvlJc w:val="left"/>
      <w:pPr>
        <w:ind w:left="1494" w:hanging="360"/>
      </w:pPr>
      <w:rPr>
        <w:rFonts w:ascii="Symbol" w:hAnsi="Symbol" w:hint="default"/>
      </w:rPr>
    </w:lvl>
    <w:lvl w:ilvl="1" w:tplc="08090019">
      <w:start w:val="1"/>
      <w:numFmt w:val="lowerLetter"/>
      <w:lvlText w:val="%2."/>
      <w:lvlJc w:val="left"/>
      <w:pPr>
        <w:ind w:left="558" w:hanging="360"/>
      </w:pPr>
    </w:lvl>
    <w:lvl w:ilvl="2" w:tplc="0809001B">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30" w15:restartNumberingAfterBreak="0">
    <w:nsid w:val="66D70565"/>
    <w:multiLevelType w:val="hybridMultilevel"/>
    <w:tmpl w:val="688E9B42"/>
    <w:lvl w:ilvl="0" w:tplc="04090001">
      <w:start w:val="1"/>
      <w:numFmt w:val="bullet"/>
      <w:lvlText w:val=""/>
      <w:lvlJc w:val="left"/>
      <w:pPr>
        <w:ind w:left="2061" w:hanging="360"/>
      </w:pPr>
      <w:rPr>
        <w:rFonts w:ascii="Symbol" w:hAnsi="Symbol"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15:restartNumberingAfterBreak="0">
    <w:nsid w:val="6C303A07"/>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15:restartNumberingAfterBreak="0">
    <w:nsid w:val="71947C28"/>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3"/>
  </w:num>
  <w:num w:numId="13">
    <w:abstractNumId w:val="11"/>
  </w:num>
  <w:num w:numId="14">
    <w:abstractNumId w:val="28"/>
  </w:num>
  <w:num w:numId="15">
    <w:abstractNumId w:val="34"/>
  </w:num>
  <w:num w:numId="16">
    <w:abstractNumId w:val="23"/>
  </w:num>
  <w:num w:numId="17">
    <w:abstractNumId w:val="20"/>
  </w:num>
  <w:num w:numId="18">
    <w:abstractNumId w:val="10"/>
  </w:num>
  <w:num w:numId="19">
    <w:abstractNumId w:val="22"/>
  </w:num>
  <w:num w:numId="20">
    <w:abstractNumId w:val="27"/>
  </w:num>
  <w:num w:numId="21">
    <w:abstractNumId w:val="33"/>
  </w:num>
  <w:num w:numId="22">
    <w:abstractNumId w:val="18"/>
  </w:num>
  <w:num w:numId="23">
    <w:abstractNumId w:val="21"/>
  </w:num>
  <w:num w:numId="24">
    <w:abstractNumId w:val="24"/>
  </w:num>
  <w:num w:numId="25">
    <w:abstractNumId w:val="17"/>
  </w:num>
  <w:num w:numId="26">
    <w:abstractNumId w:val="12"/>
  </w:num>
  <w:num w:numId="27">
    <w:abstractNumId w:val="29"/>
  </w:num>
  <w:num w:numId="28">
    <w:abstractNumId w:val="31"/>
  </w:num>
  <w:num w:numId="29">
    <w:abstractNumId w:val="32"/>
  </w:num>
  <w:num w:numId="30">
    <w:abstractNumId w:val="16"/>
  </w:num>
  <w:num w:numId="31">
    <w:abstractNumId w:val="25"/>
  </w:num>
  <w:num w:numId="32">
    <w:abstractNumId w:val="30"/>
  </w:num>
  <w:num w:numId="33">
    <w:abstractNumId w:val="15"/>
  </w:num>
  <w:num w:numId="34">
    <w:abstractNumId w:val="14"/>
  </w:num>
  <w:num w:numId="3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C69"/>
    <w:rsid w:val="00006FAE"/>
    <w:rsid w:val="00007A94"/>
    <w:rsid w:val="00010AA0"/>
    <w:rsid w:val="000133C5"/>
    <w:rsid w:val="00017D24"/>
    <w:rsid w:val="000216CC"/>
    <w:rsid w:val="00022088"/>
    <w:rsid w:val="00023ADD"/>
    <w:rsid w:val="00026B64"/>
    <w:rsid w:val="0003042A"/>
    <w:rsid w:val="00031437"/>
    <w:rsid w:val="0003375D"/>
    <w:rsid w:val="00040776"/>
    <w:rsid w:val="00043180"/>
    <w:rsid w:val="00044081"/>
    <w:rsid w:val="000441CC"/>
    <w:rsid w:val="000504CE"/>
    <w:rsid w:val="00050922"/>
    <w:rsid w:val="00050F6B"/>
    <w:rsid w:val="00052256"/>
    <w:rsid w:val="0005258D"/>
    <w:rsid w:val="00053492"/>
    <w:rsid w:val="00055FF2"/>
    <w:rsid w:val="0005710C"/>
    <w:rsid w:val="00063DAC"/>
    <w:rsid w:val="00064402"/>
    <w:rsid w:val="00067E6D"/>
    <w:rsid w:val="00072C8C"/>
    <w:rsid w:val="00073129"/>
    <w:rsid w:val="00073FC6"/>
    <w:rsid w:val="00075F99"/>
    <w:rsid w:val="00076A0A"/>
    <w:rsid w:val="00077A9B"/>
    <w:rsid w:val="00080B38"/>
    <w:rsid w:val="00082CE1"/>
    <w:rsid w:val="00083598"/>
    <w:rsid w:val="00084632"/>
    <w:rsid w:val="00084AE1"/>
    <w:rsid w:val="000863FA"/>
    <w:rsid w:val="00086918"/>
    <w:rsid w:val="00090F8D"/>
    <w:rsid w:val="00091046"/>
    <w:rsid w:val="00091419"/>
    <w:rsid w:val="00091CB3"/>
    <w:rsid w:val="000931C0"/>
    <w:rsid w:val="000939AE"/>
    <w:rsid w:val="000A1FD1"/>
    <w:rsid w:val="000A2236"/>
    <w:rsid w:val="000A35F2"/>
    <w:rsid w:val="000A3A48"/>
    <w:rsid w:val="000A4046"/>
    <w:rsid w:val="000A4C38"/>
    <w:rsid w:val="000A629D"/>
    <w:rsid w:val="000B175B"/>
    <w:rsid w:val="000B1DEA"/>
    <w:rsid w:val="000B3A0F"/>
    <w:rsid w:val="000B3C2B"/>
    <w:rsid w:val="000B4919"/>
    <w:rsid w:val="000B4D72"/>
    <w:rsid w:val="000B5D32"/>
    <w:rsid w:val="000B7AF2"/>
    <w:rsid w:val="000C1ED8"/>
    <w:rsid w:val="000C28CA"/>
    <w:rsid w:val="000C515C"/>
    <w:rsid w:val="000C5D4B"/>
    <w:rsid w:val="000C717F"/>
    <w:rsid w:val="000D0B8F"/>
    <w:rsid w:val="000D14B6"/>
    <w:rsid w:val="000D379B"/>
    <w:rsid w:val="000D481F"/>
    <w:rsid w:val="000D6D97"/>
    <w:rsid w:val="000D7830"/>
    <w:rsid w:val="000E0415"/>
    <w:rsid w:val="000E1285"/>
    <w:rsid w:val="000E5E99"/>
    <w:rsid w:val="000E7E74"/>
    <w:rsid w:val="000F0087"/>
    <w:rsid w:val="000F1747"/>
    <w:rsid w:val="000F52D6"/>
    <w:rsid w:val="000F6A20"/>
    <w:rsid w:val="00103A90"/>
    <w:rsid w:val="0010461A"/>
    <w:rsid w:val="001054A3"/>
    <w:rsid w:val="001057AB"/>
    <w:rsid w:val="001058DD"/>
    <w:rsid w:val="00113F87"/>
    <w:rsid w:val="001149AA"/>
    <w:rsid w:val="00115303"/>
    <w:rsid w:val="00115931"/>
    <w:rsid w:val="00115FA4"/>
    <w:rsid w:val="00117787"/>
    <w:rsid w:val="00117D0D"/>
    <w:rsid w:val="00117FD5"/>
    <w:rsid w:val="00120E7B"/>
    <w:rsid w:val="00121EB7"/>
    <w:rsid w:val="0012241F"/>
    <w:rsid w:val="00123BCC"/>
    <w:rsid w:val="00124B3F"/>
    <w:rsid w:val="00130307"/>
    <w:rsid w:val="00131B10"/>
    <w:rsid w:val="00131D42"/>
    <w:rsid w:val="00133C50"/>
    <w:rsid w:val="0013537A"/>
    <w:rsid w:val="001367DF"/>
    <w:rsid w:val="00136F78"/>
    <w:rsid w:val="001377BD"/>
    <w:rsid w:val="001406F4"/>
    <w:rsid w:val="00140F7D"/>
    <w:rsid w:val="001467C3"/>
    <w:rsid w:val="001470D6"/>
    <w:rsid w:val="001621AD"/>
    <w:rsid w:val="001633FB"/>
    <w:rsid w:val="00163A1B"/>
    <w:rsid w:val="001640DF"/>
    <w:rsid w:val="00165735"/>
    <w:rsid w:val="00167786"/>
    <w:rsid w:val="00170C93"/>
    <w:rsid w:val="001753E1"/>
    <w:rsid w:val="001807F7"/>
    <w:rsid w:val="00181019"/>
    <w:rsid w:val="001835BF"/>
    <w:rsid w:val="00184B86"/>
    <w:rsid w:val="00191F73"/>
    <w:rsid w:val="00195084"/>
    <w:rsid w:val="00195BC9"/>
    <w:rsid w:val="0019637E"/>
    <w:rsid w:val="00196C79"/>
    <w:rsid w:val="001A02A4"/>
    <w:rsid w:val="001A11CB"/>
    <w:rsid w:val="001A1CDC"/>
    <w:rsid w:val="001A3FC1"/>
    <w:rsid w:val="001A5DDE"/>
    <w:rsid w:val="001B0361"/>
    <w:rsid w:val="001B35EE"/>
    <w:rsid w:val="001B4B04"/>
    <w:rsid w:val="001B6B72"/>
    <w:rsid w:val="001C08F5"/>
    <w:rsid w:val="001C2932"/>
    <w:rsid w:val="001C429D"/>
    <w:rsid w:val="001C6663"/>
    <w:rsid w:val="001C7895"/>
    <w:rsid w:val="001D0B0A"/>
    <w:rsid w:val="001D13CF"/>
    <w:rsid w:val="001D25B8"/>
    <w:rsid w:val="001D26DF"/>
    <w:rsid w:val="001D2FDC"/>
    <w:rsid w:val="001D3123"/>
    <w:rsid w:val="001D3A88"/>
    <w:rsid w:val="001D4B2D"/>
    <w:rsid w:val="001D4E70"/>
    <w:rsid w:val="001D55A4"/>
    <w:rsid w:val="001D5B61"/>
    <w:rsid w:val="001D7926"/>
    <w:rsid w:val="001D7B26"/>
    <w:rsid w:val="001E0E78"/>
    <w:rsid w:val="001E2458"/>
    <w:rsid w:val="001E5919"/>
    <w:rsid w:val="001E66BE"/>
    <w:rsid w:val="001E797C"/>
    <w:rsid w:val="001F0BE0"/>
    <w:rsid w:val="001F4F0A"/>
    <w:rsid w:val="00202673"/>
    <w:rsid w:val="00202A40"/>
    <w:rsid w:val="0020301C"/>
    <w:rsid w:val="00207C86"/>
    <w:rsid w:val="00211B12"/>
    <w:rsid w:val="00211E0B"/>
    <w:rsid w:val="0021481D"/>
    <w:rsid w:val="00221589"/>
    <w:rsid w:val="00221AC2"/>
    <w:rsid w:val="00223316"/>
    <w:rsid w:val="00223F20"/>
    <w:rsid w:val="00224CD9"/>
    <w:rsid w:val="002254D7"/>
    <w:rsid w:val="00225B4C"/>
    <w:rsid w:val="002277D8"/>
    <w:rsid w:val="0023025D"/>
    <w:rsid w:val="002309A7"/>
    <w:rsid w:val="00234B1B"/>
    <w:rsid w:val="00235381"/>
    <w:rsid w:val="0023700E"/>
    <w:rsid w:val="00237785"/>
    <w:rsid w:val="00240052"/>
    <w:rsid w:val="00241178"/>
    <w:rsid w:val="00241439"/>
    <w:rsid w:val="00241466"/>
    <w:rsid w:val="002440E7"/>
    <w:rsid w:val="002451FB"/>
    <w:rsid w:val="00247570"/>
    <w:rsid w:val="00247764"/>
    <w:rsid w:val="002511B3"/>
    <w:rsid w:val="00251E5C"/>
    <w:rsid w:val="00253547"/>
    <w:rsid w:val="00257C1E"/>
    <w:rsid w:val="00257DD7"/>
    <w:rsid w:val="00261B71"/>
    <w:rsid w:val="00262099"/>
    <w:rsid w:val="002621F5"/>
    <w:rsid w:val="00264A62"/>
    <w:rsid w:val="0026745A"/>
    <w:rsid w:val="002708B5"/>
    <w:rsid w:val="00270A21"/>
    <w:rsid w:val="002725CA"/>
    <w:rsid w:val="00273A92"/>
    <w:rsid w:val="00276E3C"/>
    <w:rsid w:val="00277896"/>
    <w:rsid w:val="00280EB7"/>
    <w:rsid w:val="0028116C"/>
    <w:rsid w:val="00291E61"/>
    <w:rsid w:val="002976CF"/>
    <w:rsid w:val="002A0BD2"/>
    <w:rsid w:val="002A12B1"/>
    <w:rsid w:val="002A2A95"/>
    <w:rsid w:val="002A3510"/>
    <w:rsid w:val="002A5B17"/>
    <w:rsid w:val="002A76D3"/>
    <w:rsid w:val="002A7C9F"/>
    <w:rsid w:val="002B067A"/>
    <w:rsid w:val="002B1514"/>
    <w:rsid w:val="002B1CDA"/>
    <w:rsid w:val="002B2011"/>
    <w:rsid w:val="002B2373"/>
    <w:rsid w:val="002B3254"/>
    <w:rsid w:val="002B6E6B"/>
    <w:rsid w:val="002C2163"/>
    <w:rsid w:val="002C25CC"/>
    <w:rsid w:val="002C5293"/>
    <w:rsid w:val="002C7F25"/>
    <w:rsid w:val="002D3912"/>
    <w:rsid w:val="002D4DB6"/>
    <w:rsid w:val="002D5029"/>
    <w:rsid w:val="002D5A85"/>
    <w:rsid w:val="002D5C7D"/>
    <w:rsid w:val="002D7A70"/>
    <w:rsid w:val="002E35BB"/>
    <w:rsid w:val="002E4639"/>
    <w:rsid w:val="002E4D44"/>
    <w:rsid w:val="002E5CF2"/>
    <w:rsid w:val="002E5F21"/>
    <w:rsid w:val="002F1915"/>
    <w:rsid w:val="002F2FF2"/>
    <w:rsid w:val="002F363A"/>
    <w:rsid w:val="002F3957"/>
    <w:rsid w:val="002F68FD"/>
    <w:rsid w:val="002F6F3B"/>
    <w:rsid w:val="002F7332"/>
    <w:rsid w:val="003003A7"/>
    <w:rsid w:val="00302A3D"/>
    <w:rsid w:val="00305943"/>
    <w:rsid w:val="00305A08"/>
    <w:rsid w:val="003107D0"/>
    <w:rsid w:val="003107FA"/>
    <w:rsid w:val="00314790"/>
    <w:rsid w:val="00315D73"/>
    <w:rsid w:val="00316FF9"/>
    <w:rsid w:val="00317E1C"/>
    <w:rsid w:val="00321716"/>
    <w:rsid w:val="003225F2"/>
    <w:rsid w:val="003229D8"/>
    <w:rsid w:val="00322C8C"/>
    <w:rsid w:val="003240F3"/>
    <w:rsid w:val="0032549A"/>
    <w:rsid w:val="00325F1A"/>
    <w:rsid w:val="00327D0A"/>
    <w:rsid w:val="003311D1"/>
    <w:rsid w:val="0033283D"/>
    <w:rsid w:val="00332D75"/>
    <w:rsid w:val="00336D2F"/>
    <w:rsid w:val="003378A5"/>
    <w:rsid w:val="00340BB2"/>
    <w:rsid w:val="003428B0"/>
    <w:rsid w:val="003517C3"/>
    <w:rsid w:val="00353B8E"/>
    <w:rsid w:val="00355502"/>
    <w:rsid w:val="0035575A"/>
    <w:rsid w:val="00356BC7"/>
    <w:rsid w:val="00357A20"/>
    <w:rsid w:val="003623D1"/>
    <w:rsid w:val="0036271B"/>
    <w:rsid w:val="00363530"/>
    <w:rsid w:val="00364EFB"/>
    <w:rsid w:val="003651D0"/>
    <w:rsid w:val="00365499"/>
    <w:rsid w:val="00372F06"/>
    <w:rsid w:val="0037522C"/>
    <w:rsid w:val="003754C6"/>
    <w:rsid w:val="00375A3E"/>
    <w:rsid w:val="00377743"/>
    <w:rsid w:val="00377CC7"/>
    <w:rsid w:val="003825D0"/>
    <w:rsid w:val="00382FAF"/>
    <w:rsid w:val="00390F0E"/>
    <w:rsid w:val="0039115F"/>
    <w:rsid w:val="00391647"/>
    <w:rsid w:val="003923FB"/>
    <w:rsid w:val="0039277A"/>
    <w:rsid w:val="00392C0A"/>
    <w:rsid w:val="00393127"/>
    <w:rsid w:val="003954E2"/>
    <w:rsid w:val="00396F6A"/>
    <w:rsid w:val="003972E0"/>
    <w:rsid w:val="003A1EC2"/>
    <w:rsid w:val="003A2972"/>
    <w:rsid w:val="003A52D7"/>
    <w:rsid w:val="003A59C7"/>
    <w:rsid w:val="003A5A16"/>
    <w:rsid w:val="003A5FED"/>
    <w:rsid w:val="003B3BB5"/>
    <w:rsid w:val="003B5B38"/>
    <w:rsid w:val="003B72E8"/>
    <w:rsid w:val="003C0657"/>
    <w:rsid w:val="003C0D65"/>
    <w:rsid w:val="003C17C1"/>
    <w:rsid w:val="003C18C9"/>
    <w:rsid w:val="003C2819"/>
    <w:rsid w:val="003C2CC4"/>
    <w:rsid w:val="003C45DF"/>
    <w:rsid w:val="003C655D"/>
    <w:rsid w:val="003C7F9C"/>
    <w:rsid w:val="003D4B23"/>
    <w:rsid w:val="003E5F65"/>
    <w:rsid w:val="003F23A4"/>
    <w:rsid w:val="003F5900"/>
    <w:rsid w:val="003F5B52"/>
    <w:rsid w:val="003F5E99"/>
    <w:rsid w:val="003F66F3"/>
    <w:rsid w:val="003F772A"/>
    <w:rsid w:val="004030C5"/>
    <w:rsid w:val="00403EC6"/>
    <w:rsid w:val="00406CD4"/>
    <w:rsid w:val="00407CED"/>
    <w:rsid w:val="004264D7"/>
    <w:rsid w:val="00430086"/>
    <w:rsid w:val="00430918"/>
    <w:rsid w:val="004325CB"/>
    <w:rsid w:val="00433B74"/>
    <w:rsid w:val="004344FF"/>
    <w:rsid w:val="004351F9"/>
    <w:rsid w:val="00437F3F"/>
    <w:rsid w:val="004434E1"/>
    <w:rsid w:val="00445C9D"/>
    <w:rsid w:val="00446DE4"/>
    <w:rsid w:val="00447440"/>
    <w:rsid w:val="00447900"/>
    <w:rsid w:val="00452D10"/>
    <w:rsid w:val="00454036"/>
    <w:rsid w:val="004562AA"/>
    <w:rsid w:val="00460917"/>
    <w:rsid w:val="00460B22"/>
    <w:rsid w:val="0046101B"/>
    <w:rsid w:val="0046443A"/>
    <w:rsid w:val="004653B3"/>
    <w:rsid w:val="004654C4"/>
    <w:rsid w:val="0046668F"/>
    <w:rsid w:val="0046773D"/>
    <w:rsid w:val="0046788D"/>
    <w:rsid w:val="00475CD0"/>
    <w:rsid w:val="0048028B"/>
    <w:rsid w:val="00480BD4"/>
    <w:rsid w:val="0048304D"/>
    <w:rsid w:val="00484A9B"/>
    <w:rsid w:val="00486DA4"/>
    <w:rsid w:val="00492AF9"/>
    <w:rsid w:val="0049304E"/>
    <w:rsid w:val="0049407F"/>
    <w:rsid w:val="00494C77"/>
    <w:rsid w:val="00497711"/>
    <w:rsid w:val="004A1710"/>
    <w:rsid w:val="004B2C9D"/>
    <w:rsid w:val="004B33C4"/>
    <w:rsid w:val="004B5939"/>
    <w:rsid w:val="004B692E"/>
    <w:rsid w:val="004B73D6"/>
    <w:rsid w:val="004B7AFD"/>
    <w:rsid w:val="004C39D0"/>
    <w:rsid w:val="004C43DB"/>
    <w:rsid w:val="004C4F1A"/>
    <w:rsid w:val="004C6D6D"/>
    <w:rsid w:val="004C7147"/>
    <w:rsid w:val="004D0012"/>
    <w:rsid w:val="004D5FB6"/>
    <w:rsid w:val="004D6DCE"/>
    <w:rsid w:val="004E0C5D"/>
    <w:rsid w:val="004E3603"/>
    <w:rsid w:val="004F4240"/>
    <w:rsid w:val="004F52AA"/>
    <w:rsid w:val="004F5854"/>
    <w:rsid w:val="004F77CD"/>
    <w:rsid w:val="005020FC"/>
    <w:rsid w:val="00502365"/>
    <w:rsid w:val="005042BC"/>
    <w:rsid w:val="00504FEC"/>
    <w:rsid w:val="00507277"/>
    <w:rsid w:val="00507CF1"/>
    <w:rsid w:val="00515057"/>
    <w:rsid w:val="00522177"/>
    <w:rsid w:val="005223CB"/>
    <w:rsid w:val="00524D87"/>
    <w:rsid w:val="005258D4"/>
    <w:rsid w:val="0052708C"/>
    <w:rsid w:val="00527910"/>
    <w:rsid w:val="00530360"/>
    <w:rsid w:val="005342CE"/>
    <w:rsid w:val="00534655"/>
    <w:rsid w:val="0053653D"/>
    <w:rsid w:val="00536DFA"/>
    <w:rsid w:val="005371B2"/>
    <w:rsid w:val="00541A44"/>
    <w:rsid w:val="00542001"/>
    <w:rsid w:val="005420F2"/>
    <w:rsid w:val="00542505"/>
    <w:rsid w:val="00542C8D"/>
    <w:rsid w:val="005434EF"/>
    <w:rsid w:val="0054641F"/>
    <w:rsid w:val="005475D4"/>
    <w:rsid w:val="00550CA7"/>
    <w:rsid w:val="00552179"/>
    <w:rsid w:val="00555CDB"/>
    <w:rsid w:val="005603DA"/>
    <w:rsid w:val="00561B6D"/>
    <w:rsid w:val="005624D6"/>
    <w:rsid w:val="00562D45"/>
    <w:rsid w:val="0056615B"/>
    <w:rsid w:val="00567DFB"/>
    <w:rsid w:val="005704BE"/>
    <w:rsid w:val="00571DAA"/>
    <w:rsid w:val="005739EC"/>
    <w:rsid w:val="00573E39"/>
    <w:rsid w:val="00576F7D"/>
    <w:rsid w:val="0058129D"/>
    <w:rsid w:val="00590144"/>
    <w:rsid w:val="005904DA"/>
    <w:rsid w:val="0059680B"/>
    <w:rsid w:val="0059682C"/>
    <w:rsid w:val="005A2489"/>
    <w:rsid w:val="005A64DD"/>
    <w:rsid w:val="005A72B2"/>
    <w:rsid w:val="005B07CF"/>
    <w:rsid w:val="005B09F0"/>
    <w:rsid w:val="005B0CED"/>
    <w:rsid w:val="005B1BA3"/>
    <w:rsid w:val="005B3DB3"/>
    <w:rsid w:val="005B4B57"/>
    <w:rsid w:val="005B528A"/>
    <w:rsid w:val="005C3E89"/>
    <w:rsid w:val="005C4CB5"/>
    <w:rsid w:val="005C6B5A"/>
    <w:rsid w:val="005D0C6C"/>
    <w:rsid w:val="005D1BB4"/>
    <w:rsid w:val="005D68BD"/>
    <w:rsid w:val="005E0752"/>
    <w:rsid w:val="005E3444"/>
    <w:rsid w:val="005E3D28"/>
    <w:rsid w:val="005E53FE"/>
    <w:rsid w:val="005E5946"/>
    <w:rsid w:val="005E6758"/>
    <w:rsid w:val="005F3A39"/>
    <w:rsid w:val="005F5C2F"/>
    <w:rsid w:val="005F7BB1"/>
    <w:rsid w:val="00602490"/>
    <w:rsid w:val="00603E3C"/>
    <w:rsid w:val="0061166C"/>
    <w:rsid w:val="00611FC4"/>
    <w:rsid w:val="00612812"/>
    <w:rsid w:val="0061549F"/>
    <w:rsid w:val="006176FB"/>
    <w:rsid w:val="00622659"/>
    <w:rsid w:val="006260F3"/>
    <w:rsid w:val="00626B06"/>
    <w:rsid w:val="00626E5B"/>
    <w:rsid w:val="006279AC"/>
    <w:rsid w:val="006314B1"/>
    <w:rsid w:val="00632200"/>
    <w:rsid w:val="00632969"/>
    <w:rsid w:val="00632EAA"/>
    <w:rsid w:val="0063419C"/>
    <w:rsid w:val="00635381"/>
    <w:rsid w:val="00636986"/>
    <w:rsid w:val="00637542"/>
    <w:rsid w:val="00637558"/>
    <w:rsid w:val="00640B26"/>
    <w:rsid w:val="00641194"/>
    <w:rsid w:val="00644B80"/>
    <w:rsid w:val="00645A0B"/>
    <w:rsid w:val="00645DED"/>
    <w:rsid w:val="00647169"/>
    <w:rsid w:val="006471F6"/>
    <w:rsid w:val="006500BA"/>
    <w:rsid w:val="006506DB"/>
    <w:rsid w:val="00653E36"/>
    <w:rsid w:val="006555DD"/>
    <w:rsid w:val="006603BB"/>
    <w:rsid w:val="00660C7D"/>
    <w:rsid w:val="00661016"/>
    <w:rsid w:val="0066179D"/>
    <w:rsid w:val="00662121"/>
    <w:rsid w:val="00662E09"/>
    <w:rsid w:val="006632F5"/>
    <w:rsid w:val="00664D67"/>
    <w:rsid w:val="00670CF0"/>
    <w:rsid w:val="00673C50"/>
    <w:rsid w:val="00675F87"/>
    <w:rsid w:val="00684954"/>
    <w:rsid w:val="00685AD0"/>
    <w:rsid w:val="00687AF0"/>
    <w:rsid w:val="00690CD6"/>
    <w:rsid w:val="0069257C"/>
    <w:rsid w:val="00695F8E"/>
    <w:rsid w:val="006A35DA"/>
    <w:rsid w:val="006A3932"/>
    <w:rsid w:val="006A63E3"/>
    <w:rsid w:val="006A6F80"/>
    <w:rsid w:val="006A7392"/>
    <w:rsid w:val="006B1C55"/>
    <w:rsid w:val="006B4518"/>
    <w:rsid w:val="006B6D9C"/>
    <w:rsid w:val="006C0D34"/>
    <w:rsid w:val="006C1D8F"/>
    <w:rsid w:val="006C251B"/>
    <w:rsid w:val="006C2F7E"/>
    <w:rsid w:val="006C57FD"/>
    <w:rsid w:val="006D2A3E"/>
    <w:rsid w:val="006D3560"/>
    <w:rsid w:val="006D7700"/>
    <w:rsid w:val="006E3B65"/>
    <w:rsid w:val="006E564B"/>
    <w:rsid w:val="006F54B7"/>
    <w:rsid w:val="0070026C"/>
    <w:rsid w:val="007025C0"/>
    <w:rsid w:val="0070691D"/>
    <w:rsid w:val="00707E5C"/>
    <w:rsid w:val="00707F04"/>
    <w:rsid w:val="00711637"/>
    <w:rsid w:val="007134CF"/>
    <w:rsid w:val="00714F4F"/>
    <w:rsid w:val="00722A5B"/>
    <w:rsid w:val="00723978"/>
    <w:rsid w:val="00724964"/>
    <w:rsid w:val="0072632A"/>
    <w:rsid w:val="00734CCA"/>
    <w:rsid w:val="00736A6E"/>
    <w:rsid w:val="00736E6A"/>
    <w:rsid w:val="007373A3"/>
    <w:rsid w:val="00737407"/>
    <w:rsid w:val="007416F3"/>
    <w:rsid w:val="00741F59"/>
    <w:rsid w:val="00742129"/>
    <w:rsid w:val="0074697D"/>
    <w:rsid w:val="00747C8C"/>
    <w:rsid w:val="007528EF"/>
    <w:rsid w:val="00753344"/>
    <w:rsid w:val="0075472B"/>
    <w:rsid w:val="00755A0C"/>
    <w:rsid w:val="00755EBE"/>
    <w:rsid w:val="0076047E"/>
    <w:rsid w:val="00760C16"/>
    <w:rsid w:val="00761619"/>
    <w:rsid w:val="0076177C"/>
    <w:rsid w:val="00763C33"/>
    <w:rsid w:val="00763F5B"/>
    <w:rsid w:val="00764D34"/>
    <w:rsid w:val="00765191"/>
    <w:rsid w:val="00766322"/>
    <w:rsid w:val="00770BCD"/>
    <w:rsid w:val="00771904"/>
    <w:rsid w:val="00773353"/>
    <w:rsid w:val="0077372A"/>
    <w:rsid w:val="00774129"/>
    <w:rsid w:val="00774E8F"/>
    <w:rsid w:val="00774EAA"/>
    <w:rsid w:val="00777C27"/>
    <w:rsid w:val="0078123B"/>
    <w:rsid w:val="0078333D"/>
    <w:rsid w:val="007839A0"/>
    <w:rsid w:val="00786434"/>
    <w:rsid w:val="00790689"/>
    <w:rsid w:val="00790791"/>
    <w:rsid w:val="007932E3"/>
    <w:rsid w:val="007944A3"/>
    <w:rsid w:val="007959DD"/>
    <w:rsid w:val="00796F36"/>
    <w:rsid w:val="007A2674"/>
    <w:rsid w:val="007A2CDB"/>
    <w:rsid w:val="007A323D"/>
    <w:rsid w:val="007A345F"/>
    <w:rsid w:val="007A62EC"/>
    <w:rsid w:val="007A6D76"/>
    <w:rsid w:val="007B1A7E"/>
    <w:rsid w:val="007B2BA8"/>
    <w:rsid w:val="007B3C6D"/>
    <w:rsid w:val="007B5E15"/>
    <w:rsid w:val="007B6BA5"/>
    <w:rsid w:val="007C2C0D"/>
    <w:rsid w:val="007C3162"/>
    <w:rsid w:val="007C3390"/>
    <w:rsid w:val="007C3FFE"/>
    <w:rsid w:val="007C4F4B"/>
    <w:rsid w:val="007C644D"/>
    <w:rsid w:val="007C71BC"/>
    <w:rsid w:val="007C7FA3"/>
    <w:rsid w:val="007D01B5"/>
    <w:rsid w:val="007D1339"/>
    <w:rsid w:val="007D4EF3"/>
    <w:rsid w:val="007D722E"/>
    <w:rsid w:val="007D7BC6"/>
    <w:rsid w:val="007E1BE6"/>
    <w:rsid w:val="007E4BD3"/>
    <w:rsid w:val="007E5D7C"/>
    <w:rsid w:val="007F2A54"/>
    <w:rsid w:val="007F4FEF"/>
    <w:rsid w:val="007F5104"/>
    <w:rsid w:val="007F6611"/>
    <w:rsid w:val="007F6B9E"/>
    <w:rsid w:val="007F6D17"/>
    <w:rsid w:val="007F7D82"/>
    <w:rsid w:val="00800024"/>
    <w:rsid w:val="00800875"/>
    <w:rsid w:val="00801952"/>
    <w:rsid w:val="008037A2"/>
    <w:rsid w:val="00803FD4"/>
    <w:rsid w:val="00807E8D"/>
    <w:rsid w:val="00816341"/>
    <w:rsid w:val="00816370"/>
    <w:rsid w:val="00816582"/>
    <w:rsid w:val="00817599"/>
    <w:rsid w:val="008175E9"/>
    <w:rsid w:val="00820A2D"/>
    <w:rsid w:val="00822FCE"/>
    <w:rsid w:val="008242D7"/>
    <w:rsid w:val="00825B97"/>
    <w:rsid w:val="00825DA1"/>
    <w:rsid w:val="00826410"/>
    <w:rsid w:val="00826C09"/>
    <w:rsid w:val="0083043E"/>
    <w:rsid w:val="0083069A"/>
    <w:rsid w:val="00832A1D"/>
    <w:rsid w:val="008337F4"/>
    <w:rsid w:val="00834479"/>
    <w:rsid w:val="00843AB2"/>
    <w:rsid w:val="00846809"/>
    <w:rsid w:val="00852C3A"/>
    <w:rsid w:val="00854873"/>
    <w:rsid w:val="00856BCC"/>
    <w:rsid w:val="0086107D"/>
    <w:rsid w:val="00864251"/>
    <w:rsid w:val="00871B13"/>
    <w:rsid w:val="00871FD5"/>
    <w:rsid w:val="0087259D"/>
    <w:rsid w:val="0087351D"/>
    <w:rsid w:val="008754FF"/>
    <w:rsid w:val="00877071"/>
    <w:rsid w:val="00881213"/>
    <w:rsid w:val="00884C1C"/>
    <w:rsid w:val="00886C92"/>
    <w:rsid w:val="008979B1"/>
    <w:rsid w:val="008A0B75"/>
    <w:rsid w:val="008A1542"/>
    <w:rsid w:val="008A39E6"/>
    <w:rsid w:val="008A6B25"/>
    <w:rsid w:val="008A6C4F"/>
    <w:rsid w:val="008A7679"/>
    <w:rsid w:val="008A7AB3"/>
    <w:rsid w:val="008B2DB8"/>
    <w:rsid w:val="008B65FB"/>
    <w:rsid w:val="008C04F5"/>
    <w:rsid w:val="008C1A0E"/>
    <w:rsid w:val="008C3B3C"/>
    <w:rsid w:val="008C4283"/>
    <w:rsid w:val="008C4E36"/>
    <w:rsid w:val="008C6D16"/>
    <w:rsid w:val="008C74C3"/>
    <w:rsid w:val="008C7BF7"/>
    <w:rsid w:val="008D134F"/>
    <w:rsid w:val="008D3C75"/>
    <w:rsid w:val="008D5D05"/>
    <w:rsid w:val="008D6942"/>
    <w:rsid w:val="008E03BE"/>
    <w:rsid w:val="008E0E46"/>
    <w:rsid w:val="008E1DAE"/>
    <w:rsid w:val="008E295A"/>
    <w:rsid w:val="008E3BB8"/>
    <w:rsid w:val="008E4789"/>
    <w:rsid w:val="008F0214"/>
    <w:rsid w:val="008F2D9A"/>
    <w:rsid w:val="008F44B8"/>
    <w:rsid w:val="008F504A"/>
    <w:rsid w:val="008F6413"/>
    <w:rsid w:val="0090148A"/>
    <w:rsid w:val="00904EBC"/>
    <w:rsid w:val="00905052"/>
    <w:rsid w:val="00910F87"/>
    <w:rsid w:val="00912BA7"/>
    <w:rsid w:val="0091320D"/>
    <w:rsid w:val="00915320"/>
    <w:rsid w:val="0091645B"/>
    <w:rsid w:val="00923019"/>
    <w:rsid w:val="00923AA2"/>
    <w:rsid w:val="00924B63"/>
    <w:rsid w:val="00925F4B"/>
    <w:rsid w:val="009263E8"/>
    <w:rsid w:val="00931D1B"/>
    <w:rsid w:val="00933FAB"/>
    <w:rsid w:val="009363B6"/>
    <w:rsid w:val="00940F46"/>
    <w:rsid w:val="009410DA"/>
    <w:rsid w:val="00941ECC"/>
    <w:rsid w:val="00945A5D"/>
    <w:rsid w:val="00946A0D"/>
    <w:rsid w:val="0094762B"/>
    <w:rsid w:val="00954F3C"/>
    <w:rsid w:val="00955109"/>
    <w:rsid w:val="00963B67"/>
    <w:rsid w:val="00963CBA"/>
    <w:rsid w:val="009701ED"/>
    <w:rsid w:val="00971710"/>
    <w:rsid w:val="00973A43"/>
    <w:rsid w:val="0097431F"/>
    <w:rsid w:val="0097639C"/>
    <w:rsid w:val="00982A54"/>
    <w:rsid w:val="00984471"/>
    <w:rsid w:val="00985F37"/>
    <w:rsid w:val="009879EA"/>
    <w:rsid w:val="009903C1"/>
    <w:rsid w:val="009908A5"/>
    <w:rsid w:val="0099124E"/>
    <w:rsid w:val="00991261"/>
    <w:rsid w:val="00993EE1"/>
    <w:rsid w:val="00995386"/>
    <w:rsid w:val="009953D5"/>
    <w:rsid w:val="0099545C"/>
    <w:rsid w:val="009A12C6"/>
    <w:rsid w:val="009A1D29"/>
    <w:rsid w:val="009A2A69"/>
    <w:rsid w:val="009B5F0D"/>
    <w:rsid w:val="009C0FA4"/>
    <w:rsid w:val="009C6058"/>
    <w:rsid w:val="009C6168"/>
    <w:rsid w:val="009C61B6"/>
    <w:rsid w:val="009C6394"/>
    <w:rsid w:val="009C6939"/>
    <w:rsid w:val="009D0E2A"/>
    <w:rsid w:val="009D0F0E"/>
    <w:rsid w:val="009D1AAE"/>
    <w:rsid w:val="009D1F7D"/>
    <w:rsid w:val="009D634E"/>
    <w:rsid w:val="009E1560"/>
    <w:rsid w:val="009E7EDE"/>
    <w:rsid w:val="009F0F06"/>
    <w:rsid w:val="009F35DB"/>
    <w:rsid w:val="009F4FC5"/>
    <w:rsid w:val="009F7CD7"/>
    <w:rsid w:val="00A016B0"/>
    <w:rsid w:val="00A02C71"/>
    <w:rsid w:val="00A0646E"/>
    <w:rsid w:val="00A068B8"/>
    <w:rsid w:val="00A10D41"/>
    <w:rsid w:val="00A1427D"/>
    <w:rsid w:val="00A1716E"/>
    <w:rsid w:val="00A201E8"/>
    <w:rsid w:val="00A235F1"/>
    <w:rsid w:val="00A31A79"/>
    <w:rsid w:val="00A34B00"/>
    <w:rsid w:val="00A356B4"/>
    <w:rsid w:val="00A36464"/>
    <w:rsid w:val="00A3777A"/>
    <w:rsid w:val="00A45A37"/>
    <w:rsid w:val="00A50077"/>
    <w:rsid w:val="00A52922"/>
    <w:rsid w:val="00A5375E"/>
    <w:rsid w:val="00A538E5"/>
    <w:rsid w:val="00A5422A"/>
    <w:rsid w:val="00A54CA8"/>
    <w:rsid w:val="00A60196"/>
    <w:rsid w:val="00A60B3E"/>
    <w:rsid w:val="00A6199C"/>
    <w:rsid w:val="00A62147"/>
    <w:rsid w:val="00A622AF"/>
    <w:rsid w:val="00A6236D"/>
    <w:rsid w:val="00A65F4A"/>
    <w:rsid w:val="00A66355"/>
    <w:rsid w:val="00A66636"/>
    <w:rsid w:val="00A6730E"/>
    <w:rsid w:val="00A71B77"/>
    <w:rsid w:val="00A72F22"/>
    <w:rsid w:val="00A744D7"/>
    <w:rsid w:val="00A748A6"/>
    <w:rsid w:val="00A74A46"/>
    <w:rsid w:val="00A753A9"/>
    <w:rsid w:val="00A75D0E"/>
    <w:rsid w:val="00A75EC9"/>
    <w:rsid w:val="00A77491"/>
    <w:rsid w:val="00A810D4"/>
    <w:rsid w:val="00A83451"/>
    <w:rsid w:val="00A83538"/>
    <w:rsid w:val="00A841F8"/>
    <w:rsid w:val="00A8523D"/>
    <w:rsid w:val="00A865E5"/>
    <w:rsid w:val="00A86F65"/>
    <w:rsid w:val="00A879A4"/>
    <w:rsid w:val="00A87B71"/>
    <w:rsid w:val="00A9244A"/>
    <w:rsid w:val="00AA1D9A"/>
    <w:rsid w:val="00AA32EB"/>
    <w:rsid w:val="00AA6307"/>
    <w:rsid w:val="00AA6AEB"/>
    <w:rsid w:val="00AA7616"/>
    <w:rsid w:val="00AB382F"/>
    <w:rsid w:val="00AB393C"/>
    <w:rsid w:val="00AB47D1"/>
    <w:rsid w:val="00AB4CF1"/>
    <w:rsid w:val="00AB547D"/>
    <w:rsid w:val="00AB5E15"/>
    <w:rsid w:val="00AC0069"/>
    <w:rsid w:val="00AC7F82"/>
    <w:rsid w:val="00AD34EE"/>
    <w:rsid w:val="00AD5498"/>
    <w:rsid w:val="00AD55FC"/>
    <w:rsid w:val="00AD564C"/>
    <w:rsid w:val="00AD584B"/>
    <w:rsid w:val="00AD7C88"/>
    <w:rsid w:val="00AE45DE"/>
    <w:rsid w:val="00AF0878"/>
    <w:rsid w:val="00AF2F9D"/>
    <w:rsid w:val="00AF5174"/>
    <w:rsid w:val="00AF5853"/>
    <w:rsid w:val="00AF6710"/>
    <w:rsid w:val="00B013E6"/>
    <w:rsid w:val="00B04D66"/>
    <w:rsid w:val="00B06056"/>
    <w:rsid w:val="00B066BD"/>
    <w:rsid w:val="00B10C19"/>
    <w:rsid w:val="00B1157C"/>
    <w:rsid w:val="00B13914"/>
    <w:rsid w:val="00B1501F"/>
    <w:rsid w:val="00B155DC"/>
    <w:rsid w:val="00B26710"/>
    <w:rsid w:val="00B26B3C"/>
    <w:rsid w:val="00B30179"/>
    <w:rsid w:val="00B3317B"/>
    <w:rsid w:val="00B366AB"/>
    <w:rsid w:val="00B36913"/>
    <w:rsid w:val="00B41384"/>
    <w:rsid w:val="00B41F75"/>
    <w:rsid w:val="00B43422"/>
    <w:rsid w:val="00B4398E"/>
    <w:rsid w:val="00B4603C"/>
    <w:rsid w:val="00B52157"/>
    <w:rsid w:val="00B5392B"/>
    <w:rsid w:val="00B560D2"/>
    <w:rsid w:val="00B56C20"/>
    <w:rsid w:val="00B61827"/>
    <w:rsid w:val="00B64FDB"/>
    <w:rsid w:val="00B71B78"/>
    <w:rsid w:val="00B71E2B"/>
    <w:rsid w:val="00B73DA8"/>
    <w:rsid w:val="00B74F7C"/>
    <w:rsid w:val="00B75CA5"/>
    <w:rsid w:val="00B75E05"/>
    <w:rsid w:val="00B76F2A"/>
    <w:rsid w:val="00B81E12"/>
    <w:rsid w:val="00B822E7"/>
    <w:rsid w:val="00B84AAC"/>
    <w:rsid w:val="00B863DC"/>
    <w:rsid w:val="00B87012"/>
    <w:rsid w:val="00B879B1"/>
    <w:rsid w:val="00B90F54"/>
    <w:rsid w:val="00B91CC3"/>
    <w:rsid w:val="00B92A0C"/>
    <w:rsid w:val="00B93068"/>
    <w:rsid w:val="00B9560E"/>
    <w:rsid w:val="00BA1DA3"/>
    <w:rsid w:val="00BA413B"/>
    <w:rsid w:val="00BA52D9"/>
    <w:rsid w:val="00BA5DE9"/>
    <w:rsid w:val="00BA7096"/>
    <w:rsid w:val="00BA7462"/>
    <w:rsid w:val="00BA758C"/>
    <w:rsid w:val="00BB1452"/>
    <w:rsid w:val="00BB176D"/>
    <w:rsid w:val="00BB183E"/>
    <w:rsid w:val="00BB3B28"/>
    <w:rsid w:val="00BB7839"/>
    <w:rsid w:val="00BB7BCE"/>
    <w:rsid w:val="00BC46B3"/>
    <w:rsid w:val="00BC4CB4"/>
    <w:rsid w:val="00BC5520"/>
    <w:rsid w:val="00BC5FC4"/>
    <w:rsid w:val="00BC74E9"/>
    <w:rsid w:val="00BD41F8"/>
    <w:rsid w:val="00BD7EBA"/>
    <w:rsid w:val="00BE14E7"/>
    <w:rsid w:val="00BE1FF8"/>
    <w:rsid w:val="00BE47B0"/>
    <w:rsid w:val="00BE50CA"/>
    <w:rsid w:val="00BE5D96"/>
    <w:rsid w:val="00BE618E"/>
    <w:rsid w:val="00BE6311"/>
    <w:rsid w:val="00BE6F90"/>
    <w:rsid w:val="00BF1E50"/>
    <w:rsid w:val="00BF5205"/>
    <w:rsid w:val="00BF797D"/>
    <w:rsid w:val="00C001C2"/>
    <w:rsid w:val="00C0263F"/>
    <w:rsid w:val="00C03B44"/>
    <w:rsid w:val="00C060D3"/>
    <w:rsid w:val="00C10B00"/>
    <w:rsid w:val="00C13A85"/>
    <w:rsid w:val="00C14E41"/>
    <w:rsid w:val="00C15A71"/>
    <w:rsid w:val="00C15BB7"/>
    <w:rsid w:val="00C20CF6"/>
    <w:rsid w:val="00C218A4"/>
    <w:rsid w:val="00C21A4B"/>
    <w:rsid w:val="00C23E4F"/>
    <w:rsid w:val="00C27E5F"/>
    <w:rsid w:val="00C31A32"/>
    <w:rsid w:val="00C36D37"/>
    <w:rsid w:val="00C37C37"/>
    <w:rsid w:val="00C37E31"/>
    <w:rsid w:val="00C42045"/>
    <w:rsid w:val="00C463DD"/>
    <w:rsid w:val="00C46D5B"/>
    <w:rsid w:val="00C519E2"/>
    <w:rsid w:val="00C5283C"/>
    <w:rsid w:val="00C537D5"/>
    <w:rsid w:val="00C539D8"/>
    <w:rsid w:val="00C53FAC"/>
    <w:rsid w:val="00C610EB"/>
    <w:rsid w:val="00C62F76"/>
    <w:rsid w:val="00C66D78"/>
    <w:rsid w:val="00C71A92"/>
    <w:rsid w:val="00C745C3"/>
    <w:rsid w:val="00C81212"/>
    <w:rsid w:val="00C81810"/>
    <w:rsid w:val="00C8235A"/>
    <w:rsid w:val="00C84FF1"/>
    <w:rsid w:val="00C86D64"/>
    <w:rsid w:val="00C86E64"/>
    <w:rsid w:val="00C87CE7"/>
    <w:rsid w:val="00C90019"/>
    <w:rsid w:val="00C91180"/>
    <w:rsid w:val="00C92AD1"/>
    <w:rsid w:val="00C93C11"/>
    <w:rsid w:val="00C94F7A"/>
    <w:rsid w:val="00C971F6"/>
    <w:rsid w:val="00CA049C"/>
    <w:rsid w:val="00CA272B"/>
    <w:rsid w:val="00CA381C"/>
    <w:rsid w:val="00CA4DF2"/>
    <w:rsid w:val="00CA74D3"/>
    <w:rsid w:val="00CB2158"/>
    <w:rsid w:val="00CB30F1"/>
    <w:rsid w:val="00CB6380"/>
    <w:rsid w:val="00CB7364"/>
    <w:rsid w:val="00CC11A6"/>
    <w:rsid w:val="00CC43C1"/>
    <w:rsid w:val="00CC4CA6"/>
    <w:rsid w:val="00CC5DB9"/>
    <w:rsid w:val="00CC7C7E"/>
    <w:rsid w:val="00CD0009"/>
    <w:rsid w:val="00CD30EE"/>
    <w:rsid w:val="00CD3225"/>
    <w:rsid w:val="00CD38FE"/>
    <w:rsid w:val="00CE0D77"/>
    <w:rsid w:val="00CE2B0A"/>
    <w:rsid w:val="00CE4083"/>
    <w:rsid w:val="00CE46BA"/>
    <w:rsid w:val="00CE4A8F"/>
    <w:rsid w:val="00CE4A94"/>
    <w:rsid w:val="00CE4B82"/>
    <w:rsid w:val="00CE63B1"/>
    <w:rsid w:val="00CE74ED"/>
    <w:rsid w:val="00CE7626"/>
    <w:rsid w:val="00CE7F8D"/>
    <w:rsid w:val="00CF11AE"/>
    <w:rsid w:val="00CF12F6"/>
    <w:rsid w:val="00CF4EB4"/>
    <w:rsid w:val="00CF5865"/>
    <w:rsid w:val="00CF5F63"/>
    <w:rsid w:val="00CF6F32"/>
    <w:rsid w:val="00CF778D"/>
    <w:rsid w:val="00D01C20"/>
    <w:rsid w:val="00D04B74"/>
    <w:rsid w:val="00D05BE2"/>
    <w:rsid w:val="00D0631B"/>
    <w:rsid w:val="00D06C3A"/>
    <w:rsid w:val="00D10E29"/>
    <w:rsid w:val="00D124FE"/>
    <w:rsid w:val="00D164BA"/>
    <w:rsid w:val="00D2031B"/>
    <w:rsid w:val="00D25E8C"/>
    <w:rsid w:val="00D25FE2"/>
    <w:rsid w:val="00D27461"/>
    <w:rsid w:val="00D27E89"/>
    <w:rsid w:val="00D3336B"/>
    <w:rsid w:val="00D352FD"/>
    <w:rsid w:val="00D366A7"/>
    <w:rsid w:val="00D37E80"/>
    <w:rsid w:val="00D42C29"/>
    <w:rsid w:val="00D43252"/>
    <w:rsid w:val="00D43593"/>
    <w:rsid w:val="00D46231"/>
    <w:rsid w:val="00D477C4"/>
    <w:rsid w:val="00D52CD5"/>
    <w:rsid w:val="00D5409C"/>
    <w:rsid w:val="00D558E3"/>
    <w:rsid w:val="00D55A6B"/>
    <w:rsid w:val="00D57C13"/>
    <w:rsid w:val="00D57FD9"/>
    <w:rsid w:val="00D60843"/>
    <w:rsid w:val="00D610C1"/>
    <w:rsid w:val="00D657F6"/>
    <w:rsid w:val="00D658FA"/>
    <w:rsid w:val="00D679C6"/>
    <w:rsid w:val="00D7217B"/>
    <w:rsid w:val="00D730E3"/>
    <w:rsid w:val="00D753D8"/>
    <w:rsid w:val="00D83AF1"/>
    <w:rsid w:val="00D853A9"/>
    <w:rsid w:val="00D91E6E"/>
    <w:rsid w:val="00D9274F"/>
    <w:rsid w:val="00D9552B"/>
    <w:rsid w:val="00D96248"/>
    <w:rsid w:val="00D96CC5"/>
    <w:rsid w:val="00D978C6"/>
    <w:rsid w:val="00D97B68"/>
    <w:rsid w:val="00D97B77"/>
    <w:rsid w:val="00DA0A3A"/>
    <w:rsid w:val="00DA1EB9"/>
    <w:rsid w:val="00DA6620"/>
    <w:rsid w:val="00DA67AD"/>
    <w:rsid w:val="00DA7F19"/>
    <w:rsid w:val="00DB0645"/>
    <w:rsid w:val="00DB108D"/>
    <w:rsid w:val="00DB1C61"/>
    <w:rsid w:val="00DB604E"/>
    <w:rsid w:val="00DB72BC"/>
    <w:rsid w:val="00DC487B"/>
    <w:rsid w:val="00DC56F2"/>
    <w:rsid w:val="00DC599B"/>
    <w:rsid w:val="00DC5BF4"/>
    <w:rsid w:val="00DC5EF6"/>
    <w:rsid w:val="00DD42A0"/>
    <w:rsid w:val="00DD5DA2"/>
    <w:rsid w:val="00DD63AE"/>
    <w:rsid w:val="00DE11A6"/>
    <w:rsid w:val="00DE136A"/>
    <w:rsid w:val="00DE236F"/>
    <w:rsid w:val="00DE3C0D"/>
    <w:rsid w:val="00DE3ECB"/>
    <w:rsid w:val="00DE4785"/>
    <w:rsid w:val="00DE7267"/>
    <w:rsid w:val="00DF0A4D"/>
    <w:rsid w:val="00DF1EE9"/>
    <w:rsid w:val="00DF3039"/>
    <w:rsid w:val="00DF3A04"/>
    <w:rsid w:val="00DF4518"/>
    <w:rsid w:val="00DF7C94"/>
    <w:rsid w:val="00E03DE5"/>
    <w:rsid w:val="00E04C0F"/>
    <w:rsid w:val="00E10201"/>
    <w:rsid w:val="00E10F84"/>
    <w:rsid w:val="00E11659"/>
    <w:rsid w:val="00E12018"/>
    <w:rsid w:val="00E130AB"/>
    <w:rsid w:val="00E1679E"/>
    <w:rsid w:val="00E21C1B"/>
    <w:rsid w:val="00E23240"/>
    <w:rsid w:val="00E239A0"/>
    <w:rsid w:val="00E26269"/>
    <w:rsid w:val="00E269BB"/>
    <w:rsid w:val="00E308AF"/>
    <w:rsid w:val="00E34E58"/>
    <w:rsid w:val="00E35BB9"/>
    <w:rsid w:val="00E36838"/>
    <w:rsid w:val="00E36C10"/>
    <w:rsid w:val="00E36EC1"/>
    <w:rsid w:val="00E40B76"/>
    <w:rsid w:val="00E412EA"/>
    <w:rsid w:val="00E4138E"/>
    <w:rsid w:val="00E42461"/>
    <w:rsid w:val="00E4443D"/>
    <w:rsid w:val="00E468B7"/>
    <w:rsid w:val="00E52EB0"/>
    <w:rsid w:val="00E53477"/>
    <w:rsid w:val="00E54352"/>
    <w:rsid w:val="00E54410"/>
    <w:rsid w:val="00E54645"/>
    <w:rsid w:val="00E54BD4"/>
    <w:rsid w:val="00E555F5"/>
    <w:rsid w:val="00E5644E"/>
    <w:rsid w:val="00E5691C"/>
    <w:rsid w:val="00E62068"/>
    <w:rsid w:val="00E631BA"/>
    <w:rsid w:val="00E63DE8"/>
    <w:rsid w:val="00E659B3"/>
    <w:rsid w:val="00E65A76"/>
    <w:rsid w:val="00E6613A"/>
    <w:rsid w:val="00E66E4F"/>
    <w:rsid w:val="00E71CC6"/>
    <w:rsid w:val="00E7260F"/>
    <w:rsid w:val="00E730D8"/>
    <w:rsid w:val="00E81230"/>
    <w:rsid w:val="00E851D2"/>
    <w:rsid w:val="00E8535A"/>
    <w:rsid w:val="00E864BE"/>
    <w:rsid w:val="00E87CAD"/>
    <w:rsid w:val="00E90424"/>
    <w:rsid w:val="00E90647"/>
    <w:rsid w:val="00E9352B"/>
    <w:rsid w:val="00E95438"/>
    <w:rsid w:val="00E96630"/>
    <w:rsid w:val="00E9731A"/>
    <w:rsid w:val="00EA0364"/>
    <w:rsid w:val="00EA2938"/>
    <w:rsid w:val="00EA48C4"/>
    <w:rsid w:val="00EA587E"/>
    <w:rsid w:val="00EA72F6"/>
    <w:rsid w:val="00EA772F"/>
    <w:rsid w:val="00EB08BA"/>
    <w:rsid w:val="00EB0B04"/>
    <w:rsid w:val="00EB0CF2"/>
    <w:rsid w:val="00EB224B"/>
    <w:rsid w:val="00EB2AE3"/>
    <w:rsid w:val="00EB4C06"/>
    <w:rsid w:val="00EB51D5"/>
    <w:rsid w:val="00EB65EF"/>
    <w:rsid w:val="00EB6832"/>
    <w:rsid w:val="00EB71BA"/>
    <w:rsid w:val="00EB798F"/>
    <w:rsid w:val="00EC14E9"/>
    <w:rsid w:val="00EC271A"/>
    <w:rsid w:val="00EC2937"/>
    <w:rsid w:val="00EC36A4"/>
    <w:rsid w:val="00EC4AA3"/>
    <w:rsid w:val="00EC755A"/>
    <w:rsid w:val="00ED0C83"/>
    <w:rsid w:val="00ED0F6B"/>
    <w:rsid w:val="00ED15C1"/>
    <w:rsid w:val="00ED1F13"/>
    <w:rsid w:val="00ED34CE"/>
    <w:rsid w:val="00ED3508"/>
    <w:rsid w:val="00ED3A92"/>
    <w:rsid w:val="00ED3F6F"/>
    <w:rsid w:val="00ED5DBC"/>
    <w:rsid w:val="00ED6586"/>
    <w:rsid w:val="00ED7A2A"/>
    <w:rsid w:val="00EE15B0"/>
    <w:rsid w:val="00EE2EFC"/>
    <w:rsid w:val="00EE4D59"/>
    <w:rsid w:val="00EE73C3"/>
    <w:rsid w:val="00EE73F9"/>
    <w:rsid w:val="00EE79C6"/>
    <w:rsid w:val="00EF1407"/>
    <w:rsid w:val="00EF1D7F"/>
    <w:rsid w:val="00EF4021"/>
    <w:rsid w:val="00EF4AAC"/>
    <w:rsid w:val="00EF6010"/>
    <w:rsid w:val="00EF6478"/>
    <w:rsid w:val="00EF71D8"/>
    <w:rsid w:val="00F017EF"/>
    <w:rsid w:val="00F01C57"/>
    <w:rsid w:val="00F03FA2"/>
    <w:rsid w:val="00F0400D"/>
    <w:rsid w:val="00F05283"/>
    <w:rsid w:val="00F07537"/>
    <w:rsid w:val="00F07619"/>
    <w:rsid w:val="00F0787F"/>
    <w:rsid w:val="00F07E12"/>
    <w:rsid w:val="00F1200D"/>
    <w:rsid w:val="00F12FE4"/>
    <w:rsid w:val="00F22B03"/>
    <w:rsid w:val="00F30469"/>
    <w:rsid w:val="00F30A8A"/>
    <w:rsid w:val="00F319C7"/>
    <w:rsid w:val="00F34267"/>
    <w:rsid w:val="00F34282"/>
    <w:rsid w:val="00F3574D"/>
    <w:rsid w:val="00F40295"/>
    <w:rsid w:val="00F40E75"/>
    <w:rsid w:val="00F412D3"/>
    <w:rsid w:val="00F4268E"/>
    <w:rsid w:val="00F444E3"/>
    <w:rsid w:val="00F4509A"/>
    <w:rsid w:val="00F5087E"/>
    <w:rsid w:val="00F51BAB"/>
    <w:rsid w:val="00F535BE"/>
    <w:rsid w:val="00F545B1"/>
    <w:rsid w:val="00F54674"/>
    <w:rsid w:val="00F54BAB"/>
    <w:rsid w:val="00F554A1"/>
    <w:rsid w:val="00F56F6A"/>
    <w:rsid w:val="00F5723F"/>
    <w:rsid w:val="00F64C95"/>
    <w:rsid w:val="00F669F0"/>
    <w:rsid w:val="00F707B7"/>
    <w:rsid w:val="00F73D28"/>
    <w:rsid w:val="00F74141"/>
    <w:rsid w:val="00F7542B"/>
    <w:rsid w:val="00F75A03"/>
    <w:rsid w:val="00F75E96"/>
    <w:rsid w:val="00F81199"/>
    <w:rsid w:val="00F81E4A"/>
    <w:rsid w:val="00F82AD7"/>
    <w:rsid w:val="00FA00A0"/>
    <w:rsid w:val="00FA0452"/>
    <w:rsid w:val="00FA3FB7"/>
    <w:rsid w:val="00FA7EDD"/>
    <w:rsid w:val="00FB172A"/>
    <w:rsid w:val="00FB5A37"/>
    <w:rsid w:val="00FB7793"/>
    <w:rsid w:val="00FC18AA"/>
    <w:rsid w:val="00FC215C"/>
    <w:rsid w:val="00FC3D3C"/>
    <w:rsid w:val="00FC68B7"/>
    <w:rsid w:val="00FC7A90"/>
    <w:rsid w:val="00FD0F6C"/>
    <w:rsid w:val="00FD0F7F"/>
    <w:rsid w:val="00FD3AFA"/>
    <w:rsid w:val="00FD3C5D"/>
    <w:rsid w:val="00FD3E70"/>
    <w:rsid w:val="00FD5349"/>
    <w:rsid w:val="00FD6B2B"/>
    <w:rsid w:val="00FE3552"/>
    <w:rsid w:val="00FE3EEA"/>
    <w:rsid w:val="00FE54C1"/>
    <w:rsid w:val="00FE681E"/>
    <w:rsid w:val="00FF03BB"/>
    <w:rsid w:val="00FF071A"/>
    <w:rsid w:val="00FF3E35"/>
    <w:rsid w:val="00FF51BF"/>
    <w:rsid w:val="00FF51FB"/>
    <w:rsid w:val="00FF6241"/>
    <w:rsid w:val="00FF67F6"/>
    <w:rsid w:val="00FF6B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66B04"/>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xapple-tab-span">
    <w:name w:val="xapple-tab-span"/>
    <w:basedOn w:val="DefaultParagraphFont"/>
    <w:rsid w:val="007C3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650">
      <w:bodyDiv w:val="1"/>
      <w:marLeft w:val="0"/>
      <w:marRight w:val="0"/>
      <w:marTop w:val="0"/>
      <w:marBottom w:val="0"/>
      <w:divBdr>
        <w:top w:val="none" w:sz="0" w:space="0" w:color="auto"/>
        <w:left w:val="none" w:sz="0" w:space="0" w:color="auto"/>
        <w:bottom w:val="none" w:sz="0" w:space="0" w:color="auto"/>
        <w:right w:val="none" w:sz="0" w:space="0" w:color="auto"/>
      </w:divBdr>
    </w:div>
    <w:div w:id="97606648">
      <w:bodyDiv w:val="1"/>
      <w:marLeft w:val="0"/>
      <w:marRight w:val="0"/>
      <w:marTop w:val="0"/>
      <w:marBottom w:val="0"/>
      <w:divBdr>
        <w:top w:val="none" w:sz="0" w:space="0" w:color="auto"/>
        <w:left w:val="none" w:sz="0" w:space="0" w:color="auto"/>
        <w:bottom w:val="none" w:sz="0" w:space="0" w:color="auto"/>
        <w:right w:val="none" w:sz="0" w:space="0" w:color="auto"/>
      </w:divBdr>
    </w:div>
    <w:div w:id="119540262">
      <w:bodyDiv w:val="1"/>
      <w:marLeft w:val="0"/>
      <w:marRight w:val="0"/>
      <w:marTop w:val="0"/>
      <w:marBottom w:val="0"/>
      <w:divBdr>
        <w:top w:val="none" w:sz="0" w:space="0" w:color="auto"/>
        <w:left w:val="none" w:sz="0" w:space="0" w:color="auto"/>
        <w:bottom w:val="none" w:sz="0" w:space="0" w:color="auto"/>
        <w:right w:val="none" w:sz="0" w:space="0" w:color="auto"/>
      </w:divBdr>
    </w:div>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376783722">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64710557">
      <w:bodyDiv w:val="1"/>
      <w:marLeft w:val="0"/>
      <w:marRight w:val="0"/>
      <w:marTop w:val="0"/>
      <w:marBottom w:val="0"/>
      <w:divBdr>
        <w:top w:val="none" w:sz="0" w:space="0" w:color="auto"/>
        <w:left w:val="none" w:sz="0" w:space="0" w:color="auto"/>
        <w:bottom w:val="none" w:sz="0" w:space="0" w:color="auto"/>
        <w:right w:val="none" w:sz="0" w:space="0" w:color="auto"/>
      </w:divBdr>
    </w:div>
    <w:div w:id="1207719102">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498418724">
      <w:bodyDiv w:val="1"/>
      <w:marLeft w:val="0"/>
      <w:marRight w:val="0"/>
      <w:marTop w:val="0"/>
      <w:marBottom w:val="0"/>
      <w:divBdr>
        <w:top w:val="none" w:sz="0" w:space="0" w:color="auto"/>
        <w:left w:val="none" w:sz="0" w:space="0" w:color="auto"/>
        <w:bottom w:val="none" w:sz="0" w:space="0" w:color="auto"/>
        <w:right w:val="none" w:sz="0" w:space="0" w:color="auto"/>
      </w:divBdr>
      <w:divsChild>
        <w:div w:id="896428198">
          <w:marLeft w:val="0"/>
          <w:marRight w:val="0"/>
          <w:marTop w:val="0"/>
          <w:marBottom w:val="0"/>
          <w:divBdr>
            <w:top w:val="none" w:sz="0" w:space="0" w:color="auto"/>
            <w:left w:val="none" w:sz="0" w:space="0" w:color="auto"/>
            <w:bottom w:val="none" w:sz="0" w:space="0" w:color="auto"/>
            <w:right w:val="none" w:sz="0" w:space="0" w:color="auto"/>
          </w:divBdr>
          <w:divsChild>
            <w:div w:id="1607694085">
              <w:marLeft w:val="0"/>
              <w:marRight w:val="0"/>
              <w:marTop w:val="0"/>
              <w:marBottom w:val="0"/>
              <w:divBdr>
                <w:top w:val="none" w:sz="0" w:space="0" w:color="auto"/>
                <w:left w:val="none" w:sz="0" w:space="0" w:color="auto"/>
                <w:bottom w:val="none" w:sz="0" w:space="0" w:color="auto"/>
                <w:right w:val="none" w:sz="0" w:space="0" w:color="auto"/>
              </w:divBdr>
              <w:divsChild>
                <w:div w:id="15590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1018">
      <w:bodyDiv w:val="1"/>
      <w:marLeft w:val="0"/>
      <w:marRight w:val="0"/>
      <w:marTop w:val="0"/>
      <w:marBottom w:val="0"/>
      <w:divBdr>
        <w:top w:val="none" w:sz="0" w:space="0" w:color="auto"/>
        <w:left w:val="none" w:sz="0" w:space="0" w:color="auto"/>
        <w:bottom w:val="none" w:sz="0" w:space="0" w:color="auto"/>
        <w:right w:val="none" w:sz="0" w:space="0" w:color="auto"/>
      </w:divBdr>
      <w:divsChild>
        <w:div w:id="157771414">
          <w:marLeft w:val="0"/>
          <w:marRight w:val="0"/>
          <w:marTop w:val="0"/>
          <w:marBottom w:val="0"/>
          <w:divBdr>
            <w:top w:val="none" w:sz="0" w:space="0" w:color="auto"/>
            <w:left w:val="none" w:sz="0" w:space="0" w:color="auto"/>
            <w:bottom w:val="none" w:sz="0" w:space="0" w:color="auto"/>
            <w:right w:val="none" w:sz="0" w:space="0" w:color="auto"/>
          </w:divBdr>
          <w:divsChild>
            <w:div w:id="368191181">
              <w:marLeft w:val="0"/>
              <w:marRight w:val="0"/>
              <w:marTop w:val="0"/>
              <w:marBottom w:val="0"/>
              <w:divBdr>
                <w:top w:val="none" w:sz="0" w:space="0" w:color="auto"/>
                <w:left w:val="none" w:sz="0" w:space="0" w:color="auto"/>
                <w:bottom w:val="none" w:sz="0" w:space="0" w:color="auto"/>
                <w:right w:val="none" w:sz="0" w:space="0" w:color="auto"/>
              </w:divBdr>
            </w:div>
          </w:divsChild>
        </w:div>
        <w:div w:id="1762986641">
          <w:marLeft w:val="0"/>
          <w:marRight w:val="0"/>
          <w:marTop w:val="0"/>
          <w:marBottom w:val="0"/>
          <w:divBdr>
            <w:top w:val="none" w:sz="0" w:space="0" w:color="auto"/>
            <w:left w:val="none" w:sz="0" w:space="0" w:color="auto"/>
            <w:bottom w:val="none" w:sz="0" w:space="0" w:color="auto"/>
            <w:right w:val="none" w:sz="0" w:space="0" w:color="auto"/>
          </w:divBdr>
          <w:divsChild>
            <w:div w:id="576284478">
              <w:marLeft w:val="0"/>
              <w:marRight w:val="0"/>
              <w:marTop w:val="0"/>
              <w:marBottom w:val="0"/>
              <w:divBdr>
                <w:top w:val="none" w:sz="0" w:space="0" w:color="auto"/>
                <w:left w:val="none" w:sz="0" w:space="0" w:color="auto"/>
                <w:bottom w:val="none" w:sz="0" w:space="0" w:color="auto"/>
                <w:right w:val="none" w:sz="0" w:space="0" w:color="auto"/>
              </w:divBdr>
            </w:div>
          </w:divsChild>
        </w:div>
        <w:div w:id="2113891076">
          <w:marLeft w:val="0"/>
          <w:marRight w:val="0"/>
          <w:marTop w:val="0"/>
          <w:marBottom w:val="0"/>
          <w:divBdr>
            <w:top w:val="none" w:sz="0" w:space="0" w:color="auto"/>
            <w:left w:val="none" w:sz="0" w:space="0" w:color="auto"/>
            <w:bottom w:val="none" w:sz="0" w:space="0" w:color="auto"/>
            <w:right w:val="none" w:sz="0" w:space="0" w:color="auto"/>
          </w:divBdr>
          <w:divsChild>
            <w:div w:id="1965960452">
              <w:marLeft w:val="0"/>
              <w:marRight w:val="0"/>
              <w:marTop w:val="0"/>
              <w:marBottom w:val="0"/>
              <w:divBdr>
                <w:top w:val="none" w:sz="0" w:space="0" w:color="auto"/>
                <w:left w:val="none" w:sz="0" w:space="0" w:color="auto"/>
                <w:bottom w:val="none" w:sz="0" w:space="0" w:color="auto"/>
                <w:right w:val="none" w:sz="0" w:space="0" w:color="auto"/>
              </w:divBdr>
            </w:div>
          </w:divsChild>
        </w:div>
        <w:div w:id="1383603835">
          <w:marLeft w:val="0"/>
          <w:marRight w:val="0"/>
          <w:marTop w:val="0"/>
          <w:marBottom w:val="0"/>
          <w:divBdr>
            <w:top w:val="none" w:sz="0" w:space="0" w:color="auto"/>
            <w:left w:val="none" w:sz="0" w:space="0" w:color="auto"/>
            <w:bottom w:val="none" w:sz="0" w:space="0" w:color="auto"/>
            <w:right w:val="none" w:sz="0" w:space="0" w:color="auto"/>
          </w:divBdr>
          <w:divsChild>
            <w:div w:id="256405931">
              <w:marLeft w:val="0"/>
              <w:marRight w:val="0"/>
              <w:marTop w:val="0"/>
              <w:marBottom w:val="0"/>
              <w:divBdr>
                <w:top w:val="none" w:sz="0" w:space="0" w:color="auto"/>
                <w:left w:val="none" w:sz="0" w:space="0" w:color="auto"/>
                <w:bottom w:val="none" w:sz="0" w:space="0" w:color="auto"/>
                <w:right w:val="none" w:sz="0" w:space="0" w:color="auto"/>
              </w:divBdr>
            </w:div>
          </w:divsChild>
        </w:div>
        <w:div w:id="1905214321">
          <w:marLeft w:val="0"/>
          <w:marRight w:val="0"/>
          <w:marTop w:val="0"/>
          <w:marBottom w:val="0"/>
          <w:divBdr>
            <w:top w:val="none" w:sz="0" w:space="0" w:color="auto"/>
            <w:left w:val="none" w:sz="0" w:space="0" w:color="auto"/>
            <w:bottom w:val="none" w:sz="0" w:space="0" w:color="auto"/>
            <w:right w:val="none" w:sz="0" w:space="0" w:color="auto"/>
          </w:divBdr>
          <w:divsChild>
            <w:div w:id="2024284545">
              <w:marLeft w:val="0"/>
              <w:marRight w:val="0"/>
              <w:marTop w:val="0"/>
              <w:marBottom w:val="0"/>
              <w:divBdr>
                <w:top w:val="none" w:sz="0" w:space="0" w:color="auto"/>
                <w:left w:val="none" w:sz="0" w:space="0" w:color="auto"/>
                <w:bottom w:val="none" w:sz="0" w:space="0" w:color="auto"/>
                <w:right w:val="none" w:sz="0" w:space="0" w:color="auto"/>
              </w:divBdr>
            </w:div>
          </w:divsChild>
        </w:div>
        <w:div w:id="1777168378">
          <w:marLeft w:val="0"/>
          <w:marRight w:val="0"/>
          <w:marTop w:val="0"/>
          <w:marBottom w:val="0"/>
          <w:divBdr>
            <w:top w:val="none" w:sz="0" w:space="0" w:color="auto"/>
            <w:left w:val="none" w:sz="0" w:space="0" w:color="auto"/>
            <w:bottom w:val="none" w:sz="0" w:space="0" w:color="auto"/>
            <w:right w:val="none" w:sz="0" w:space="0" w:color="auto"/>
          </w:divBdr>
          <w:divsChild>
            <w:div w:id="1378116441">
              <w:marLeft w:val="0"/>
              <w:marRight w:val="0"/>
              <w:marTop w:val="0"/>
              <w:marBottom w:val="0"/>
              <w:divBdr>
                <w:top w:val="none" w:sz="0" w:space="0" w:color="auto"/>
                <w:left w:val="none" w:sz="0" w:space="0" w:color="auto"/>
                <w:bottom w:val="none" w:sz="0" w:space="0" w:color="auto"/>
                <w:right w:val="none" w:sz="0" w:space="0" w:color="auto"/>
              </w:divBdr>
            </w:div>
          </w:divsChild>
        </w:div>
        <w:div w:id="704788492">
          <w:marLeft w:val="0"/>
          <w:marRight w:val="0"/>
          <w:marTop w:val="0"/>
          <w:marBottom w:val="0"/>
          <w:divBdr>
            <w:top w:val="none" w:sz="0" w:space="0" w:color="auto"/>
            <w:left w:val="none" w:sz="0" w:space="0" w:color="auto"/>
            <w:bottom w:val="none" w:sz="0" w:space="0" w:color="auto"/>
            <w:right w:val="none" w:sz="0" w:space="0" w:color="auto"/>
          </w:divBdr>
          <w:divsChild>
            <w:div w:id="2093115727">
              <w:marLeft w:val="0"/>
              <w:marRight w:val="0"/>
              <w:marTop w:val="0"/>
              <w:marBottom w:val="0"/>
              <w:divBdr>
                <w:top w:val="none" w:sz="0" w:space="0" w:color="auto"/>
                <w:left w:val="none" w:sz="0" w:space="0" w:color="auto"/>
                <w:bottom w:val="none" w:sz="0" w:space="0" w:color="auto"/>
                <w:right w:val="none" w:sz="0" w:space="0" w:color="auto"/>
              </w:divBdr>
            </w:div>
          </w:divsChild>
        </w:div>
        <w:div w:id="700202159">
          <w:marLeft w:val="0"/>
          <w:marRight w:val="0"/>
          <w:marTop w:val="0"/>
          <w:marBottom w:val="0"/>
          <w:divBdr>
            <w:top w:val="none" w:sz="0" w:space="0" w:color="auto"/>
            <w:left w:val="none" w:sz="0" w:space="0" w:color="auto"/>
            <w:bottom w:val="none" w:sz="0" w:space="0" w:color="auto"/>
            <w:right w:val="none" w:sz="0" w:space="0" w:color="auto"/>
          </w:divBdr>
          <w:divsChild>
            <w:div w:id="1265844576">
              <w:marLeft w:val="0"/>
              <w:marRight w:val="0"/>
              <w:marTop w:val="0"/>
              <w:marBottom w:val="0"/>
              <w:divBdr>
                <w:top w:val="none" w:sz="0" w:space="0" w:color="auto"/>
                <w:left w:val="none" w:sz="0" w:space="0" w:color="auto"/>
                <w:bottom w:val="none" w:sz="0" w:space="0" w:color="auto"/>
                <w:right w:val="none" w:sz="0" w:space="0" w:color="auto"/>
              </w:divBdr>
            </w:div>
          </w:divsChild>
        </w:div>
        <w:div w:id="67653693">
          <w:marLeft w:val="0"/>
          <w:marRight w:val="0"/>
          <w:marTop w:val="0"/>
          <w:marBottom w:val="0"/>
          <w:divBdr>
            <w:top w:val="none" w:sz="0" w:space="0" w:color="auto"/>
            <w:left w:val="none" w:sz="0" w:space="0" w:color="auto"/>
            <w:bottom w:val="none" w:sz="0" w:space="0" w:color="auto"/>
            <w:right w:val="none" w:sz="0" w:space="0" w:color="auto"/>
          </w:divBdr>
          <w:divsChild>
            <w:div w:id="3090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1729255354">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2520-A446-4DE0-A301-335820C2A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1CB83-063C-424A-9184-81ED88E7A81B}">
  <ds:schemaRefs>
    <ds:schemaRef ds:uri="http://schemas.microsoft.com/sharepoint/v3/contenttype/forms"/>
  </ds:schemaRefs>
</ds:datastoreItem>
</file>

<file path=customXml/itemProps3.xml><?xml version="1.0" encoding="utf-8"?>
<ds:datastoreItem xmlns:ds="http://schemas.openxmlformats.org/officeDocument/2006/customXml" ds:itemID="{FAC28224-8E49-43E4-A1E2-6726E2A032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2F4960-A337-45CF-9844-5A08B246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38</TotalTime>
  <Pages>7</Pages>
  <Words>2084</Words>
  <Characters>11882</Characters>
  <Application>Microsoft Office Word</Application>
  <DocSecurity>0</DocSecurity>
  <Lines>99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16</cp:revision>
  <cp:lastPrinted>2020-11-05T14:04:00Z</cp:lastPrinted>
  <dcterms:created xsi:type="dcterms:W3CDTF">2020-11-05T13:07:00Z</dcterms:created>
  <dcterms:modified xsi:type="dcterms:W3CDTF">2020-11-06T08:14:00Z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