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277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2236"/>
        <w:gridCol w:w="6286"/>
      </w:tblGrid>
      <w:tr w:rsidR="00AD155F" w:rsidRPr="00E44D34" w14:paraId="2E193F21" w14:textId="77777777" w:rsidTr="005300EF">
        <w:trPr>
          <w:trHeight w:val="851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FA8CC" w14:textId="77777777" w:rsidR="00AD155F" w:rsidRPr="00E44D34" w:rsidRDefault="00AD155F" w:rsidP="005300EF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B76CC" w14:textId="77777777" w:rsidR="00AD155F" w:rsidRPr="00E44D34" w:rsidRDefault="00AD155F" w:rsidP="005300EF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93E08" w14:textId="3F1D255F" w:rsidR="00AD155F" w:rsidRPr="00E44D34" w:rsidRDefault="00AD155F" w:rsidP="005300EF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UN/SCETDG/57/INF.</w:t>
            </w:r>
            <w:r w:rsidR="000A2D90">
              <w:rPr>
                <w:b/>
                <w:sz w:val="40"/>
                <w:szCs w:val="40"/>
              </w:rPr>
              <w:t>27</w:t>
            </w:r>
          </w:p>
          <w:p w14:paraId="07ADB584" w14:textId="77777777" w:rsidR="00AD155F" w:rsidRPr="00E44D34" w:rsidRDefault="00AD155F" w:rsidP="005300EF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AD155F" w:rsidRPr="00B762C5" w14:paraId="6146A10C" w14:textId="77777777" w:rsidTr="00372FE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3B194E" w14:textId="5598A45A" w:rsidR="00AD155F" w:rsidRPr="00B762C5" w:rsidRDefault="00AD155F" w:rsidP="00AD155F">
            <w:pPr>
              <w:tabs>
                <w:tab w:val="right" w:pos="9214"/>
              </w:tabs>
            </w:pPr>
            <w:r w:rsidRPr="00B762C5">
              <w:rPr>
                <w:b/>
                <w:sz w:val="24"/>
                <w:szCs w:val="24"/>
              </w:rPr>
              <w:t>Committee of Experts on the Transport of Dangerous Goods</w:t>
            </w:r>
            <w:r w:rsidRPr="00B762C5">
              <w:rPr>
                <w:b/>
                <w:sz w:val="24"/>
                <w:szCs w:val="24"/>
              </w:rPr>
              <w:tab/>
            </w:r>
            <w:r w:rsidRPr="00B762C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762C5">
              <w:rPr>
                <w:b/>
                <w:sz w:val="24"/>
                <w:szCs w:val="24"/>
              </w:rPr>
              <w:br/>
              <w:t>and Labelling of Chemicals</w:t>
            </w:r>
            <w:r w:rsidRPr="00B762C5">
              <w:rPr>
                <w:b/>
              </w:rPr>
              <w:tab/>
            </w:r>
            <w:r w:rsidR="005300EF">
              <w:rPr>
                <w:b/>
              </w:rPr>
              <w:t>14</w:t>
            </w:r>
            <w:r w:rsidRPr="00B762C5">
              <w:rPr>
                <w:b/>
              </w:rPr>
              <w:t xml:space="preserve"> October 2020</w:t>
            </w:r>
          </w:p>
        </w:tc>
      </w:tr>
      <w:tr w:rsidR="00AD155F" w:rsidRPr="00B762C5" w14:paraId="0974548D" w14:textId="77777777" w:rsidTr="00372FE4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D9D2FC9" w14:textId="77777777" w:rsidR="00AD155F" w:rsidRPr="00B762C5" w:rsidRDefault="00AD155F" w:rsidP="00AD155F">
            <w:pPr>
              <w:spacing w:before="40"/>
              <w:rPr>
                <w:b/>
              </w:rPr>
            </w:pPr>
            <w:r w:rsidRPr="00B762C5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23F1779" w14:textId="77777777" w:rsidR="00AD155F" w:rsidRPr="00B762C5" w:rsidRDefault="00AD155F" w:rsidP="00AD155F">
            <w:pPr>
              <w:spacing w:before="120"/>
              <w:rPr>
                <w:b/>
              </w:rPr>
            </w:pPr>
          </w:p>
        </w:tc>
      </w:tr>
      <w:tr w:rsidR="00AD155F" w:rsidRPr="00B762C5" w14:paraId="2074E781" w14:textId="77777777" w:rsidTr="00372FE4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EDC65A9" w14:textId="77777777" w:rsidR="00AD155F" w:rsidRPr="00B762C5" w:rsidRDefault="00AD155F" w:rsidP="00AD155F">
            <w:pPr>
              <w:spacing w:before="120" w:line="240" w:lineRule="auto"/>
              <w:ind w:left="34" w:hanging="34"/>
              <w:rPr>
                <w:b/>
              </w:rPr>
            </w:pPr>
            <w:r w:rsidRPr="00B762C5">
              <w:rPr>
                <w:b/>
              </w:rPr>
              <w:t>Fifty-seventh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834E653" w14:textId="77777777" w:rsidR="00AD155F" w:rsidRPr="00B762C5" w:rsidRDefault="00AD155F" w:rsidP="00AD155F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AD155F" w:rsidRPr="00B762C5" w14:paraId="0F7A8CCA" w14:textId="77777777" w:rsidTr="00372FE4">
        <w:trPr>
          <w:trHeight w:val="11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3FE2022D" w14:textId="44E3F460" w:rsidR="00AD155F" w:rsidRPr="00B762C5" w:rsidRDefault="00AD155F" w:rsidP="00AD155F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B762C5">
              <w:t>Geneva, 30 November</w:t>
            </w:r>
            <w:r w:rsidR="000A2D90" w:rsidRPr="00B762C5">
              <w:t>-</w:t>
            </w:r>
            <w:r w:rsidRPr="00B762C5">
              <w:t>8 December 2020</w:t>
            </w:r>
          </w:p>
          <w:p w14:paraId="048D542A" w14:textId="77777777" w:rsidR="00AD155F" w:rsidRPr="00B762C5" w:rsidRDefault="00AD155F" w:rsidP="00AD155F">
            <w:r w:rsidRPr="00B762C5">
              <w:t xml:space="preserve">Item 6 (e) of the provisional agenda </w:t>
            </w:r>
          </w:p>
          <w:p w14:paraId="5A42BD88" w14:textId="6ECE4A3C" w:rsidR="00AD155F" w:rsidRPr="00B762C5" w:rsidRDefault="00AD155F" w:rsidP="00EB4710">
            <w:pPr>
              <w:rPr>
                <w:b/>
                <w:bCs/>
              </w:rPr>
            </w:pPr>
            <w:r w:rsidRPr="00B762C5">
              <w:rPr>
                <w:b/>
                <w:bCs/>
              </w:rPr>
              <w:t xml:space="preserve">Miscellaneous proposals for amendments to the Model Regulations on the Transport of Dangerous Goods: </w:t>
            </w:r>
            <w:r w:rsidR="000A2D90" w:rsidRPr="00B762C5">
              <w:rPr>
                <w:b/>
                <w:bCs/>
              </w:rPr>
              <w:t>o</w:t>
            </w:r>
            <w:r w:rsidRPr="00B762C5">
              <w:rPr>
                <w:b/>
                <w:bCs/>
              </w:rPr>
              <w:t>ther miscellaneous proposals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D6DFC72" w14:textId="77777777" w:rsidR="00AD155F" w:rsidRPr="00B762C5" w:rsidRDefault="00AD155F" w:rsidP="00AD155F">
            <w:pPr>
              <w:spacing w:before="40"/>
              <w:rPr>
                <w:b/>
                <w:bCs/>
              </w:rPr>
            </w:pPr>
          </w:p>
        </w:tc>
      </w:tr>
    </w:tbl>
    <w:p w14:paraId="6598F0BD" w14:textId="1FD000EE" w:rsidR="00AB4A89" w:rsidRPr="00B762C5" w:rsidRDefault="00AB4A89" w:rsidP="009750CC">
      <w:pPr>
        <w:pStyle w:val="HChG"/>
      </w:pPr>
      <w:r w:rsidRPr="00B762C5">
        <w:tab/>
      </w:r>
      <w:r w:rsidRPr="00B762C5">
        <w:tab/>
        <w:t xml:space="preserve">New UN entry for chlorophenols </w:t>
      </w:r>
    </w:p>
    <w:p w14:paraId="37586D49" w14:textId="768C21A5" w:rsidR="00AB4A89" w:rsidRPr="00B762C5" w:rsidRDefault="000A2D90" w:rsidP="000A2D90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AB4A89" w:rsidRPr="00B762C5">
        <w:rPr>
          <w:lang w:val="en-GB"/>
        </w:rPr>
        <w:t>Transmitted by the expert from Germany</w:t>
      </w:r>
    </w:p>
    <w:p w14:paraId="56654F34" w14:textId="77777777" w:rsidR="00AB4A89" w:rsidRPr="00B762C5" w:rsidRDefault="00AB4A89" w:rsidP="0035091E">
      <w:pPr>
        <w:pStyle w:val="HChG"/>
      </w:pPr>
      <w:r w:rsidRPr="00B762C5">
        <w:tab/>
      </w:r>
      <w:r w:rsidRPr="00B762C5">
        <w:tab/>
        <w:t xml:space="preserve">Introduction </w:t>
      </w:r>
    </w:p>
    <w:p w14:paraId="6C9D4B1B" w14:textId="5984E7A8" w:rsidR="00ED0546" w:rsidRPr="00B762C5" w:rsidRDefault="00ED0546" w:rsidP="00ED0546">
      <w:pPr>
        <w:pStyle w:val="SingleTxtG"/>
        <w:numPr>
          <w:ilvl w:val="0"/>
          <w:numId w:val="20"/>
        </w:numPr>
        <w:ind w:left="1134" w:firstLine="0"/>
      </w:pPr>
      <w:r w:rsidRPr="00B762C5">
        <w:t xml:space="preserve">The competent authorities in Germany received a request from a company to classify the substance 2,4-dichlorophenol and carried out a </w:t>
      </w:r>
      <w:r w:rsidR="00F14D39" w:rsidRPr="00B762C5">
        <w:t>review of the available data in this context</w:t>
      </w:r>
      <w:r w:rsidRPr="00B762C5">
        <w:t>. It was pointed out that the substance according to ECHA and the CLP-VO also has a corrosive effect on the skin of GHS category 1B.</w:t>
      </w:r>
    </w:p>
    <w:p w14:paraId="079C54E3" w14:textId="2422610B" w:rsidR="00AB4A89" w:rsidRPr="00B762C5" w:rsidRDefault="00AB4A89" w:rsidP="000A2D90">
      <w:pPr>
        <w:pStyle w:val="SingleTxtG"/>
        <w:numPr>
          <w:ilvl w:val="0"/>
          <w:numId w:val="20"/>
        </w:numPr>
        <w:spacing w:after="240"/>
        <w:ind w:left="1134" w:firstLine="0"/>
      </w:pPr>
      <w:r w:rsidRPr="00B762C5">
        <w:t xml:space="preserve">Chlorophenols are currently transported under UN 2020 or UN 2021 CHLOROPHENOLS, </w:t>
      </w:r>
      <w:r w:rsidR="00B762C5">
        <w:t xml:space="preserve">Class </w:t>
      </w:r>
      <w:r w:rsidRPr="00B762C5">
        <w:t>6.1 in solid or liquid form with packing group III.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0"/>
        <w:gridCol w:w="517"/>
        <w:gridCol w:w="1013"/>
        <w:gridCol w:w="1061"/>
        <w:gridCol w:w="766"/>
        <w:gridCol w:w="396"/>
        <w:gridCol w:w="397"/>
        <w:gridCol w:w="871"/>
        <w:gridCol w:w="849"/>
        <w:gridCol w:w="637"/>
        <w:gridCol w:w="849"/>
      </w:tblGrid>
      <w:tr w:rsidR="00AB4A89" w:rsidRPr="00B762C5" w14:paraId="4B9EF17B" w14:textId="77777777" w:rsidTr="00A2642D">
        <w:trPr>
          <w:trHeight w:val="900"/>
          <w:jc w:val="center"/>
        </w:trPr>
        <w:tc>
          <w:tcPr>
            <w:tcW w:w="1960" w:type="dxa"/>
            <w:vMerge w:val="restart"/>
            <w:vAlign w:val="center"/>
          </w:tcPr>
          <w:p w14:paraId="13713786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Hlk35434631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No. </w:t>
            </w:r>
          </w:p>
          <w:p w14:paraId="796BC5DA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Substance </w:t>
            </w:r>
          </w:p>
        </w:tc>
        <w:tc>
          <w:tcPr>
            <w:tcW w:w="517" w:type="dxa"/>
            <w:vMerge w:val="restart"/>
          </w:tcPr>
          <w:p w14:paraId="3692228C" w14:textId="77777777" w:rsidR="00AB4A89" w:rsidRPr="00B762C5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Class </w:t>
            </w:r>
          </w:p>
        </w:tc>
        <w:tc>
          <w:tcPr>
            <w:tcW w:w="1013" w:type="dxa"/>
            <w:vMerge w:val="restart"/>
          </w:tcPr>
          <w:p w14:paraId="1F44337F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Subsidiary Hazard </w:t>
            </w:r>
          </w:p>
        </w:tc>
        <w:tc>
          <w:tcPr>
            <w:tcW w:w="1061" w:type="dxa"/>
            <w:vMerge w:val="restart"/>
          </w:tcPr>
          <w:p w14:paraId="1678526D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packing group </w:t>
            </w:r>
          </w:p>
        </w:tc>
        <w:tc>
          <w:tcPr>
            <w:tcW w:w="766" w:type="dxa"/>
            <w:vMerge w:val="restart"/>
          </w:tcPr>
          <w:p w14:paraId="20FED76C" w14:textId="32A494EB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</w:t>
            </w:r>
            <w:r w:rsidR="00A2642D" w:rsidRPr="00B762C5">
              <w:rPr>
                <w:rFonts w:eastAsia="Times New Roman"/>
                <w:sz w:val="18"/>
                <w:szCs w:val="18"/>
                <w:lang w:eastAsia="en-US"/>
              </w:rPr>
              <w:t>provisions</w:t>
            </w: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3" w:type="dxa"/>
            <w:gridSpan w:val="2"/>
            <w:vMerge w:val="restart"/>
          </w:tcPr>
          <w:p w14:paraId="6B9B0A1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Limited and excepted quantities </w:t>
            </w:r>
          </w:p>
        </w:tc>
        <w:tc>
          <w:tcPr>
            <w:tcW w:w="1720" w:type="dxa"/>
            <w:gridSpan w:val="2"/>
          </w:tcPr>
          <w:p w14:paraId="35DE4B74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Packagings and IBCs </w:t>
            </w:r>
          </w:p>
        </w:tc>
        <w:tc>
          <w:tcPr>
            <w:tcW w:w="1486" w:type="dxa"/>
            <w:gridSpan w:val="2"/>
          </w:tcPr>
          <w:p w14:paraId="2C015ECF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Portable tanks and bulk containers </w:t>
            </w:r>
          </w:p>
        </w:tc>
      </w:tr>
      <w:tr w:rsidR="00AB4A89" w:rsidRPr="00B762C5" w14:paraId="199483FE" w14:textId="77777777" w:rsidTr="00A2642D">
        <w:trPr>
          <w:trHeight w:val="900"/>
          <w:jc w:val="center"/>
        </w:trPr>
        <w:tc>
          <w:tcPr>
            <w:tcW w:w="1960" w:type="dxa"/>
            <w:vMerge/>
            <w:vAlign w:val="center"/>
          </w:tcPr>
          <w:p w14:paraId="2BA2E40F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vMerge/>
            <w:vAlign w:val="center"/>
          </w:tcPr>
          <w:p w14:paraId="2313EE44" w14:textId="77777777" w:rsidR="00AB4A89" w:rsidRPr="00B762C5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  <w:vMerge/>
            <w:vAlign w:val="center"/>
          </w:tcPr>
          <w:p w14:paraId="4EA85FDF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Merge/>
          </w:tcPr>
          <w:p w14:paraId="2C72DE8E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Merge/>
          </w:tcPr>
          <w:p w14:paraId="4DD0C0AE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2"/>
            <w:vMerge/>
          </w:tcPr>
          <w:p w14:paraId="5C7CBDE8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</w:tcPr>
          <w:p w14:paraId="388E604C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Packing instruction </w:t>
            </w:r>
          </w:p>
        </w:tc>
        <w:tc>
          <w:tcPr>
            <w:tcW w:w="849" w:type="dxa"/>
          </w:tcPr>
          <w:p w14:paraId="4911167B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packing provisions </w:t>
            </w:r>
          </w:p>
        </w:tc>
        <w:tc>
          <w:tcPr>
            <w:tcW w:w="637" w:type="dxa"/>
          </w:tcPr>
          <w:p w14:paraId="2F98427A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Instruc-tions </w:t>
            </w:r>
          </w:p>
        </w:tc>
        <w:tc>
          <w:tcPr>
            <w:tcW w:w="849" w:type="dxa"/>
          </w:tcPr>
          <w:p w14:paraId="7F3B1B55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provisions </w:t>
            </w:r>
          </w:p>
        </w:tc>
      </w:tr>
      <w:bookmarkEnd w:id="0"/>
      <w:tr w:rsidR="00AB4A89" w:rsidRPr="00B762C5" w14:paraId="44D49306" w14:textId="77777777" w:rsidTr="00A2642D">
        <w:trPr>
          <w:trHeight w:val="900"/>
          <w:jc w:val="center"/>
        </w:trPr>
        <w:tc>
          <w:tcPr>
            <w:tcW w:w="1960" w:type="dxa"/>
            <w:vAlign w:val="center"/>
          </w:tcPr>
          <w:p w14:paraId="71986157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2020 </w:t>
            </w:r>
          </w:p>
          <w:p w14:paraId="7DDB3E0A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CHLOROPHENOLS, SOLID </w:t>
            </w:r>
          </w:p>
        </w:tc>
        <w:tc>
          <w:tcPr>
            <w:tcW w:w="517" w:type="dxa"/>
            <w:vAlign w:val="center"/>
          </w:tcPr>
          <w:p w14:paraId="5EE7F427" w14:textId="77777777" w:rsidR="00AB4A89" w:rsidRPr="00B762C5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13" w:type="dxa"/>
            <w:vAlign w:val="center"/>
          </w:tcPr>
          <w:p w14:paraId="038E5304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Align w:val="center"/>
          </w:tcPr>
          <w:p w14:paraId="06136193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766" w:type="dxa"/>
            <w:vAlign w:val="center"/>
          </w:tcPr>
          <w:p w14:paraId="309302D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205 </w:t>
            </w:r>
          </w:p>
        </w:tc>
        <w:tc>
          <w:tcPr>
            <w:tcW w:w="396" w:type="dxa"/>
            <w:vAlign w:val="center"/>
          </w:tcPr>
          <w:p w14:paraId="12DFF188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5 kg </w:t>
            </w:r>
          </w:p>
        </w:tc>
        <w:tc>
          <w:tcPr>
            <w:tcW w:w="397" w:type="dxa"/>
            <w:vAlign w:val="center"/>
          </w:tcPr>
          <w:p w14:paraId="3441AD9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E1 </w:t>
            </w:r>
          </w:p>
        </w:tc>
        <w:tc>
          <w:tcPr>
            <w:tcW w:w="871" w:type="dxa"/>
            <w:vAlign w:val="center"/>
          </w:tcPr>
          <w:p w14:paraId="56AC9899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P002 </w:t>
            </w:r>
          </w:p>
          <w:p w14:paraId="36670843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IBC08 </w:t>
            </w:r>
          </w:p>
          <w:p w14:paraId="29B4D4A6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LP02 </w:t>
            </w:r>
          </w:p>
        </w:tc>
        <w:tc>
          <w:tcPr>
            <w:tcW w:w="849" w:type="dxa"/>
            <w:vAlign w:val="center"/>
          </w:tcPr>
          <w:p w14:paraId="194EA3C6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B3 </w:t>
            </w:r>
          </w:p>
        </w:tc>
        <w:tc>
          <w:tcPr>
            <w:tcW w:w="637" w:type="dxa"/>
            <w:vAlign w:val="center"/>
          </w:tcPr>
          <w:p w14:paraId="78ED90A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T1 </w:t>
            </w:r>
          </w:p>
        </w:tc>
        <w:tc>
          <w:tcPr>
            <w:tcW w:w="849" w:type="dxa"/>
            <w:vAlign w:val="center"/>
          </w:tcPr>
          <w:p w14:paraId="4CD28F69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TP33 </w:t>
            </w:r>
          </w:p>
        </w:tc>
      </w:tr>
      <w:tr w:rsidR="00AB4A89" w:rsidRPr="00B762C5" w14:paraId="03E04E64" w14:textId="77777777" w:rsidTr="00A2642D">
        <w:trPr>
          <w:trHeight w:val="900"/>
          <w:jc w:val="center"/>
        </w:trPr>
        <w:tc>
          <w:tcPr>
            <w:tcW w:w="1960" w:type="dxa"/>
            <w:vAlign w:val="center"/>
          </w:tcPr>
          <w:p w14:paraId="2A192BE4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2021 </w:t>
            </w:r>
          </w:p>
          <w:p w14:paraId="22B59416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CHLOROPHENOLS, LIQUID </w:t>
            </w:r>
          </w:p>
        </w:tc>
        <w:tc>
          <w:tcPr>
            <w:tcW w:w="517" w:type="dxa"/>
            <w:vAlign w:val="center"/>
          </w:tcPr>
          <w:p w14:paraId="2AFEC3B2" w14:textId="77777777" w:rsidR="00AB4A89" w:rsidRPr="00B762C5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13" w:type="dxa"/>
            <w:vAlign w:val="center"/>
          </w:tcPr>
          <w:p w14:paraId="0AA643E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Align w:val="center"/>
          </w:tcPr>
          <w:p w14:paraId="2786DBC4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766" w:type="dxa"/>
            <w:vAlign w:val="center"/>
          </w:tcPr>
          <w:p w14:paraId="7BA9BD8D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39D9B1C6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5 L </w:t>
            </w:r>
          </w:p>
        </w:tc>
        <w:tc>
          <w:tcPr>
            <w:tcW w:w="397" w:type="dxa"/>
            <w:vAlign w:val="center"/>
          </w:tcPr>
          <w:p w14:paraId="6F85D3F7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E1 </w:t>
            </w:r>
          </w:p>
        </w:tc>
        <w:tc>
          <w:tcPr>
            <w:tcW w:w="871" w:type="dxa"/>
            <w:vAlign w:val="center"/>
          </w:tcPr>
          <w:p w14:paraId="7C219F2A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P001 </w:t>
            </w:r>
          </w:p>
          <w:p w14:paraId="30E418F4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IBC03 </w:t>
            </w:r>
          </w:p>
          <w:p w14:paraId="399E048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LP01 </w:t>
            </w:r>
          </w:p>
        </w:tc>
        <w:tc>
          <w:tcPr>
            <w:tcW w:w="849" w:type="dxa"/>
            <w:vAlign w:val="center"/>
          </w:tcPr>
          <w:p w14:paraId="7E1FCE15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Align w:val="center"/>
          </w:tcPr>
          <w:p w14:paraId="2531FA2F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T4 </w:t>
            </w:r>
          </w:p>
        </w:tc>
        <w:tc>
          <w:tcPr>
            <w:tcW w:w="849" w:type="dxa"/>
            <w:vAlign w:val="center"/>
          </w:tcPr>
          <w:p w14:paraId="0957AEF9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TP1 </w:t>
            </w:r>
          </w:p>
        </w:tc>
      </w:tr>
    </w:tbl>
    <w:p w14:paraId="0F2F9CA0" w14:textId="5185C2A8" w:rsidR="00AB4A89" w:rsidRPr="00B762C5" w:rsidRDefault="00AB4A89" w:rsidP="000A2D90">
      <w:pPr>
        <w:pStyle w:val="SingleTxtG"/>
        <w:numPr>
          <w:ilvl w:val="0"/>
          <w:numId w:val="20"/>
        </w:numPr>
        <w:spacing w:before="120"/>
        <w:ind w:left="1134" w:firstLine="0"/>
      </w:pPr>
      <w:r w:rsidRPr="00B762C5">
        <w:t>2,4-Dichlorophenol (CAS-No.</w:t>
      </w:r>
      <w:r w:rsidRPr="00B762C5">
        <w:rPr>
          <w:rFonts w:eastAsia="Times New Roman"/>
          <w:lang w:eastAsia="en-US"/>
        </w:rPr>
        <w:t xml:space="preserve"> 120-83-2)</w:t>
      </w:r>
      <w:r w:rsidRPr="00B762C5">
        <w:t xml:space="preserve"> and other chlorophenols (e.g. 2,4-, 2,6-, 3,4- and 3,5-dichlorophenol) are classified as both, corrosive (Skin Corr. Cat. 1B) and toxic (Acute Tox. Cat. 3</w:t>
      </w:r>
      <w:r w:rsidR="007D0590" w:rsidRPr="00B762C5">
        <w:t>, dermal</w:t>
      </w:r>
      <w:r w:rsidRPr="00B762C5">
        <w:t>) according to GHS criteria. Toxicological properties for these chlorophenols result in class 8, subsidiary hazard 6.1</w:t>
      </w:r>
      <w:r w:rsidR="00253BF6" w:rsidRPr="00B762C5">
        <w:t>, according to the Model Regulations</w:t>
      </w:r>
      <w:r w:rsidRPr="00B762C5">
        <w:t xml:space="preserve">. </w:t>
      </w:r>
    </w:p>
    <w:p w14:paraId="30986F8E" w14:textId="7BFEA149" w:rsidR="00AB4A89" w:rsidRPr="00B762C5" w:rsidRDefault="0088276E" w:rsidP="005712FF">
      <w:pPr>
        <w:pStyle w:val="SingleTxtG"/>
      </w:pPr>
      <w:r w:rsidRPr="00B762C5">
        <w:t>4</w:t>
      </w:r>
      <w:r w:rsidR="00AB4A89" w:rsidRPr="00B762C5">
        <w:t>.</w:t>
      </w:r>
      <w:r w:rsidR="00AB4A89" w:rsidRPr="00B762C5">
        <w:tab/>
        <w:t xml:space="preserve">2,4-Dichlorophenol </w:t>
      </w:r>
      <w:r w:rsidR="009940A4" w:rsidRPr="00B762C5">
        <w:t>and other chlorophenols with corrosive properties are</w:t>
      </w:r>
      <w:r w:rsidR="00AB4A89" w:rsidRPr="00B762C5">
        <w:t xml:space="preserve"> expected to be transported under UN 2020 or UN 2021 at the present time. </w:t>
      </w:r>
    </w:p>
    <w:p w14:paraId="62FC74B9" w14:textId="591CBA7E" w:rsidR="00AB4A89" w:rsidRPr="00B762C5" w:rsidRDefault="0088276E" w:rsidP="007021AF">
      <w:pPr>
        <w:pStyle w:val="SingleTxtG"/>
      </w:pPr>
      <w:r w:rsidRPr="00B762C5">
        <w:t>5</w:t>
      </w:r>
      <w:r w:rsidR="00AB4A89" w:rsidRPr="00B762C5">
        <w:t>.</w:t>
      </w:r>
      <w:r w:rsidR="00AB4A89" w:rsidRPr="00B762C5">
        <w:tab/>
        <w:t>UN 2020 and UN 2021 do not meet the corrosive properties and required packing group of 2,4-Dichlorophenol</w:t>
      </w:r>
      <w:r w:rsidR="007D0590" w:rsidRPr="00B762C5">
        <w:t xml:space="preserve"> and other c</w:t>
      </w:r>
      <w:r w:rsidR="00AB4A89" w:rsidRPr="00B762C5">
        <w:t>hlorophenols with corrosive properties. Moreover, the specific transportation requirements of the substance differ from those regulated within UN 2020 or UN 2021.</w:t>
      </w:r>
      <w:bookmarkStart w:id="1" w:name="_GoBack"/>
      <w:bookmarkEnd w:id="1"/>
    </w:p>
    <w:p w14:paraId="0A16CAC1" w14:textId="7661729A" w:rsidR="00AB4A89" w:rsidRPr="00B762C5" w:rsidRDefault="0088276E" w:rsidP="009750CC">
      <w:pPr>
        <w:pStyle w:val="SingleTxtG"/>
      </w:pPr>
      <w:r w:rsidRPr="00B762C5">
        <w:lastRenderedPageBreak/>
        <w:t>6</w:t>
      </w:r>
      <w:r w:rsidR="00AB4A89" w:rsidRPr="00B762C5">
        <w:t>.</w:t>
      </w:r>
      <w:r w:rsidR="00AB4A89" w:rsidRPr="00B762C5">
        <w:tab/>
      </w:r>
      <w:r w:rsidR="003E199E">
        <w:t>W</w:t>
      </w:r>
      <w:r w:rsidR="003E199E" w:rsidRPr="00B762C5">
        <w:t>hen classif</w:t>
      </w:r>
      <w:r w:rsidR="003E199E">
        <w:t>y</w:t>
      </w:r>
      <w:r w:rsidR="003E199E" w:rsidRPr="00B762C5">
        <w:t>i</w:t>
      </w:r>
      <w:r w:rsidR="003E199E">
        <w:t>ng</w:t>
      </w:r>
      <w:r w:rsidR="003E199E" w:rsidRPr="00B762C5">
        <w:t xml:space="preserve"> and transport</w:t>
      </w:r>
      <w:r w:rsidR="003E199E">
        <w:t>ing</w:t>
      </w:r>
      <w:r w:rsidR="003E199E" w:rsidRPr="00B762C5">
        <w:t xml:space="preserve"> chlorophenols are as dangerous goods</w:t>
      </w:r>
      <w:r w:rsidR="00123963" w:rsidRPr="00B762C5">
        <w:t xml:space="preserve">, </w:t>
      </w:r>
      <w:r w:rsidR="00AB4A89" w:rsidRPr="00B762C5">
        <w:t>corrosive properties and transportation requirements should be considered</w:t>
      </w:r>
      <w:r w:rsidR="003E199E" w:rsidRPr="00B762C5">
        <w:t xml:space="preserve"> taking into account current toxicological information on different chlorophenols</w:t>
      </w:r>
      <w:r w:rsidR="003E199E">
        <w:t>.</w:t>
      </w:r>
    </w:p>
    <w:p w14:paraId="276D1705" w14:textId="450B9B61" w:rsidR="00AB4A89" w:rsidRPr="00B762C5" w:rsidRDefault="00AB4A89" w:rsidP="0035091E">
      <w:pPr>
        <w:pStyle w:val="HChG"/>
      </w:pPr>
      <w:r w:rsidRPr="00B762C5">
        <w:tab/>
      </w:r>
      <w:r w:rsidRPr="00B762C5">
        <w:tab/>
        <w:t>Proposal</w:t>
      </w:r>
    </w:p>
    <w:p w14:paraId="1F18EA8B" w14:textId="13768651" w:rsidR="00AB4A89" w:rsidRPr="00B762C5" w:rsidRDefault="0088276E" w:rsidP="003F448B">
      <w:pPr>
        <w:pStyle w:val="SingleTxtG"/>
      </w:pPr>
      <w:r w:rsidRPr="00B762C5">
        <w:t>7</w:t>
      </w:r>
      <w:r w:rsidR="00AB4A89" w:rsidRPr="00B762C5">
        <w:t>.</w:t>
      </w:r>
      <w:r w:rsidR="00AB4A89" w:rsidRPr="00B762C5">
        <w:tab/>
      </w:r>
      <w:r w:rsidR="00B005A6" w:rsidRPr="00B762C5">
        <w:t xml:space="preserve">Amend </w:t>
      </w:r>
      <w:r w:rsidR="00AB4A89" w:rsidRPr="00B762C5">
        <w:t>3.2 Dangerous Goods List and the Alphabetical Index of the Model Regulations</w:t>
      </w:r>
      <w:r w:rsidR="00B005A6" w:rsidRPr="00B762C5">
        <w:t xml:space="preserve"> by introducing four new UN entries</w:t>
      </w:r>
      <w:r w:rsidR="00AB4A89" w:rsidRPr="00B762C5">
        <w:t xml:space="preserve">, as follows: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2"/>
        <w:gridCol w:w="517"/>
        <w:gridCol w:w="1013"/>
        <w:gridCol w:w="1061"/>
        <w:gridCol w:w="642"/>
        <w:gridCol w:w="396"/>
        <w:gridCol w:w="397"/>
        <w:gridCol w:w="871"/>
        <w:gridCol w:w="849"/>
        <w:gridCol w:w="637"/>
        <w:gridCol w:w="849"/>
      </w:tblGrid>
      <w:tr w:rsidR="00AB4A89" w:rsidRPr="00B762C5" w14:paraId="7DC72BE9" w14:textId="77777777" w:rsidTr="003E199E">
        <w:trPr>
          <w:trHeight w:val="900"/>
          <w:jc w:val="center"/>
        </w:trPr>
        <w:tc>
          <w:tcPr>
            <w:tcW w:w="2102" w:type="dxa"/>
            <w:vMerge w:val="restart"/>
            <w:vAlign w:val="center"/>
          </w:tcPr>
          <w:p w14:paraId="19EA942A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br w:type="page"/>
              <w:t xml:space="preserve">UN No. </w:t>
            </w:r>
          </w:p>
          <w:p w14:paraId="5742D58A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Substance </w:t>
            </w:r>
          </w:p>
        </w:tc>
        <w:tc>
          <w:tcPr>
            <w:tcW w:w="517" w:type="dxa"/>
            <w:vMerge w:val="restart"/>
          </w:tcPr>
          <w:p w14:paraId="3A06F782" w14:textId="77777777" w:rsidR="00AB4A89" w:rsidRPr="00B762C5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Class </w:t>
            </w:r>
          </w:p>
        </w:tc>
        <w:tc>
          <w:tcPr>
            <w:tcW w:w="1013" w:type="dxa"/>
            <w:vMerge w:val="restart"/>
          </w:tcPr>
          <w:p w14:paraId="3852110A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Subsidiary Hazard </w:t>
            </w:r>
          </w:p>
        </w:tc>
        <w:tc>
          <w:tcPr>
            <w:tcW w:w="1061" w:type="dxa"/>
            <w:vMerge w:val="restart"/>
          </w:tcPr>
          <w:p w14:paraId="3F648C2B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packing group </w:t>
            </w:r>
          </w:p>
        </w:tc>
        <w:tc>
          <w:tcPr>
            <w:tcW w:w="642" w:type="dxa"/>
            <w:vMerge w:val="restart"/>
          </w:tcPr>
          <w:p w14:paraId="0F6217CE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provi-sions </w:t>
            </w:r>
          </w:p>
        </w:tc>
        <w:tc>
          <w:tcPr>
            <w:tcW w:w="793" w:type="dxa"/>
            <w:gridSpan w:val="2"/>
            <w:vMerge w:val="restart"/>
          </w:tcPr>
          <w:p w14:paraId="4137E692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Limited and excepted quantities </w:t>
            </w:r>
          </w:p>
        </w:tc>
        <w:tc>
          <w:tcPr>
            <w:tcW w:w="1720" w:type="dxa"/>
            <w:gridSpan w:val="2"/>
          </w:tcPr>
          <w:p w14:paraId="18953360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Packagings and IBCs </w:t>
            </w:r>
          </w:p>
        </w:tc>
        <w:tc>
          <w:tcPr>
            <w:tcW w:w="1486" w:type="dxa"/>
            <w:gridSpan w:val="2"/>
          </w:tcPr>
          <w:p w14:paraId="2EE0B687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Portable tanks and bulk containers </w:t>
            </w:r>
          </w:p>
        </w:tc>
      </w:tr>
      <w:tr w:rsidR="00AB4A89" w:rsidRPr="00B762C5" w14:paraId="682C5BCC" w14:textId="77777777" w:rsidTr="003E199E">
        <w:trPr>
          <w:trHeight w:val="900"/>
          <w:jc w:val="center"/>
        </w:trPr>
        <w:tc>
          <w:tcPr>
            <w:tcW w:w="2102" w:type="dxa"/>
            <w:vMerge/>
            <w:vAlign w:val="center"/>
          </w:tcPr>
          <w:p w14:paraId="5CEC85CD" w14:textId="77777777" w:rsidR="00AB4A89" w:rsidRPr="00B762C5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vMerge/>
            <w:vAlign w:val="center"/>
          </w:tcPr>
          <w:p w14:paraId="78D5E28F" w14:textId="77777777" w:rsidR="00AB4A89" w:rsidRPr="00B762C5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  <w:vMerge/>
            <w:vAlign w:val="center"/>
          </w:tcPr>
          <w:p w14:paraId="40618707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Merge/>
          </w:tcPr>
          <w:p w14:paraId="7885F3C7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  <w:vMerge/>
          </w:tcPr>
          <w:p w14:paraId="45E60A23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2"/>
            <w:vMerge/>
          </w:tcPr>
          <w:p w14:paraId="251FA979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</w:tcPr>
          <w:p w14:paraId="4AB548BE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Packing instruction </w:t>
            </w:r>
          </w:p>
        </w:tc>
        <w:tc>
          <w:tcPr>
            <w:tcW w:w="849" w:type="dxa"/>
          </w:tcPr>
          <w:p w14:paraId="27B48D4C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packing provisions </w:t>
            </w:r>
          </w:p>
        </w:tc>
        <w:tc>
          <w:tcPr>
            <w:tcW w:w="637" w:type="dxa"/>
          </w:tcPr>
          <w:p w14:paraId="549D6224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Instruc-tions </w:t>
            </w:r>
          </w:p>
        </w:tc>
        <w:tc>
          <w:tcPr>
            <w:tcW w:w="849" w:type="dxa"/>
          </w:tcPr>
          <w:p w14:paraId="34CAEE7F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provisions </w:t>
            </w:r>
          </w:p>
        </w:tc>
      </w:tr>
      <w:tr w:rsidR="00AB4A89" w:rsidRPr="00460EFE" w14:paraId="61A633CB" w14:textId="77777777" w:rsidTr="003E199E">
        <w:trPr>
          <w:trHeight w:val="900"/>
          <w:jc w:val="center"/>
        </w:trPr>
        <w:tc>
          <w:tcPr>
            <w:tcW w:w="2102" w:type="dxa"/>
            <w:vAlign w:val="center"/>
          </w:tcPr>
          <w:p w14:paraId="08CA7CE6" w14:textId="6442F22C" w:rsidR="009940A4" w:rsidRPr="00460EFE" w:rsidRDefault="00AB4A89" w:rsidP="003E199E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XXXX CHLOROPHENOLS, </w:t>
            </w:r>
            <w:r w:rsidR="00272E1A" w:rsidRPr="00460EFE">
              <w:rPr>
                <w:rFonts w:eastAsia="Times New Roman"/>
                <w:sz w:val="18"/>
                <w:szCs w:val="18"/>
                <w:lang w:eastAsia="en-US"/>
              </w:rPr>
              <w:t>LIQUID</w:t>
            </w:r>
            <w:r w:rsidR="009940A4"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5B264A96" w14:textId="77777777" w:rsidR="00AB4A89" w:rsidRPr="00460EFE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67083DD2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42389F9E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 </w:t>
            </w:r>
          </w:p>
        </w:tc>
        <w:tc>
          <w:tcPr>
            <w:tcW w:w="642" w:type="dxa"/>
            <w:vAlign w:val="center"/>
          </w:tcPr>
          <w:p w14:paraId="115053AE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51A70789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1 L</w:t>
            </w:r>
          </w:p>
        </w:tc>
        <w:tc>
          <w:tcPr>
            <w:tcW w:w="397" w:type="dxa"/>
            <w:vAlign w:val="center"/>
          </w:tcPr>
          <w:p w14:paraId="0FD8FDFF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E2</w:t>
            </w:r>
          </w:p>
        </w:tc>
        <w:tc>
          <w:tcPr>
            <w:tcW w:w="871" w:type="dxa"/>
            <w:vAlign w:val="center"/>
          </w:tcPr>
          <w:p w14:paraId="1294D058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P001 IBC02</w:t>
            </w:r>
          </w:p>
        </w:tc>
        <w:tc>
          <w:tcPr>
            <w:tcW w:w="849" w:type="dxa"/>
            <w:vAlign w:val="center"/>
          </w:tcPr>
          <w:p w14:paraId="720975FD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Align w:val="center"/>
          </w:tcPr>
          <w:p w14:paraId="700069B0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T7</w:t>
            </w:r>
          </w:p>
        </w:tc>
        <w:tc>
          <w:tcPr>
            <w:tcW w:w="849" w:type="dxa"/>
            <w:vAlign w:val="center"/>
          </w:tcPr>
          <w:p w14:paraId="5AE36BAA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TP1</w:t>
            </w:r>
          </w:p>
        </w:tc>
      </w:tr>
      <w:tr w:rsidR="00AB4A89" w:rsidRPr="00460EFE" w14:paraId="68BE8A87" w14:textId="77777777" w:rsidTr="003E199E">
        <w:trPr>
          <w:trHeight w:val="900"/>
          <w:jc w:val="center"/>
        </w:trPr>
        <w:tc>
          <w:tcPr>
            <w:tcW w:w="2102" w:type="dxa"/>
            <w:vAlign w:val="center"/>
          </w:tcPr>
          <w:p w14:paraId="401DE72F" w14:textId="0A335D30" w:rsidR="00AB4A89" w:rsidRPr="00460EFE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XXXX CHLOROPHENOLS, </w:t>
            </w:r>
            <w:r w:rsidR="00272E1A" w:rsidRPr="00460EFE">
              <w:rPr>
                <w:rFonts w:eastAsia="Times New Roman"/>
                <w:sz w:val="18"/>
                <w:szCs w:val="18"/>
                <w:lang w:eastAsia="en-US"/>
              </w:rPr>
              <w:t>LIQUID</w:t>
            </w:r>
            <w:r w:rsidR="009940A4"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563ADA41" w14:textId="77777777" w:rsidR="00AB4A89" w:rsidRPr="00460EFE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2AD3C3D6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190CA284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642" w:type="dxa"/>
            <w:vAlign w:val="center"/>
          </w:tcPr>
          <w:p w14:paraId="14C35728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24F34BA9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5 L</w:t>
            </w:r>
          </w:p>
        </w:tc>
        <w:tc>
          <w:tcPr>
            <w:tcW w:w="397" w:type="dxa"/>
            <w:vAlign w:val="center"/>
          </w:tcPr>
          <w:p w14:paraId="24AA59BA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E1</w:t>
            </w:r>
          </w:p>
        </w:tc>
        <w:tc>
          <w:tcPr>
            <w:tcW w:w="871" w:type="dxa"/>
            <w:vAlign w:val="center"/>
          </w:tcPr>
          <w:p w14:paraId="36410B6A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P001 IBC03</w:t>
            </w:r>
            <w:r w:rsidRPr="00460EFE">
              <w:rPr>
                <w:rFonts w:eastAsia="Times New Roman"/>
                <w:sz w:val="18"/>
                <w:szCs w:val="18"/>
                <w:lang w:eastAsia="en-US"/>
              </w:rPr>
              <w:br/>
              <w:t>LP01</w:t>
            </w:r>
          </w:p>
        </w:tc>
        <w:tc>
          <w:tcPr>
            <w:tcW w:w="849" w:type="dxa"/>
            <w:vAlign w:val="center"/>
          </w:tcPr>
          <w:p w14:paraId="785FA8FC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Align w:val="center"/>
          </w:tcPr>
          <w:p w14:paraId="08E2D6B1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T4</w:t>
            </w:r>
          </w:p>
        </w:tc>
        <w:tc>
          <w:tcPr>
            <w:tcW w:w="849" w:type="dxa"/>
            <w:vAlign w:val="center"/>
          </w:tcPr>
          <w:p w14:paraId="0153039F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TP1</w:t>
            </w:r>
          </w:p>
        </w:tc>
      </w:tr>
      <w:tr w:rsidR="00AB4A89" w:rsidRPr="00460EFE" w14:paraId="36AF9369" w14:textId="77777777" w:rsidTr="003E199E">
        <w:trPr>
          <w:trHeight w:val="900"/>
          <w:jc w:val="center"/>
        </w:trPr>
        <w:tc>
          <w:tcPr>
            <w:tcW w:w="2102" w:type="dxa"/>
            <w:vAlign w:val="center"/>
          </w:tcPr>
          <w:p w14:paraId="70D55DD8" w14:textId="1247ABAB" w:rsidR="00AB4A89" w:rsidRPr="00460EFE" w:rsidRDefault="00AB4A89" w:rsidP="00A668D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XXXY CHLOROPHENOLS, </w:t>
            </w:r>
            <w:r w:rsidR="00272E1A" w:rsidRPr="00460EFE">
              <w:rPr>
                <w:rFonts w:eastAsia="Times New Roman"/>
                <w:sz w:val="18"/>
                <w:szCs w:val="18"/>
                <w:lang w:eastAsia="en-US"/>
              </w:rPr>
              <w:t>SOLID</w:t>
            </w:r>
            <w:r w:rsidR="009940A4"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447E15FD" w14:textId="77777777" w:rsidR="00AB4A89" w:rsidRPr="00460EFE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341E61C1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0C98F099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 </w:t>
            </w:r>
          </w:p>
        </w:tc>
        <w:tc>
          <w:tcPr>
            <w:tcW w:w="642" w:type="dxa"/>
            <w:vAlign w:val="center"/>
          </w:tcPr>
          <w:p w14:paraId="6252DBFF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1FCEAB3E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1 kg</w:t>
            </w:r>
          </w:p>
        </w:tc>
        <w:tc>
          <w:tcPr>
            <w:tcW w:w="397" w:type="dxa"/>
            <w:vAlign w:val="center"/>
          </w:tcPr>
          <w:p w14:paraId="568C28B0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E2</w:t>
            </w:r>
          </w:p>
        </w:tc>
        <w:tc>
          <w:tcPr>
            <w:tcW w:w="871" w:type="dxa"/>
            <w:vAlign w:val="center"/>
          </w:tcPr>
          <w:p w14:paraId="5A01C67F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P002 IBC08</w:t>
            </w:r>
          </w:p>
        </w:tc>
        <w:tc>
          <w:tcPr>
            <w:tcW w:w="849" w:type="dxa"/>
            <w:vAlign w:val="center"/>
          </w:tcPr>
          <w:p w14:paraId="1128D8D2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B2, B4</w:t>
            </w:r>
          </w:p>
        </w:tc>
        <w:tc>
          <w:tcPr>
            <w:tcW w:w="637" w:type="dxa"/>
            <w:vAlign w:val="center"/>
          </w:tcPr>
          <w:p w14:paraId="6712AC3B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T3</w:t>
            </w:r>
          </w:p>
        </w:tc>
        <w:tc>
          <w:tcPr>
            <w:tcW w:w="849" w:type="dxa"/>
            <w:vAlign w:val="center"/>
          </w:tcPr>
          <w:p w14:paraId="52663943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TP33</w:t>
            </w:r>
          </w:p>
        </w:tc>
      </w:tr>
      <w:tr w:rsidR="00AB4A89" w:rsidRPr="00B762C5" w14:paraId="2B8EC9C4" w14:textId="77777777" w:rsidTr="003E199E">
        <w:trPr>
          <w:trHeight w:val="900"/>
          <w:jc w:val="center"/>
        </w:trPr>
        <w:tc>
          <w:tcPr>
            <w:tcW w:w="2102" w:type="dxa"/>
            <w:vAlign w:val="center"/>
          </w:tcPr>
          <w:p w14:paraId="08B6F558" w14:textId="61846D9B" w:rsidR="00AB4A89" w:rsidRPr="00460EFE" w:rsidRDefault="00AB4A89" w:rsidP="009940A4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XXXY CHLOROPHENOLS, </w:t>
            </w:r>
            <w:r w:rsidR="00272E1A" w:rsidRPr="00460EFE">
              <w:rPr>
                <w:rFonts w:eastAsia="Times New Roman"/>
                <w:sz w:val="18"/>
                <w:szCs w:val="18"/>
                <w:lang w:eastAsia="en-US"/>
              </w:rPr>
              <w:t>SOLID</w:t>
            </w:r>
          </w:p>
        </w:tc>
        <w:tc>
          <w:tcPr>
            <w:tcW w:w="517" w:type="dxa"/>
            <w:vAlign w:val="center"/>
          </w:tcPr>
          <w:p w14:paraId="6DEEEE68" w14:textId="77777777" w:rsidR="00AB4A89" w:rsidRPr="00460EFE" w:rsidRDefault="00AB4A89" w:rsidP="00A668D4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023D09E4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7AB117E9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642" w:type="dxa"/>
            <w:vAlign w:val="center"/>
          </w:tcPr>
          <w:p w14:paraId="76EF4CAA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555D12D0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5 kg</w:t>
            </w:r>
          </w:p>
        </w:tc>
        <w:tc>
          <w:tcPr>
            <w:tcW w:w="397" w:type="dxa"/>
            <w:vAlign w:val="center"/>
          </w:tcPr>
          <w:p w14:paraId="6EA7958B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E1</w:t>
            </w:r>
          </w:p>
        </w:tc>
        <w:tc>
          <w:tcPr>
            <w:tcW w:w="871" w:type="dxa"/>
            <w:vAlign w:val="center"/>
          </w:tcPr>
          <w:p w14:paraId="2E20E97D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P002 IBC08</w:t>
            </w:r>
            <w:r w:rsidRPr="00460EFE">
              <w:rPr>
                <w:rFonts w:eastAsia="Times New Roman"/>
                <w:sz w:val="18"/>
                <w:szCs w:val="18"/>
                <w:lang w:eastAsia="en-US"/>
              </w:rPr>
              <w:br/>
              <w:t>LP02</w:t>
            </w:r>
          </w:p>
        </w:tc>
        <w:tc>
          <w:tcPr>
            <w:tcW w:w="849" w:type="dxa"/>
            <w:vAlign w:val="center"/>
          </w:tcPr>
          <w:p w14:paraId="3FAA1AC8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B3</w:t>
            </w:r>
          </w:p>
        </w:tc>
        <w:tc>
          <w:tcPr>
            <w:tcW w:w="637" w:type="dxa"/>
            <w:vAlign w:val="center"/>
          </w:tcPr>
          <w:p w14:paraId="7BD2313C" w14:textId="77777777" w:rsidR="00AB4A89" w:rsidRPr="00460EFE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T1</w:t>
            </w:r>
          </w:p>
        </w:tc>
        <w:tc>
          <w:tcPr>
            <w:tcW w:w="849" w:type="dxa"/>
            <w:vAlign w:val="center"/>
          </w:tcPr>
          <w:p w14:paraId="49B7CF0C" w14:textId="77777777" w:rsidR="00AB4A89" w:rsidRPr="00B762C5" w:rsidRDefault="00AB4A89" w:rsidP="00A668D4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TP33</w:t>
            </w:r>
          </w:p>
        </w:tc>
      </w:tr>
    </w:tbl>
    <w:p w14:paraId="5BC9D852" w14:textId="68A2D5FF" w:rsidR="00AB4A89" w:rsidRPr="00B762C5" w:rsidRDefault="00AB4A89" w:rsidP="000A2D90">
      <w:pPr>
        <w:pStyle w:val="HChG"/>
        <w:ind w:left="0" w:firstLine="0"/>
      </w:pPr>
    </w:p>
    <w:p w14:paraId="5E7BE095" w14:textId="77777777" w:rsidR="000A2D90" w:rsidRPr="00B762C5" w:rsidRDefault="000A2D90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/>
          <w:sz w:val="28"/>
          <w:u w:val="single"/>
        </w:rPr>
      </w:pPr>
      <w:r w:rsidRPr="00B762C5">
        <w:rPr>
          <w:u w:val="single"/>
        </w:rPr>
        <w:br w:type="page"/>
      </w:r>
    </w:p>
    <w:p w14:paraId="35BA7797" w14:textId="49F887BB" w:rsidR="00B77BA6" w:rsidRPr="00B762C5" w:rsidRDefault="00B77BA6" w:rsidP="000A2D90">
      <w:pPr>
        <w:pStyle w:val="HChG"/>
      </w:pPr>
      <w:r w:rsidRPr="00B762C5">
        <w:lastRenderedPageBreak/>
        <w:t>Annex</w:t>
      </w:r>
    </w:p>
    <w:p w14:paraId="3C22463E" w14:textId="76D11A92" w:rsidR="00B77BA6" w:rsidRPr="00B762C5" w:rsidRDefault="000A2D90" w:rsidP="000A2D90">
      <w:pPr>
        <w:pStyle w:val="HChG"/>
      </w:pPr>
      <w:r w:rsidRPr="00B762C5">
        <w:tab/>
      </w:r>
      <w:r w:rsidRPr="00B762C5">
        <w:tab/>
      </w:r>
      <w:r w:rsidR="00B77BA6" w:rsidRPr="00B762C5">
        <w:t>D</w:t>
      </w:r>
      <w:r w:rsidRPr="00B762C5">
        <w:t>ata sheet to be submitted to the United Nations for new or amended classification of substances</w:t>
      </w:r>
      <w:r w:rsidR="00B77BA6" w:rsidRPr="00B762C5">
        <w:t xml:space="preserve"> </w:t>
      </w:r>
    </w:p>
    <w:p w14:paraId="09ED822E" w14:textId="4EF55869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Submitted by Germany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="007B0C0F" w:rsidRPr="00B762C5">
        <w:rPr>
          <w:lang w:eastAsia="en-US"/>
        </w:rPr>
        <w:tab/>
      </w:r>
      <w:r w:rsidRPr="00B762C5">
        <w:rPr>
          <w:lang w:eastAsia="en-US"/>
        </w:rPr>
        <w:t xml:space="preserve">Date 01.09.2020 </w:t>
      </w:r>
    </w:p>
    <w:p w14:paraId="77A7E763" w14:textId="17FF00A7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Supply all relevant information including sources of basic classification data. Data should relate to the product in the form to be transported. State test methods. Answer all questions - </w:t>
      </w:r>
      <w:r w:rsidR="0075674E">
        <w:rPr>
          <w:lang w:eastAsia="en-US"/>
        </w:rPr>
        <w:t>I</w:t>
      </w:r>
      <w:r w:rsidRPr="00B762C5">
        <w:rPr>
          <w:lang w:eastAsia="en-US"/>
        </w:rPr>
        <w:t>f necessary</w:t>
      </w:r>
      <w:r w:rsidR="0075674E">
        <w:rPr>
          <w:lang w:eastAsia="en-US"/>
        </w:rPr>
        <w:t>,</w:t>
      </w:r>
      <w:r w:rsidRPr="00B762C5">
        <w:rPr>
          <w:lang w:eastAsia="en-US"/>
        </w:rPr>
        <w:t xml:space="preserve"> state “not known” or “not applicable” - If data is not available in the form requested, provide what is available with details. Delete inappropriate words. </w:t>
      </w:r>
    </w:p>
    <w:p w14:paraId="7F64C882" w14:textId="6F654203" w:rsidR="00B77BA6" w:rsidRPr="00B762C5" w:rsidRDefault="000A2D90" w:rsidP="000A2D90">
      <w:pPr>
        <w:pStyle w:val="H1G"/>
        <w:rPr>
          <w:lang w:val="en-GB"/>
        </w:rPr>
      </w:pPr>
      <w:r w:rsidRPr="00B762C5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FED56C1" wp14:editId="25C75213">
            <wp:simplePos x="0" y="0"/>
            <wp:positionH relativeFrom="margin">
              <wp:posOffset>3289603</wp:posOffset>
            </wp:positionH>
            <wp:positionV relativeFrom="paragraph">
              <wp:posOffset>451021</wp:posOffset>
            </wp:positionV>
            <wp:extent cx="537845" cy="568960"/>
            <wp:effectExtent l="0" t="0" r="0" b="254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1. SUBSTANCE IDENTITY </w:t>
      </w:r>
    </w:p>
    <w:p w14:paraId="586D13B1" w14:textId="42388B80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1.1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Chemical name: 2,4-Dichlorophenol </w:t>
      </w:r>
    </w:p>
    <w:p w14:paraId="6B995FDD" w14:textId="0E4C7236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1.2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>Chemical formula: C</w:t>
      </w:r>
      <w:r w:rsidRPr="00B762C5">
        <w:rPr>
          <w:vertAlign w:val="subscript"/>
          <w:lang w:eastAsia="en-US"/>
        </w:rPr>
        <w:t>6</w:t>
      </w:r>
      <w:r w:rsidRPr="00B762C5">
        <w:rPr>
          <w:lang w:eastAsia="en-US"/>
        </w:rPr>
        <w:t>H</w:t>
      </w:r>
      <w:r w:rsidRPr="00B762C5">
        <w:rPr>
          <w:vertAlign w:val="subscript"/>
          <w:lang w:eastAsia="en-US"/>
        </w:rPr>
        <w:t>4</w:t>
      </w:r>
      <w:r w:rsidRPr="00B762C5">
        <w:rPr>
          <w:lang w:eastAsia="en-US"/>
        </w:rPr>
        <w:t>Cl</w:t>
      </w:r>
      <w:r w:rsidRPr="00B762C5">
        <w:rPr>
          <w:vertAlign w:val="subscript"/>
          <w:lang w:eastAsia="en-US"/>
        </w:rPr>
        <w:t>2</w:t>
      </w:r>
      <w:r w:rsidRPr="00B762C5">
        <w:rPr>
          <w:lang w:eastAsia="en-US"/>
        </w:rPr>
        <w:t xml:space="preserve">O </w:t>
      </w:r>
    </w:p>
    <w:p w14:paraId="75FF9712" w14:textId="660C7F1E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1.3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Other names/synonyms: 2,4-DCP </w:t>
      </w:r>
    </w:p>
    <w:p w14:paraId="2C5A8673" w14:textId="77777777" w:rsidR="0075674E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1.4.1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UN number: 2020 </w:t>
      </w:r>
    </w:p>
    <w:p w14:paraId="69537C0E" w14:textId="0CFDC3E9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ab/>
        <w:t>1.4.2</w:t>
      </w:r>
      <w:r w:rsidR="0075674E">
        <w:rPr>
          <w:lang w:eastAsia="en-US"/>
        </w:rPr>
        <w:tab/>
      </w:r>
      <w:r w:rsidRPr="00B762C5">
        <w:rPr>
          <w:lang w:eastAsia="en-US"/>
        </w:rPr>
        <w:t xml:space="preserve">CAS number: 120-83-2 </w:t>
      </w:r>
    </w:p>
    <w:p w14:paraId="42CB224B" w14:textId="0F36A43B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Proposed classification for the Recommendations: </w:t>
      </w:r>
    </w:p>
    <w:p w14:paraId="05EF5EBB" w14:textId="77777777" w:rsidR="00B77BA6" w:rsidRPr="00B762C5" w:rsidRDefault="00B77BA6" w:rsidP="000A2D90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 xml:space="preserve">UN XXXX CHLOROPHENOLS, SOLID, CLASS 8 (6.1), PG II and PG III </w:t>
      </w:r>
    </w:p>
    <w:p w14:paraId="4B11EA59" w14:textId="77777777" w:rsidR="00B77BA6" w:rsidRPr="00B762C5" w:rsidRDefault="00B77BA6" w:rsidP="000A2D90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 xml:space="preserve">UN XXXY CHLOROPHENOLS, LIQUID, CLASS 8 (6.1), PG II and PG III </w:t>
      </w:r>
    </w:p>
    <w:p w14:paraId="09583DF0" w14:textId="3E472727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1.5.1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>proper shipping name (3.1.2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CHLOROPHENOLS, SOLID </w:t>
      </w:r>
    </w:p>
    <w:p w14:paraId="194CDF5B" w14:textId="6E8C5474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1.5.2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class/division 8 </w:t>
      </w:r>
      <w:r w:rsidRPr="00B762C5">
        <w:rPr>
          <w:lang w:eastAsia="en-US"/>
        </w:rPr>
        <w:tab/>
        <w:t xml:space="preserve">subsidiary hazard(s): 6.1 </w:t>
      </w:r>
      <w:r w:rsidRPr="00B762C5">
        <w:rPr>
          <w:lang w:eastAsia="en-US"/>
        </w:rPr>
        <w:tab/>
        <w:t xml:space="preserve">packing group PG II </w:t>
      </w:r>
    </w:p>
    <w:p w14:paraId="35215E41" w14:textId="3C9656CA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1.5.3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proposed special provisions, if any: </w:t>
      </w:r>
    </w:p>
    <w:p w14:paraId="5C29C64B" w14:textId="77777777" w:rsidR="00B77BA6" w:rsidRPr="00B762C5" w:rsidRDefault="00B77BA6" w:rsidP="000A2D90">
      <w:pPr>
        <w:pStyle w:val="Bullet1G"/>
        <w:rPr>
          <w:lang w:eastAsia="en-US"/>
        </w:rPr>
      </w:pPr>
      <w:r w:rsidRPr="00B762C5">
        <w:rPr>
          <w:lang w:eastAsia="en-US"/>
        </w:rPr>
        <w:t xml:space="preserve">Limited and excepted quantities: 1 kg, E2 </w:t>
      </w:r>
    </w:p>
    <w:p w14:paraId="49A90D8D" w14:textId="18CCF7FE" w:rsidR="00B77BA6" w:rsidRPr="00B762C5" w:rsidRDefault="0075674E" w:rsidP="000A2D90">
      <w:pPr>
        <w:pStyle w:val="Bullet1G"/>
        <w:rPr>
          <w:lang w:eastAsia="en-US"/>
        </w:rPr>
      </w:pPr>
      <w:r>
        <w:rPr>
          <w:lang w:eastAsia="en-US"/>
        </w:rPr>
        <w:t>S</w:t>
      </w:r>
      <w:r w:rsidR="00B77BA6" w:rsidRPr="00B762C5">
        <w:rPr>
          <w:lang w:eastAsia="en-US"/>
        </w:rPr>
        <w:t xml:space="preserve">pecial packing provisions: B2, B4 </w:t>
      </w:r>
    </w:p>
    <w:p w14:paraId="7579C00C" w14:textId="77777777" w:rsidR="00B77BA6" w:rsidRPr="00B762C5" w:rsidRDefault="00B77BA6" w:rsidP="000A2D90">
      <w:pPr>
        <w:pStyle w:val="Bullet1G"/>
        <w:rPr>
          <w:lang w:eastAsia="en-US"/>
        </w:rPr>
      </w:pPr>
      <w:r w:rsidRPr="00B762C5">
        <w:rPr>
          <w:lang w:eastAsia="en-US"/>
        </w:rPr>
        <w:t xml:space="preserve">Portable tanks and bulk containers: </w:t>
      </w:r>
    </w:p>
    <w:p w14:paraId="5AC986CA" w14:textId="77777777" w:rsidR="00B77BA6" w:rsidRPr="00B762C5" w:rsidRDefault="00B77BA6" w:rsidP="000A2D90">
      <w:pPr>
        <w:pStyle w:val="Bullet1G"/>
        <w:tabs>
          <w:tab w:val="left" w:pos="1985"/>
        </w:tabs>
        <w:ind w:firstLine="0"/>
        <w:rPr>
          <w:lang w:eastAsia="en-US"/>
        </w:rPr>
      </w:pPr>
      <w:r w:rsidRPr="00B762C5">
        <w:rPr>
          <w:lang w:eastAsia="en-US"/>
        </w:rPr>
        <w:t xml:space="preserve">Instructions: T3 </w:t>
      </w:r>
    </w:p>
    <w:p w14:paraId="0044EBF2" w14:textId="77777777" w:rsidR="00B77BA6" w:rsidRPr="00B762C5" w:rsidRDefault="00B77BA6" w:rsidP="000A2D90">
      <w:pPr>
        <w:pStyle w:val="Bullet1G"/>
        <w:tabs>
          <w:tab w:val="left" w:pos="1985"/>
        </w:tabs>
        <w:ind w:firstLine="0"/>
        <w:rPr>
          <w:lang w:eastAsia="en-US"/>
        </w:rPr>
      </w:pPr>
      <w:r w:rsidRPr="00B762C5">
        <w:rPr>
          <w:lang w:eastAsia="en-US"/>
        </w:rPr>
        <w:t xml:space="preserve">Special provisions: TP33 </w:t>
      </w:r>
    </w:p>
    <w:p w14:paraId="6F1C605A" w14:textId="0B6A3716" w:rsidR="00B77BA6" w:rsidRPr="00B762C5" w:rsidRDefault="00B77BA6" w:rsidP="000A2D90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1.5.4 </w:t>
      </w:r>
      <w:r w:rsidR="000A2D90" w:rsidRPr="00B762C5">
        <w:rPr>
          <w:lang w:eastAsia="en-US"/>
        </w:rPr>
        <w:tab/>
      </w:r>
      <w:r w:rsidRPr="00B762C5">
        <w:rPr>
          <w:lang w:eastAsia="en-US"/>
        </w:rPr>
        <w:t xml:space="preserve">proposed packing instruction(s): P002, IBC08 </w:t>
      </w:r>
    </w:p>
    <w:p w14:paraId="2EA95ACD" w14:textId="3772BA2B" w:rsidR="00B77BA6" w:rsidRPr="00B762C5" w:rsidRDefault="000A2D90" w:rsidP="000A2D90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2. PHYSICAL PROPERTIES </w:t>
      </w:r>
    </w:p>
    <w:p w14:paraId="320D4729" w14:textId="65E34253" w:rsidR="00B77BA6" w:rsidRPr="00B762C5" w:rsidRDefault="00B77BA6" w:rsidP="0036704F">
      <w:pPr>
        <w:pStyle w:val="SingleTxtG"/>
        <w:rPr>
          <w:rFonts w:asciiTheme="majorBidi" w:hAnsiTheme="majorBidi" w:cstheme="majorBidi"/>
          <w:lang w:eastAsia="en-US"/>
        </w:rPr>
      </w:pPr>
      <w:r w:rsidRPr="00B762C5">
        <w:rPr>
          <w:rFonts w:asciiTheme="majorBidi" w:hAnsiTheme="majorBidi" w:cstheme="majorBidi"/>
          <w:lang w:eastAsia="en-US"/>
        </w:rPr>
        <w:t xml:space="preserve">2.1 </w:t>
      </w:r>
      <w:r w:rsidR="00CE519F" w:rsidRPr="00B762C5">
        <w:rPr>
          <w:rFonts w:asciiTheme="majorBidi" w:hAnsiTheme="majorBidi" w:cstheme="majorBidi"/>
          <w:lang w:eastAsia="en-US"/>
        </w:rPr>
        <w:tab/>
      </w:r>
      <w:r w:rsidRPr="00B762C5">
        <w:rPr>
          <w:rFonts w:asciiTheme="majorBidi" w:hAnsiTheme="majorBidi" w:cstheme="majorBidi"/>
          <w:lang w:eastAsia="en-US"/>
        </w:rPr>
        <w:t xml:space="preserve">Melting point or range ___ °C </w:t>
      </w:r>
    </w:p>
    <w:p w14:paraId="426FBDD2" w14:textId="39A915B6" w:rsidR="00B77BA6" w:rsidRPr="00B762C5" w:rsidRDefault="00B77BA6" w:rsidP="0036704F">
      <w:pPr>
        <w:pStyle w:val="SingleTxtG"/>
        <w:rPr>
          <w:rFonts w:asciiTheme="majorBidi" w:eastAsia="Calibri" w:hAnsiTheme="majorBidi" w:cstheme="majorBidi"/>
          <w:lang w:eastAsia="en-US"/>
        </w:rPr>
      </w:pPr>
      <w:r w:rsidRPr="00B762C5">
        <w:rPr>
          <w:rFonts w:asciiTheme="majorBidi" w:eastAsia="Calibri" w:hAnsiTheme="majorBidi" w:cstheme="majorBidi"/>
          <w:lang w:eastAsia="en-US"/>
        </w:rPr>
        <w:t>2.2</w:t>
      </w:r>
      <w:r w:rsidR="00CE519F" w:rsidRPr="00B762C5">
        <w:rPr>
          <w:rFonts w:asciiTheme="majorBidi" w:eastAsia="Calibri" w:hAnsiTheme="majorBidi" w:cstheme="majorBidi"/>
          <w:lang w:eastAsia="en-US"/>
        </w:rPr>
        <w:tab/>
      </w:r>
      <w:r w:rsidRPr="00B762C5">
        <w:rPr>
          <w:rFonts w:asciiTheme="majorBidi" w:hAnsiTheme="majorBidi" w:cstheme="majorBidi"/>
          <w:lang w:eastAsia="en-US"/>
        </w:rPr>
        <w:t>Boiling</w:t>
      </w:r>
      <w:r w:rsidRPr="00B762C5">
        <w:rPr>
          <w:rFonts w:asciiTheme="majorBidi" w:eastAsia="Calibri" w:hAnsiTheme="majorBidi" w:cstheme="majorBidi"/>
          <w:lang w:eastAsia="en-US"/>
        </w:rPr>
        <w:t xml:space="preserve"> point or range ___ °C </w:t>
      </w:r>
    </w:p>
    <w:p w14:paraId="53D1F788" w14:textId="6C24C0CA" w:rsidR="00B77BA6" w:rsidRPr="00B762C5" w:rsidRDefault="00B77BA6" w:rsidP="0036704F">
      <w:pPr>
        <w:pStyle w:val="SingleTxtG"/>
        <w:rPr>
          <w:rFonts w:asciiTheme="majorBidi" w:eastAsia="Calibri" w:hAnsiTheme="majorBidi" w:cstheme="majorBidi"/>
          <w:lang w:eastAsia="en-US"/>
        </w:rPr>
      </w:pPr>
      <w:r w:rsidRPr="00B762C5">
        <w:rPr>
          <w:rFonts w:asciiTheme="majorBidi" w:eastAsia="Calibri" w:hAnsiTheme="majorBidi" w:cstheme="majorBidi"/>
          <w:lang w:eastAsia="en-US"/>
        </w:rPr>
        <w:t xml:space="preserve">2.3 </w:t>
      </w:r>
      <w:r w:rsidR="00CE519F" w:rsidRPr="00B762C5">
        <w:rPr>
          <w:rFonts w:asciiTheme="majorBidi" w:eastAsia="Calibri" w:hAnsiTheme="majorBidi" w:cstheme="majorBidi"/>
          <w:lang w:eastAsia="en-US"/>
        </w:rPr>
        <w:tab/>
      </w:r>
      <w:r w:rsidRPr="00B762C5">
        <w:rPr>
          <w:rFonts w:asciiTheme="majorBidi" w:hAnsiTheme="majorBidi" w:cstheme="majorBidi"/>
          <w:lang w:eastAsia="en-US"/>
        </w:rPr>
        <w:t>Relative</w:t>
      </w:r>
      <w:r w:rsidRPr="00B762C5">
        <w:rPr>
          <w:rFonts w:asciiTheme="majorBidi" w:eastAsia="Calibri" w:hAnsiTheme="majorBidi" w:cstheme="majorBidi"/>
          <w:lang w:eastAsia="en-US"/>
        </w:rPr>
        <w:t xml:space="preserve"> density at: </w:t>
      </w:r>
    </w:p>
    <w:p w14:paraId="3911F8DE" w14:textId="1C75FF29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>2.3.1</w:t>
      </w:r>
      <w:r w:rsidR="0075674E">
        <w:rPr>
          <w:lang w:eastAsia="en-US"/>
        </w:rPr>
        <w:tab/>
      </w:r>
      <w:r w:rsidRPr="00B762C5">
        <w:rPr>
          <w:lang w:eastAsia="en-US"/>
        </w:rPr>
        <w:t>15 °C ___</w:t>
      </w:r>
    </w:p>
    <w:p w14:paraId="01853C09" w14:textId="78D104CB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>2.3.2</w:t>
      </w:r>
      <w:r w:rsidR="0075674E">
        <w:rPr>
          <w:lang w:eastAsia="en-US"/>
        </w:rPr>
        <w:tab/>
      </w:r>
      <w:r w:rsidRPr="00B762C5">
        <w:rPr>
          <w:lang w:eastAsia="en-US"/>
        </w:rPr>
        <w:t>20 °C ___</w:t>
      </w:r>
    </w:p>
    <w:p w14:paraId="6F5CE182" w14:textId="14CF34AE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>2.3.3</w:t>
      </w:r>
      <w:r w:rsidR="0075674E">
        <w:rPr>
          <w:lang w:eastAsia="en-US"/>
        </w:rPr>
        <w:tab/>
      </w:r>
      <w:r w:rsidRPr="00B762C5">
        <w:rPr>
          <w:lang w:eastAsia="en-US"/>
        </w:rPr>
        <w:t>50 °C ___</w:t>
      </w:r>
    </w:p>
    <w:p w14:paraId="594439ED" w14:textId="76447E5D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2.4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 xml:space="preserve">Vapour pressure at: </w:t>
      </w:r>
    </w:p>
    <w:p w14:paraId="296F2E83" w14:textId="2D1686E2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>2.4.1</w:t>
      </w:r>
      <w:r w:rsidR="0075674E">
        <w:rPr>
          <w:lang w:eastAsia="en-US"/>
        </w:rPr>
        <w:tab/>
      </w:r>
      <w:r w:rsidRPr="00B762C5">
        <w:rPr>
          <w:lang w:eastAsia="en-US"/>
        </w:rPr>
        <w:t xml:space="preserve">50 °C ___ kPa </w:t>
      </w:r>
    </w:p>
    <w:p w14:paraId="29582345" w14:textId="6A8F1021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>2.4.2</w:t>
      </w:r>
      <w:r w:rsidR="0075674E">
        <w:rPr>
          <w:lang w:eastAsia="en-US"/>
        </w:rPr>
        <w:tab/>
      </w:r>
      <w:r w:rsidRPr="00B762C5">
        <w:rPr>
          <w:lang w:eastAsia="en-US"/>
        </w:rPr>
        <w:t xml:space="preserve">65 °C ___ kPa </w:t>
      </w:r>
    </w:p>
    <w:p w14:paraId="354DD314" w14:textId="3CB0B28B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2.5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>Viscosity at 20 °C</w:t>
      </w:r>
      <w:r w:rsidRPr="00B762C5">
        <w:rPr>
          <w:b/>
          <w:vertAlign w:val="superscript"/>
          <w:lang w:eastAsia="en-US"/>
        </w:rPr>
        <w:t>2</w:t>
      </w:r>
      <w:r w:rsidRPr="00B762C5">
        <w:rPr>
          <w:lang w:eastAsia="en-US"/>
        </w:rPr>
        <w:t xml:space="preserve"> ___ m</w:t>
      </w:r>
      <w:r w:rsidRPr="00B762C5">
        <w:rPr>
          <w:vertAlign w:val="superscript"/>
          <w:lang w:eastAsia="en-US"/>
        </w:rPr>
        <w:t>2</w:t>
      </w:r>
      <w:r w:rsidRPr="00B762C5">
        <w:rPr>
          <w:lang w:eastAsia="en-US"/>
        </w:rPr>
        <w:t xml:space="preserve">/s </w:t>
      </w:r>
    </w:p>
    <w:p w14:paraId="05A764E9" w14:textId="61BE429B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lastRenderedPageBreak/>
        <w:t xml:space="preserve">2.6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 xml:space="preserve">Solubility in water at 20 °C ___ g/100 ml </w:t>
      </w:r>
    </w:p>
    <w:p w14:paraId="01D6EC6E" w14:textId="5B0E126B" w:rsidR="00B77BA6" w:rsidRPr="00B762C5" w:rsidRDefault="00B77BA6" w:rsidP="00CE519F">
      <w:pPr>
        <w:pStyle w:val="SingleTxtG"/>
        <w:rPr>
          <w:b/>
          <w:bCs/>
          <w:lang w:eastAsia="en-US"/>
        </w:rPr>
      </w:pPr>
      <w:r w:rsidRPr="00B762C5">
        <w:rPr>
          <w:lang w:eastAsia="en-US"/>
        </w:rPr>
        <w:t xml:space="preserve">2.7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>Physical state at 20°C (2.2.1.1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u w:val="single"/>
          <w:lang w:eastAsia="en-US"/>
        </w:rPr>
        <w:t>solid</w:t>
      </w:r>
      <w:r w:rsidRPr="00B762C5">
        <w:rPr>
          <w:lang w:eastAsia="en-US"/>
        </w:rPr>
        <w:t>/liquid/gas</w:t>
      </w:r>
      <w:r w:rsidRPr="00B762C5">
        <w:rPr>
          <w:b/>
          <w:vertAlign w:val="superscript"/>
          <w:lang w:eastAsia="en-US"/>
        </w:rPr>
        <w:t>2</w:t>
      </w:r>
      <w:r w:rsidRPr="00B762C5">
        <w:rPr>
          <w:lang w:eastAsia="en-US"/>
        </w:rPr>
        <w:t xml:space="preserve"> </w:t>
      </w:r>
    </w:p>
    <w:p w14:paraId="2D38EAC4" w14:textId="45E5721B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2.8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 xml:space="preserve">Appearance at normal transport temperatures, including colour and odour ___ </w:t>
      </w:r>
    </w:p>
    <w:p w14:paraId="7B931A86" w14:textId="0E574A7B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2.9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 xml:space="preserve">Other relevant physical properties ___ </w:t>
      </w:r>
    </w:p>
    <w:p w14:paraId="556D75CC" w14:textId="1E74CE28" w:rsidR="00B77BA6" w:rsidRPr="00B762C5" w:rsidRDefault="00CE519F" w:rsidP="00CE519F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3. FLAMMABILITY </w:t>
      </w:r>
    </w:p>
    <w:p w14:paraId="634CFB55" w14:textId="02159D4A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3.1 </w:t>
      </w:r>
      <w:r w:rsidR="00CE519F" w:rsidRPr="00B762C5">
        <w:rPr>
          <w:lang w:eastAsia="en-US"/>
        </w:rPr>
        <w:tab/>
      </w:r>
      <w:r w:rsidRPr="00B762C5">
        <w:rPr>
          <w:lang w:eastAsia="en-US"/>
        </w:rPr>
        <w:t xml:space="preserve">Flammable vapour </w:t>
      </w:r>
    </w:p>
    <w:p w14:paraId="1B52DF1F" w14:textId="123FE1AC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3.1.1 </w:t>
      </w:r>
      <w:r w:rsidRPr="00B762C5">
        <w:rPr>
          <w:lang w:eastAsia="en-US"/>
        </w:rPr>
        <w:tab/>
      </w:r>
      <w:r w:rsidR="00CE519F" w:rsidRPr="00B762C5">
        <w:rPr>
          <w:lang w:eastAsia="en-US"/>
        </w:rPr>
        <w:t>F</w:t>
      </w:r>
      <w:r w:rsidRPr="00B762C5">
        <w:rPr>
          <w:lang w:eastAsia="en-US"/>
        </w:rPr>
        <w:t>lash point (2.3.3</w:t>
      </w:r>
      <w:r w:rsidRPr="00B762C5">
        <w:rPr>
          <w:b/>
          <w:vertAlign w:val="superscript"/>
          <w:lang w:eastAsia="en-US"/>
        </w:rPr>
        <w:t>1</w:t>
      </w:r>
      <w:r w:rsidRPr="00B762C5">
        <w:rPr>
          <w:lang w:eastAsia="en-US"/>
        </w:rPr>
        <w:t xml:space="preserve">) ___ °C oc/cc </w:t>
      </w:r>
    </w:p>
    <w:p w14:paraId="554669AC" w14:textId="3D736757" w:rsidR="00B77BA6" w:rsidRPr="00B762C5" w:rsidRDefault="00B77BA6" w:rsidP="00CE519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3.1.2 </w:t>
      </w:r>
      <w:r w:rsidRPr="00B762C5">
        <w:rPr>
          <w:lang w:eastAsia="en-US"/>
        </w:rPr>
        <w:tab/>
      </w:r>
      <w:r w:rsidR="00F86E1D">
        <w:rPr>
          <w:lang w:eastAsia="en-US"/>
        </w:rPr>
        <w:t>I</w:t>
      </w:r>
      <w:r w:rsidRPr="00F86E1D">
        <w:rPr>
          <w:lang w:eastAsia="en-US"/>
        </w:rPr>
        <w:t>s combustion</w:t>
      </w:r>
      <w:r w:rsidRPr="00B762C5">
        <w:rPr>
          <w:lang w:eastAsia="en-US"/>
        </w:rPr>
        <w:t xml:space="preserve"> sustained? (2.3.1.3</w:t>
      </w:r>
      <w:r w:rsidRPr="00B762C5">
        <w:rPr>
          <w:b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0950DB48" w14:textId="4C891F78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Autoignition temperature ___ °C </w:t>
      </w:r>
    </w:p>
    <w:p w14:paraId="7DF90CEE" w14:textId="438925E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Flammability range (LEL/UEL) ___ % </w:t>
      </w:r>
    </w:p>
    <w:p w14:paraId="5671F401" w14:textId="7F8094B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3.4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a flammable solid? (2.4.2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6CAAB9A1" w14:textId="6C16D25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>3.4.1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6CA04B93" w14:textId="0DE0EAE0" w:rsidR="00B77BA6" w:rsidRPr="00B762C5" w:rsidRDefault="00707ADF" w:rsidP="00707ADF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4. CHEMICAL PROPERTIES </w:t>
      </w:r>
    </w:p>
    <w:p w14:paraId="5C802A6E" w14:textId="089F5551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Does the substance require inhibition/stabilization or other treatment such as nitrogen blanket to prevent hazardous reactivity? </w:t>
      </w:r>
      <w:r w:rsidRPr="00B762C5">
        <w:rPr>
          <w:lang w:eastAsia="en-US"/>
        </w:rPr>
        <w:tab/>
        <w:t xml:space="preserve">yes/no </w:t>
      </w:r>
    </w:p>
    <w:p w14:paraId="3BE8AAAF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If yes, state: </w:t>
      </w:r>
    </w:p>
    <w:p w14:paraId="67E8C48D" w14:textId="6398C8E9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Inhibitor/stabilizer used ___ </w:t>
      </w:r>
    </w:p>
    <w:p w14:paraId="67C95247" w14:textId="77606D3B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Alternative method ___ </w:t>
      </w:r>
    </w:p>
    <w:p w14:paraId="31664DB4" w14:textId="494B616D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Time effective at 55 °C ___ </w:t>
      </w:r>
    </w:p>
    <w:p w14:paraId="3CBFB90C" w14:textId="6BE56923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4.1.4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Conditions rendering it ineffective ___ </w:t>
      </w:r>
    </w:p>
    <w:p w14:paraId="222AE637" w14:textId="5AFF5C0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an explosive according to paragraph 2.1.1.1? (2.1</w:t>
      </w:r>
      <w:r w:rsidRPr="00B762C5">
        <w:rPr>
          <w:b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62CE9230" w14:textId="117B2DC6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4.2.1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29CB1CD9" w14:textId="3D97D09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a desensitized explosive? (2.4.2.4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701E6966" w14:textId="042AB5AF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4.3.1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59BE7393" w14:textId="7588B936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a self-reactive substance? (2.4.1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7A64C277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If yes, state: </w:t>
      </w:r>
    </w:p>
    <w:p w14:paraId="068536EF" w14:textId="19364721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exit box of flow chart ___ </w:t>
      </w:r>
    </w:p>
    <w:p w14:paraId="3F993149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>What is the self-accelerating decomposition temperature (SADT) for a 50 kg package?  °C</w:t>
      </w:r>
    </w:p>
    <w:p w14:paraId="73049BC7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>Is the temperature control required? (2.4.2.3.4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12D90E77" w14:textId="52536FDD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proposed control temperature for a 50 kg package ___ °C </w:t>
      </w:r>
    </w:p>
    <w:p w14:paraId="2C0CB7BC" w14:textId="4D5DE44D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proposed emergency temperature for a 50 kg package ___ °C </w:t>
      </w:r>
    </w:p>
    <w:p w14:paraId="7EF16C3A" w14:textId="260C45E6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4.5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pyrophoric? (2.4.3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0ED1F179" w14:textId="3FE25FE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4.5.1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272960F0" w14:textId="6A86B2A1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4.6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liable to self-heating? (2.4.3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79789094" w14:textId="4C7FB8C8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4.6.1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214F8337" w14:textId="5AE0B8E1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Is the substance an organic peroxide (2.5.1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02699BCB" w14:textId="610B99C1" w:rsidR="00B77BA6" w:rsidRPr="00B762C5" w:rsidRDefault="00707ADF" w:rsidP="00707ADF">
      <w:pPr>
        <w:pStyle w:val="SingleTxtG"/>
        <w:rPr>
          <w:lang w:eastAsia="en-US"/>
        </w:rPr>
      </w:pP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="00B77BA6" w:rsidRPr="00B762C5">
        <w:rPr>
          <w:lang w:eastAsia="en-US"/>
        </w:rPr>
        <w:t xml:space="preserve">If yes state: </w:t>
      </w:r>
    </w:p>
    <w:p w14:paraId="288A60D0" w14:textId="15165B08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exit box of flow chart ___ </w:t>
      </w:r>
    </w:p>
    <w:p w14:paraId="5FB0C987" w14:textId="4F10F85E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lastRenderedPageBreak/>
        <w:t>What is the self</w:t>
      </w:r>
      <w:r w:rsidR="0075674E">
        <w:rPr>
          <w:lang w:eastAsia="en-US"/>
        </w:rPr>
        <w:t>-</w:t>
      </w:r>
      <w:r w:rsidRPr="00B762C5">
        <w:rPr>
          <w:lang w:eastAsia="en-US"/>
        </w:rPr>
        <w:t xml:space="preserve">accelerating decomposition temperature (SADT) for a 50 kg package? ___ °C </w:t>
      </w:r>
    </w:p>
    <w:p w14:paraId="1C303934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>Is temperature control required? (2.5.3.4.1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010F4EB8" w14:textId="15AEF430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proposed control temperature for a 50 kg package ___ °C </w:t>
      </w:r>
    </w:p>
    <w:p w14:paraId="434B9F9E" w14:textId="73DA845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proposed emergency temperature for a 50 kg package ___ °C </w:t>
      </w:r>
    </w:p>
    <w:p w14:paraId="473741C6" w14:textId="2113F292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4.8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Does the substance in contact with water emit flammable gases? (2.4.4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2DE311E9" w14:textId="154D9359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4.8.1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7B32EE55" w14:textId="5C1A7BA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4.9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Does the substance have oxidizing properties (2.5.1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6BEE3926" w14:textId="7F07541E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4.9.1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If yes, give details ___ </w:t>
      </w:r>
    </w:p>
    <w:p w14:paraId="2D1353D4" w14:textId="5732EC8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Corrosivity (2.8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to: </w:t>
      </w:r>
    </w:p>
    <w:p w14:paraId="5983AA94" w14:textId="57A99531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mild steel ___ mm/year at ___ °C </w:t>
      </w:r>
    </w:p>
    <w:p w14:paraId="2B33E34F" w14:textId="1FCD6CF1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aluminium ___ mm/year at ___ °C </w:t>
      </w:r>
    </w:p>
    <w:p w14:paraId="00A404A0" w14:textId="26D921D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other packaging materials (specify) </w:t>
      </w:r>
    </w:p>
    <w:p w14:paraId="2F522712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___ mm/year at ___ °C </w:t>
      </w:r>
    </w:p>
    <w:p w14:paraId="7DB1B92D" w14:textId="777777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___ mm/year at ___ °C </w:t>
      </w:r>
    </w:p>
    <w:p w14:paraId="2619DE4F" w14:textId="72F4B342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Other relevant chemical properties ___ </w:t>
      </w:r>
    </w:p>
    <w:p w14:paraId="49724E98" w14:textId="503C0D2E" w:rsidR="00B77BA6" w:rsidRPr="00B762C5" w:rsidRDefault="00707ADF" w:rsidP="00707ADF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5. HARMFUL BIOLOGICAL EFFECTS </w:t>
      </w:r>
    </w:p>
    <w:p w14:paraId="413E0B83" w14:textId="5527A569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LD</w:t>
      </w:r>
      <w:r w:rsidRPr="00B762C5">
        <w:rPr>
          <w:vertAlign w:val="subscript"/>
          <w:lang w:eastAsia="en-US"/>
        </w:rPr>
        <w:t>50</w:t>
      </w:r>
      <w:r w:rsidRPr="00B762C5">
        <w:rPr>
          <w:lang w:eastAsia="en-US"/>
        </w:rPr>
        <w:t>, oral (2.6.2.1.1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>) 1276 mg/kg bw to 1352 mg/kg bw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</w:p>
    <w:p w14:paraId="044C88D2" w14:textId="6655E841" w:rsidR="00B77BA6" w:rsidRPr="00B762C5" w:rsidRDefault="00707ADF" w:rsidP="00707ADF">
      <w:pPr>
        <w:pStyle w:val="SingleTxtG"/>
        <w:rPr>
          <w:lang w:eastAsia="en-US"/>
        </w:rPr>
      </w:pP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="00B77BA6" w:rsidRPr="00B762C5">
        <w:rPr>
          <w:lang w:eastAsia="en-US"/>
        </w:rPr>
        <w:t>Animal species: Mouse</w:t>
      </w:r>
      <w:r w:rsidR="00B77BA6" w:rsidRPr="00B762C5">
        <w:rPr>
          <w:vertAlign w:val="subscript"/>
          <w:lang w:eastAsia="en-US"/>
        </w:rPr>
        <w:t>m/f</w:t>
      </w:r>
      <w:r w:rsidR="00B77BA6" w:rsidRPr="00B762C5">
        <w:rPr>
          <w:lang w:eastAsia="en-US"/>
        </w:rPr>
        <w:t xml:space="preserve"> (CD-1) </w:t>
      </w:r>
    </w:p>
    <w:p w14:paraId="072986CE" w14:textId="6D019C56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LD</w:t>
      </w:r>
      <w:r w:rsidRPr="00B762C5">
        <w:rPr>
          <w:vertAlign w:val="subscript"/>
          <w:lang w:eastAsia="en-US"/>
        </w:rPr>
        <w:t>50</w:t>
      </w:r>
      <w:r w:rsidRPr="00B762C5">
        <w:rPr>
          <w:lang w:eastAsia="en-US"/>
        </w:rPr>
        <w:t>, dermal (2.6.2.1.2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780 mg/kg bw </w:t>
      </w:r>
      <w:r w:rsidRPr="00B762C5">
        <w:rPr>
          <w:lang w:eastAsia="en-US"/>
        </w:rPr>
        <w:tab/>
        <w:t>Animal species: Rat</w:t>
      </w:r>
      <w:r w:rsidRPr="00B762C5">
        <w:rPr>
          <w:vertAlign w:val="subscript"/>
          <w:lang w:eastAsia="en-US"/>
        </w:rPr>
        <w:t>m/f</w:t>
      </w:r>
      <w:r w:rsidRPr="00B762C5">
        <w:rPr>
          <w:lang w:eastAsia="en-US"/>
        </w:rPr>
        <w:t xml:space="preserve"> (Sprague-Dawley) </w:t>
      </w:r>
    </w:p>
    <w:p w14:paraId="5F254E3F" w14:textId="71D77E5C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LC</w:t>
      </w:r>
      <w:r w:rsidRPr="00B762C5">
        <w:rPr>
          <w:vertAlign w:val="subscript"/>
          <w:lang w:eastAsia="en-US"/>
        </w:rPr>
        <w:t>50</w:t>
      </w:r>
      <w:r w:rsidRPr="00B762C5">
        <w:rPr>
          <w:lang w:eastAsia="en-US"/>
        </w:rPr>
        <w:t>, inhalation (2.6.2.1.3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___ mg/litre </w:t>
      </w:r>
      <w:r w:rsidRPr="00B762C5">
        <w:rPr>
          <w:lang w:eastAsia="en-US"/>
        </w:rPr>
        <w:tab/>
        <w:t xml:space="preserve">Exposure time ___ hours </w:t>
      </w:r>
    </w:p>
    <w:p w14:paraId="3537B6AE" w14:textId="77777777" w:rsidR="00B77BA6" w:rsidRPr="00B762C5" w:rsidRDefault="00B77BA6" w:rsidP="00707ADF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>or ___ ml/m</w:t>
      </w:r>
      <w:r w:rsidRPr="00B762C5">
        <w:rPr>
          <w:vertAlign w:val="superscript"/>
          <w:lang w:eastAsia="en-US"/>
        </w:rPr>
        <w:t>3</w:t>
      </w:r>
      <w:r w:rsidRPr="00B762C5">
        <w:rPr>
          <w:lang w:eastAsia="en-US"/>
        </w:rPr>
        <w:t xml:space="preserve">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Animal species ___ </w:t>
      </w:r>
    </w:p>
    <w:p w14:paraId="35680B5A" w14:textId="5612F912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5.4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Saturated vapour concentration at 20 °C (2.6.2.2.4.3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>) ___ ml/m</w:t>
      </w:r>
      <w:r w:rsidRPr="00B762C5">
        <w:rPr>
          <w:vertAlign w:val="superscript"/>
          <w:lang w:eastAsia="en-US"/>
        </w:rPr>
        <w:t>3</w:t>
      </w:r>
      <w:r w:rsidRPr="00B762C5">
        <w:rPr>
          <w:lang w:eastAsia="en-US"/>
        </w:rPr>
        <w:t xml:space="preserve"> </w:t>
      </w:r>
    </w:p>
    <w:p w14:paraId="738842E0" w14:textId="30EA07F9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5.5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Skin exposure (2.8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results </w:t>
      </w:r>
      <w:r w:rsidRPr="00B762C5">
        <w:rPr>
          <w:lang w:eastAsia="en-US"/>
        </w:rPr>
        <w:tab/>
        <w:t xml:space="preserve">Exposure time 15 minutes </w:t>
      </w:r>
    </w:p>
    <w:p w14:paraId="4D7A7AA5" w14:textId="2D9D129A" w:rsidR="00B77BA6" w:rsidRPr="00B762C5" w:rsidRDefault="00707ADF" w:rsidP="00707ADF">
      <w:pPr>
        <w:pStyle w:val="SingleTxtG"/>
        <w:rPr>
          <w:lang w:eastAsia="en-US"/>
        </w:rPr>
      </w:pP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="00B77BA6" w:rsidRPr="00B762C5">
        <w:rPr>
          <w:lang w:eastAsia="en-US"/>
        </w:rPr>
        <w:t xml:space="preserve">Animal species: Rabbit </w:t>
      </w:r>
    </w:p>
    <w:p w14:paraId="6EBFDBBD" w14:textId="68F33A5D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5.6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Other data ___ </w:t>
      </w:r>
    </w:p>
    <w:p w14:paraId="515DCCA8" w14:textId="1D40AC88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5.7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Human experience ___ </w:t>
      </w:r>
    </w:p>
    <w:p w14:paraId="1681318F" w14:textId="007EF1A5" w:rsidR="00B77BA6" w:rsidRPr="00B762C5" w:rsidRDefault="00707ADF" w:rsidP="00707ADF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6. SUPPLEMENTARY INFORMATION </w:t>
      </w:r>
    </w:p>
    <w:p w14:paraId="7556FD55" w14:textId="2108F7B9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Recommended emergency action </w:t>
      </w:r>
    </w:p>
    <w:p w14:paraId="2541A389" w14:textId="70143132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6.1.1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Fire (include suitable and unsuitable extinguishing agents) ___ </w:t>
      </w:r>
    </w:p>
    <w:p w14:paraId="622B89C5" w14:textId="51B05153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6.1.2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Spillage ___ </w:t>
      </w:r>
    </w:p>
    <w:p w14:paraId="3B5143F3" w14:textId="742CACA6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Is it proposed to transport the substance in: </w:t>
      </w:r>
    </w:p>
    <w:p w14:paraId="37A8A502" w14:textId="70E851CA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Bulk Containers (6.8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5BCF0E7F" w14:textId="1B96AB65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Intermediate Bulk Containers (6.5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)? </w:t>
      </w:r>
      <w:r w:rsidRPr="00B762C5">
        <w:rPr>
          <w:lang w:eastAsia="en-US"/>
        </w:rPr>
        <w:tab/>
        <w:t xml:space="preserve">yes/no </w:t>
      </w:r>
    </w:p>
    <w:p w14:paraId="316C16FF" w14:textId="7E3A02A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>Portable tanks (6.7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)?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1ABB0DF4" w14:textId="77777777" w:rsidR="00B77BA6" w:rsidRPr="00B762C5" w:rsidRDefault="00B77BA6" w:rsidP="00707ADF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>If yes, give details in Sections 7, 8 and/or 9.</w:t>
      </w:r>
    </w:p>
    <w:p w14:paraId="1B1828E3" w14:textId="77777777" w:rsidR="007B0C0F" w:rsidRPr="00B762C5" w:rsidRDefault="007B0C0F" w:rsidP="00B77BA6">
      <w:pPr>
        <w:suppressAutoHyphens w:val="0"/>
        <w:kinsoku/>
        <w:overflowPunct/>
        <w:autoSpaceDE/>
        <w:autoSpaceDN/>
        <w:adjustRightInd/>
        <w:snapToGrid/>
        <w:spacing w:after="160" w:line="256" w:lineRule="auto"/>
        <w:ind w:left="1134" w:hanging="567"/>
        <w:rPr>
          <w:rFonts w:ascii="Arial" w:eastAsia="Calibri" w:hAnsi="Arial" w:cs="Arial"/>
          <w:sz w:val="22"/>
          <w:szCs w:val="22"/>
          <w:lang w:eastAsia="en-US"/>
        </w:rPr>
      </w:pPr>
    </w:p>
    <w:p w14:paraId="151310E6" w14:textId="06EE3F1C" w:rsidR="00B77BA6" w:rsidRPr="00B762C5" w:rsidRDefault="00707ADF" w:rsidP="00707ADF">
      <w:pPr>
        <w:pStyle w:val="H1G"/>
        <w:rPr>
          <w:lang w:val="en-GB"/>
        </w:rPr>
      </w:pPr>
      <w:r w:rsidRPr="00B762C5">
        <w:rPr>
          <w:lang w:val="en-GB"/>
        </w:rPr>
        <w:lastRenderedPageBreak/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7. BULK CONTAINERS (only complete if yes in 6.2.1) </w:t>
      </w:r>
    </w:p>
    <w:p w14:paraId="177C176E" w14:textId="7CF7C1AD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7.1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Proposed type(s) ___ </w:t>
      </w:r>
    </w:p>
    <w:p w14:paraId="0E9BA291" w14:textId="45C92D74" w:rsidR="00B77BA6" w:rsidRPr="00B762C5" w:rsidRDefault="00707ADF" w:rsidP="00707ADF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8. INTERMEDIATE BULK CONTAINERS (IBCs) (only complete if yes in 6.2.2) </w:t>
      </w:r>
    </w:p>
    <w:p w14:paraId="03B852B8" w14:textId="51E193DB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8.1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Proposed type(s) ___ </w:t>
      </w:r>
    </w:p>
    <w:p w14:paraId="514A1F9B" w14:textId="4314A097" w:rsidR="00B77BA6" w:rsidRPr="00B762C5" w:rsidRDefault="00707ADF" w:rsidP="00707ADF">
      <w:pPr>
        <w:pStyle w:val="H1G"/>
        <w:rPr>
          <w:lang w:val="en-GB"/>
        </w:rPr>
      </w:pPr>
      <w:r w:rsidRPr="00B762C5">
        <w:rPr>
          <w:lang w:val="en-GB"/>
        </w:rPr>
        <w:tab/>
      </w:r>
      <w:r w:rsidRPr="00B762C5">
        <w:rPr>
          <w:lang w:val="en-GB"/>
        </w:rPr>
        <w:tab/>
      </w:r>
      <w:r w:rsidR="00B77BA6" w:rsidRPr="00B762C5">
        <w:rPr>
          <w:lang w:val="en-GB"/>
        </w:rPr>
        <w:t xml:space="preserve">Section 9. MULTIMODAL TANK TRANSPORT (only complete if yes in 6.2.3) </w:t>
      </w:r>
    </w:p>
    <w:p w14:paraId="23AB5115" w14:textId="09618977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9.1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Description of proposed tank (including IMO tank type if known) ___ </w:t>
      </w:r>
    </w:p>
    <w:p w14:paraId="7E5248F3" w14:textId="7DE34E14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9.2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Minimum test pressure ___ </w:t>
      </w:r>
    </w:p>
    <w:p w14:paraId="35C58691" w14:textId="143749C8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9.3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Minimum shell thickness ___ </w:t>
      </w:r>
    </w:p>
    <w:p w14:paraId="75C83EEA" w14:textId="28164284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9.4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Details of bottom openings, if any ___ </w:t>
      </w:r>
    </w:p>
    <w:p w14:paraId="1E2299D6" w14:textId="79029904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9.5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Pressure relief arrangements ___ </w:t>
      </w:r>
    </w:p>
    <w:p w14:paraId="30745FC4" w14:textId="73B53133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9.6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Degree of filling ___ </w:t>
      </w:r>
    </w:p>
    <w:p w14:paraId="7B8A9E71" w14:textId="092D7062" w:rsidR="00B77BA6" w:rsidRPr="00B762C5" w:rsidRDefault="00B77BA6" w:rsidP="00707ADF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9.7 </w:t>
      </w:r>
      <w:r w:rsidR="00707ADF" w:rsidRPr="00B762C5">
        <w:rPr>
          <w:lang w:eastAsia="en-US"/>
        </w:rPr>
        <w:tab/>
      </w:r>
      <w:r w:rsidRPr="00B762C5">
        <w:rPr>
          <w:lang w:eastAsia="en-US"/>
        </w:rPr>
        <w:t xml:space="preserve">Unsuitable construction materials ___ </w:t>
      </w:r>
    </w:p>
    <w:p w14:paraId="7EB8CE1F" w14:textId="2F3D2702" w:rsidR="00B77BA6" w:rsidRPr="00707ADF" w:rsidRDefault="00707ADF" w:rsidP="00707A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7BA6" w:rsidRPr="00707ADF" w:rsidSect="0054764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17F6" w14:textId="77777777" w:rsidR="003F492A" w:rsidRPr="00C47B2E" w:rsidRDefault="003F492A" w:rsidP="00C47B2E">
      <w:pPr>
        <w:pStyle w:val="Pieddepage"/>
      </w:pPr>
    </w:p>
  </w:endnote>
  <w:endnote w:type="continuationSeparator" w:id="0">
    <w:p w14:paraId="758A29A2" w14:textId="77777777" w:rsidR="003F492A" w:rsidRPr="00C47B2E" w:rsidRDefault="003F492A" w:rsidP="00C47B2E">
      <w:pPr>
        <w:pStyle w:val="Pieddepage"/>
      </w:pPr>
    </w:p>
  </w:endnote>
  <w:endnote w:type="continuationNotice" w:id="1">
    <w:p w14:paraId="5FF171B2" w14:textId="77777777" w:rsidR="003F492A" w:rsidRPr="00C47B2E" w:rsidRDefault="003F492A" w:rsidP="00C47B2E">
      <w:pPr>
        <w:pStyle w:val="Pieddepa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75C7" w14:textId="2DDFE774" w:rsidR="00AB4A89" w:rsidRPr="00D57F64" w:rsidRDefault="00AB4A89" w:rsidP="00D57F64">
    <w:pPr>
      <w:pStyle w:val="Pieddepage"/>
      <w:tabs>
        <w:tab w:val="right" w:pos="9598"/>
        <w:tab w:val="right" w:pos="9638"/>
      </w:tabs>
      <w:rPr>
        <w:sz w:val="18"/>
      </w:rPr>
    </w:pPr>
    <w:r w:rsidRPr="00D57F64">
      <w:rPr>
        <w:b/>
        <w:sz w:val="18"/>
      </w:rPr>
      <w:fldChar w:fldCharType="begin"/>
    </w:r>
    <w:r w:rsidRPr="00D57F64">
      <w:rPr>
        <w:b/>
        <w:sz w:val="18"/>
      </w:rPr>
      <w:instrText xml:space="preserve"> PAGE  \* MERGEFORMAT </w:instrText>
    </w:r>
    <w:r w:rsidRPr="00D57F64">
      <w:rPr>
        <w:b/>
        <w:sz w:val="18"/>
      </w:rPr>
      <w:fldChar w:fldCharType="separate"/>
    </w:r>
    <w:r w:rsidR="00460EFE">
      <w:rPr>
        <w:b/>
        <w:noProof/>
        <w:sz w:val="18"/>
      </w:rPr>
      <w:t>2</w:t>
    </w:r>
    <w:r w:rsidRPr="00D57F6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6328" w14:textId="77777777" w:rsidR="00AB4A89" w:rsidRPr="00D57F64" w:rsidRDefault="00AB4A89" w:rsidP="00B77BA6">
    <w:pPr>
      <w:pStyle w:val="Pieddepage"/>
      <w:tabs>
        <w:tab w:val="left" w:pos="850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57F64">
      <w:rPr>
        <w:sz w:val="18"/>
      </w:rPr>
      <w:fldChar w:fldCharType="begin"/>
    </w:r>
    <w:r w:rsidRPr="00D57F64">
      <w:rPr>
        <w:sz w:val="18"/>
      </w:rPr>
      <w:instrText xml:space="preserve"> PAGE  \* MERGEFORMAT </w:instrText>
    </w:r>
    <w:r w:rsidRPr="00D57F64">
      <w:rPr>
        <w:sz w:val="18"/>
      </w:rPr>
      <w:fldChar w:fldCharType="separate"/>
    </w:r>
    <w:r w:rsidR="00460EFE">
      <w:rPr>
        <w:noProof/>
        <w:sz w:val="18"/>
      </w:rPr>
      <w:t>3</w:t>
    </w:r>
    <w:r w:rsidRPr="00D57F6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BEB3" w14:textId="77777777" w:rsidR="003F492A" w:rsidRPr="00C47B2E" w:rsidRDefault="003F492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5FA79CC" w14:textId="77777777" w:rsidR="003F492A" w:rsidRPr="00C47B2E" w:rsidRDefault="003F492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0B471FF" w14:textId="77777777" w:rsidR="003F492A" w:rsidRPr="00C47B2E" w:rsidRDefault="003F492A" w:rsidP="00C47B2E">
      <w:pPr>
        <w:pStyle w:val="Pied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0F12" w14:textId="4A4CDDB9" w:rsidR="00AB4A89" w:rsidRPr="00EB4710" w:rsidRDefault="00EB4710" w:rsidP="00EB4710">
    <w:pPr>
      <w:pStyle w:val="En-tte"/>
    </w:pPr>
    <w:r w:rsidRPr="00340E2C">
      <w:rPr>
        <w:lang w:val="nl-NL"/>
      </w:rPr>
      <w:t>UN/SCETDG/5</w:t>
    </w:r>
    <w:r>
      <w:rPr>
        <w:lang w:val="nl-NL"/>
      </w:rPr>
      <w:t>7</w:t>
    </w:r>
    <w:r w:rsidRPr="00340E2C">
      <w:rPr>
        <w:lang w:val="nl-NL"/>
      </w:rPr>
      <w:t>/INF.</w:t>
    </w:r>
    <w:r w:rsidR="000A2D90">
      <w:rPr>
        <w:lang w:val="nl-NL"/>
      </w:rPr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D9CB" w14:textId="4009D7BD" w:rsidR="000174F1" w:rsidRPr="000174F1" w:rsidRDefault="000174F1" w:rsidP="000174F1">
    <w:pPr>
      <w:pStyle w:val="En-tte"/>
      <w:jc w:val="right"/>
    </w:pPr>
    <w:r w:rsidRPr="000174F1">
      <w:rPr>
        <w:lang w:val="nl-NL"/>
      </w:rPr>
      <w:t>UN/SCETDG/57/INF.</w:t>
    </w:r>
    <w:r w:rsidR="00343BD8">
      <w:rPr>
        <w:lang w:val="nl-NL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21"/>
    <w:multiLevelType w:val="hybridMultilevel"/>
    <w:tmpl w:val="F35A7A1A"/>
    <w:lvl w:ilvl="0" w:tplc="FAE4B376">
      <w:start w:val="1"/>
      <w:numFmt w:val="bullet"/>
      <w:lvlText w:val="•"/>
      <w:lvlJc w:val="left"/>
      <w:pPr>
        <w:ind w:left="2847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77A4C3A"/>
    <w:multiLevelType w:val="hybridMultilevel"/>
    <w:tmpl w:val="2BA8276A"/>
    <w:lvl w:ilvl="0" w:tplc="204C48DA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789E"/>
    <w:multiLevelType w:val="hybridMultilevel"/>
    <w:tmpl w:val="E4C4D916"/>
    <w:lvl w:ilvl="0" w:tplc="51DE32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18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8DD7BC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3216E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1FD63EB"/>
    <w:multiLevelType w:val="hybridMultilevel"/>
    <w:tmpl w:val="DE66820C"/>
    <w:lvl w:ilvl="0" w:tplc="FAE4B376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2300B37"/>
    <w:multiLevelType w:val="hybridMultilevel"/>
    <w:tmpl w:val="CF3A8206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7CE09E9"/>
    <w:multiLevelType w:val="hybridMultilevel"/>
    <w:tmpl w:val="0C404DF8"/>
    <w:lvl w:ilvl="0" w:tplc="ED4E7182">
      <w:numFmt w:val="bullet"/>
      <w:lvlText w:val="-"/>
      <w:lvlJc w:val="left"/>
      <w:pPr>
        <w:ind w:left="1494" w:hanging="360"/>
      </w:pPr>
      <w:rPr>
        <w:rFonts w:ascii="Times New Roman" w:eastAsia="SimSu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8486DB0"/>
    <w:multiLevelType w:val="hybridMultilevel"/>
    <w:tmpl w:val="8438C0E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B7347"/>
    <w:multiLevelType w:val="hybridMultilevel"/>
    <w:tmpl w:val="67C2E93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75012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DAF6763"/>
    <w:multiLevelType w:val="hybridMultilevel"/>
    <w:tmpl w:val="AF30625C"/>
    <w:lvl w:ilvl="0" w:tplc="1D0A6D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21"/>
  </w:num>
  <w:num w:numId="7">
    <w:abstractNumId w:val="4"/>
  </w:num>
  <w:num w:numId="8">
    <w:abstractNumId w:val="1"/>
  </w:num>
  <w:num w:numId="9">
    <w:abstractNumId w:val="18"/>
  </w:num>
  <w:num w:numId="10">
    <w:abstractNumId w:val="1"/>
  </w:num>
  <w:num w:numId="11">
    <w:abstractNumId w:val="18"/>
  </w:num>
  <w:num w:numId="12">
    <w:abstractNumId w:val="3"/>
  </w:num>
  <w:num w:numId="13">
    <w:abstractNumId w:val="3"/>
  </w:num>
  <w:num w:numId="14">
    <w:abstractNumId w:val="14"/>
  </w:num>
  <w:num w:numId="15">
    <w:abstractNumId w:val="16"/>
  </w:num>
  <w:num w:numId="16">
    <w:abstractNumId w:val="2"/>
  </w:num>
  <w:num w:numId="17">
    <w:abstractNumId w:val="22"/>
  </w:num>
  <w:num w:numId="18">
    <w:abstractNumId w:val="7"/>
  </w:num>
  <w:num w:numId="19">
    <w:abstractNumId w:val="17"/>
  </w:num>
  <w:num w:numId="20">
    <w:abstractNumId w:val="5"/>
  </w:num>
  <w:num w:numId="21">
    <w:abstractNumId w:val="11"/>
  </w:num>
  <w:num w:numId="22">
    <w:abstractNumId w:val="9"/>
  </w:num>
  <w:num w:numId="23">
    <w:abstractNumId w:val="20"/>
  </w:num>
  <w:num w:numId="24">
    <w:abstractNumId w:val="10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4"/>
    <w:rsid w:val="00005782"/>
    <w:rsid w:val="000174F1"/>
    <w:rsid w:val="00036819"/>
    <w:rsid w:val="0004244F"/>
    <w:rsid w:val="00046907"/>
    <w:rsid w:val="00046E92"/>
    <w:rsid w:val="00063C90"/>
    <w:rsid w:val="000678A1"/>
    <w:rsid w:val="0007363F"/>
    <w:rsid w:val="000A2D90"/>
    <w:rsid w:val="000A7C54"/>
    <w:rsid w:val="000C7792"/>
    <w:rsid w:val="000D737C"/>
    <w:rsid w:val="000E256C"/>
    <w:rsid w:val="00101B98"/>
    <w:rsid w:val="00107BE5"/>
    <w:rsid w:val="00123963"/>
    <w:rsid w:val="001514D1"/>
    <w:rsid w:val="00156639"/>
    <w:rsid w:val="00176565"/>
    <w:rsid w:val="001A2944"/>
    <w:rsid w:val="001A5AC7"/>
    <w:rsid w:val="001B1852"/>
    <w:rsid w:val="001E3D58"/>
    <w:rsid w:val="001F6C02"/>
    <w:rsid w:val="00245980"/>
    <w:rsid w:val="00247E2C"/>
    <w:rsid w:val="00253BF6"/>
    <w:rsid w:val="0025412B"/>
    <w:rsid w:val="00272E1A"/>
    <w:rsid w:val="00285C80"/>
    <w:rsid w:val="002A32CB"/>
    <w:rsid w:val="002C659A"/>
    <w:rsid w:val="002D1BC4"/>
    <w:rsid w:val="002D22F5"/>
    <w:rsid w:val="002D5B2C"/>
    <w:rsid w:val="002D6C53"/>
    <w:rsid w:val="002F5595"/>
    <w:rsid w:val="00302446"/>
    <w:rsid w:val="00314DD3"/>
    <w:rsid w:val="00320D6D"/>
    <w:rsid w:val="00334F6A"/>
    <w:rsid w:val="00342AC8"/>
    <w:rsid w:val="00343302"/>
    <w:rsid w:val="00343BD8"/>
    <w:rsid w:val="0035091E"/>
    <w:rsid w:val="00361891"/>
    <w:rsid w:val="0036704F"/>
    <w:rsid w:val="00373380"/>
    <w:rsid w:val="0038537D"/>
    <w:rsid w:val="00395A47"/>
    <w:rsid w:val="003979DE"/>
    <w:rsid w:val="003A0872"/>
    <w:rsid w:val="003A1115"/>
    <w:rsid w:val="003B4550"/>
    <w:rsid w:val="003D2A18"/>
    <w:rsid w:val="003E199E"/>
    <w:rsid w:val="003F448B"/>
    <w:rsid w:val="003F492A"/>
    <w:rsid w:val="003F6317"/>
    <w:rsid w:val="00405152"/>
    <w:rsid w:val="00413386"/>
    <w:rsid w:val="0041767E"/>
    <w:rsid w:val="00424C35"/>
    <w:rsid w:val="004367A2"/>
    <w:rsid w:val="00460EFE"/>
    <w:rsid w:val="00461253"/>
    <w:rsid w:val="004858F5"/>
    <w:rsid w:val="004A1E91"/>
    <w:rsid w:val="004A2519"/>
    <w:rsid w:val="004A2814"/>
    <w:rsid w:val="004C0622"/>
    <w:rsid w:val="005042C2"/>
    <w:rsid w:val="00523711"/>
    <w:rsid w:val="00527DF7"/>
    <w:rsid w:val="005300EF"/>
    <w:rsid w:val="00534873"/>
    <w:rsid w:val="00543269"/>
    <w:rsid w:val="00547641"/>
    <w:rsid w:val="005712FF"/>
    <w:rsid w:val="0059112E"/>
    <w:rsid w:val="005E4E06"/>
    <w:rsid w:val="005E716E"/>
    <w:rsid w:val="005F306C"/>
    <w:rsid w:val="00605A03"/>
    <w:rsid w:val="006130EB"/>
    <w:rsid w:val="006204BD"/>
    <w:rsid w:val="00626507"/>
    <w:rsid w:val="006476E1"/>
    <w:rsid w:val="00650047"/>
    <w:rsid w:val="006500BA"/>
    <w:rsid w:val="006569CA"/>
    <w:rsid w:val="006604DF"/>
    <w:rsid w:val="00671529"/>
    <w:rsid w:val="0069083F"/>
    <w:rsid w:val="006A1E57"/>
    <w:rsid w:val="006A3CB9"/>
    <w:rsid w:val="006C4F50"/>
    <w:rsid w:val="006D0865"/>
    <w:rsid w:val="007021AF"/>
    <w:rsid w:val="0070489D"/>
    <w:rsid w:val="00707ADF"/>
    <w:rsid w:val="007116F5"/>
    <w:rsid w:val="00712A22"/>
    <w:rsid w:val="00726345"/>
    <w:rsid w:val="007268F9"/>
    <w:rsid w:val="00750282"/>
    <w:rsid w:val="007535A0"/>
    <w:rsid w:val="0075561E"/>
    <w:rsid w:val="0075674E"/>
    <w:rsid w:val="00764440"/>
    <w:rsid w:val="0077101B"/>
    <w:rsid w:val="00775A2F"/>
    <w:rsid w:val="007771C2"/>
    <w:rsid w:val="007B0C0F"/>
    <w:rsid w:val="007C52B0"/>
    <w:rsid w:val="007C6033"/>
    <w:rsid w:val="007D0590"/>
    <w:rsid w:val="007D204D"/>
    <w:rsid w:val="007E77B6"/>
    <w:rsid w:val="007F40FD"/>
    <w:rsid w:val="008072AA"/>
    <w:rsid w:val="008147C8"/>
    <w:rsid w:val="0081753A"/>
    <w:rsid w:val="008179C0"/>
    <w:rsid w:val="008262A7"/>
    <w:rsid w:val="00833B8F"/>
    <w:rsid w:val="008428D9"/>
    <w:rsid w:val="00844E29"/>
    <w:rsid w:val="00857D23"/>
    <w:rsid w:val="0088276E"/>
    <w:rsid w:val="00884FAF"/>
    <w:rsid w:val="0089063E"/>
    <w:rsid w:val="008A176E"/>
    <w:rsid w:val="008A4E03"/>
    <w:rsid w:val="008A745D"/>
    <w:rsid w:val="008C75B5"/>
    <w:rsid w:val="008D4EA1"/>
    <w:rsid w:val="008E1E46"/>
    <w:rsid w:val="008F7FDD"/>
    <w:rsid w:val="00904101"/>
    <w:rsid w:val="009043FB"/>
    <w:rsid w:val="00914DD7"/>
    <w:rsid w:val="00921633"/>
    <w:rsid w:val="009411B4"/>
    <w:rsid w:val="00946F1D"/>
    <w:rsid w:val="009750CC"/>
    <w:rsid w:val="00992B3A"/>
    <w:rsid w:val="009940A4"/>
    <w:rsid w:val="009D0139"/>
    <w:rsid w:val="009D717D"/>
    <w:rsid w:val="009F5CDC"/>
    <w:rsid w:val="00A072D7"/>
    <w:rsid w:val="00A116E5"/>
    <w:rsid w:val="00A2642D"/>
    <w:rsid w:val="00A668D4"/>
    <w:rsid w:val="00A775CF"/>
    <w:rsid w:val="00AB4A89"/>
    <w:rsid w:val="00AD155F"/>
    <w:rsid w:val="00AD1A9C"/>
    <w:rsid w:val="00AE0D17"/>
    <w:rsid w:val="00AE0ECC"/>
    <w:rsid w:val="00AF2D23"/>
    <w:rsid w:val="00AF5DE1"/>
    <w:rsid w:val="00B005A6"/>
    <w:rsid w:val="00B04196"/>
    <w:rsid w:val="00B06045"/>
    <w:rsid w:val="00B206DD"/>
    <w:rsid w:val="00B2119B"/>
    <w:rsid w:val="00B330B3"/>
    <w:rsid w:val="00B4141F"/>
    <w:rsid w:val="00B52EF4"/>
    <w:rsid w:val="00B6635D"/>
    <w:rsid w:val="00B7005F"/>
    <w:rsid w:val="00B762C5"/>
    <w:rsid w:val="00B777AD"/>
    <w:rsid w:val="00B77BA6"/>
    <w:rsid w:val="00BC032F"/>
    <w:rsid w:val="00BD4466"/>
    <w:rsid w:val="00BE33B3"/>
    <w:rsid w:val="00BE7121"/>
    <w:rsid w:val="00BF1BC1"/>
    <w:rsid w:val="00C03015"/>
    <w:rsid w:val="00C0358D"/>
    <w:rsid w:val="00C042F4"/>
    <w:rsid w:val="00C05293"/>
    <w:rsid w:val="00C1321E"/>
    <w:rsid w:val="00C25557"/>
    <w:rsid w:val="00C35A27"/>
    <w:rsid w:val="00C45617"/>
    <w:rsid w:val="00C47B2E"/>
    <w:rsid w:val="00C62486"/>
    <w:rsid w:val="00C751A4"/>
    <w:rsid w:val="00CE519F"/>
    <w:rsid w:val="00D06A75"/>
    <w:rsid w:val="00D20A95"/>
    <w:rsid w:val="00D24042"/>
    <w:rsid w:val="00D31A13"/>
    <w:rsid w:val="00D522CC"/>
    <w:rsid w:val="00D57E8C"/>
    <w:rsid w:val="00D57F64"/>
    <w:rsid w:val="00D63CD2"/>
    <w:rsid w:val="00D63D25"/>
    <w:rsid w:val="00D87DC2"/>
    <w:rsid w:val="00D90591"/>
    <w:rsid w:val="00D94B05"/>
    <w:rsid w:val="00E02C2B"/>
    <w:rsid w:val="00E21C27"/>
    <w:rsid w:val="00E26BCF"/>
    <w:rsid w:val="00E35AB1"/>
    <w:rsid w:val="00E52109"/>
    <w:rsid w:val="00E61D99"/>
    <w:rsid w:val="00E725DF"/>
    <w:rsid w:val="00E75317"/>
    <w:rsid w:val="00EA22AD"/>
    <w:rsid w:val="00EB10DD"/>
    <w:rsid w:val="00EB4710"/>
    <w:rsid w:val="00EC0CE6"/>
    <w:rsid w:val="00EC7C1D"/>
    <w:rsid w:val="00ED0546"/>
    <w:rsid w:val="00ED6C48"/>
    <w:rsid w:val="00ED7F74"/>
    <w:rsid w:val="00EE3045"/>
    <w:rsid w:val="00F14D39"/>
    <w:rsid w:val="00F55BF2"/>
    <w:rsid w:val="00F648CC"/>
    <w:rsid w:val="00F65F5D"/>
    <w:rsid w:val="00F8313A"/>
    <w:rsid w:val="00F835A2"/>
    <w:rsid w:val="00F86A3A"/>
    <w:rsid w:val="00F86E1D"/>
    <w:rsid w:val="00F91B17"/>
    <w:rsid w:val="00FD6AB9"/>
    <w:rsid w:val="00FE17BC"/>
    <w:rsid w:val="00FE1FD5"/>
    <w:rsid w:val="00FE218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6D2DF2"/>
  <w15:docId w15:val="{68585E60-1127-4767-AB9E-86707CA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 w:qFormat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sz w:val="20"/>
      <w:szCs w:val="20"/>
      <w:lang w:val="en-GB" w:eastAsia="zh-CN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4A281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4A281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4A281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4A281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A281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4A281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4A281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4A281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4A281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basedOn w:val="Policepardfaut"/>
    <w:link w:val="Titre1"/>
    <w:uiPriority w:val="99"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B455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link w:val="En-tteC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locked/>
    <w:rsid w:val="003B4550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Pieddepage">
    <w:name w:val="footer"/>
    <w:aliases w:val="3_G"/>
    <w:basedOn w:val="Normal"/>
    <w:link w:val="PieddepageCar"/>
    <w:uiPriority w:val="99"/>
    <w:rsid w:val="004A281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locked/>
    <w:rsid w:val="00247E2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de-DE" w:eastAsia="de-DE"/>
    </w:rPr>
  </w:style>
  <w:style w:type="paragraph" w:customStyle="1" w:styleId="H23G">
    <w:name w:val="_ H_2/3_G"/>
    <w:basedOn w:val="Normal"/>
    <w:next w:val="Normal"/>
    <w:uiPriority w:val="99"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uiPriority w:val="99"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</w:style>
  <w:style w:type="character" w:styleId="Appeldenotedefin">
    <w:name w:val="endnote reference"/>
    <w:aliases w:val="1_G"/>
    <w:basedOn w:val="Policepardfaut"/>
    <w:uiPriority w:val="99"/>
    <w:rsid w:val="004A2814"/>
    <w:rPr>
      <w:rFonts w:ascii="Times New Roman" w:hAnsi="Times New Roman" w:cs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locked/>
    <w:rsid w:val="007268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uiPriority w:val="99"/>
    <w:rsid w:val="004A2814"/>
  </w:style>
  <w:style w:type="character" w:customStyle="1" w:styleId="NotedefinCar">
    <w:name w:val="Note de fin Car"/>
    <w:aliases w:val="2_G Car"/>
    <w:basedOn w:val="Policepardfaut"/>
    <w:link w:val="Notedefin"/>
    <w:uiPriority w:val="99"/>
    <w:locked/>
    <w:rsid w:val="007268F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notedebasdep">
    <w:name w:val="footnote reference"/>
    <w:aliases w:val="4_G,Footnote Reference/"/>
    <w:basedOn w:val="Policepardfaut"/>
    <w:uiPriority w:val="99"/>
    <w:rsid w:val="004A2814"/>
    <w:rPr>
      <w:rFonts w:ascii="Times New Roman" w:hAnsi="Times New Roman" w:cs="Times New Roman"/>
      <w:sz w:val="18"/>
      <w:vertAlign w:val="superscript"/>
    </w:rPr>
  </w:style>
  <w:style w:type="character" w:styleId="Numrodepage">
    <w:name w:val="page number"/>
    <w:aliases w:val="7_G"/>
    <w:basedOn w:val="Policepardfaut"/>
    <w:uiPriority w:val="99"/>
    <w:rsid w:val="004A2814"/>
    <w:rPr>
      <w:rFonts w:ascii="Times New Roman" w:hAnsi="Times New Roman" w:cs="Times New Roman"/>
      <w:b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2109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rsid w:val="00EC0CE6"/>
    <w:rPr>
      <w:rFonts w:cs="Times New Roman"/>
      <w:color w:val="0000FF"/>
      <w:u w:val="none"/>
    </w:rPr>
  </w:style>
  <w:style w:type="character" w:styleId="Lienhypertextesuivivisit">
    <w:name w:val="FollowedHyperlink"/>
    <w:basedOn w:val="Policepardfaut"/>
    <w:uiPriority w:val="99"/>
    <w:rsid w:val="00EC0CE6"/>
    <w:rPr>
      <w:rFonts w:cs="Times New Roman"/>
      <w:color w:val="0000FF"/>
      <w:u w:val="none"/>
    </w:rPr>
  </w:style>
  <w:style w:type="table" w:styleId="Grilledutableau">
    <w:name w:val="Table Grid"/>
    <w:basedOn w:val="TableauNormal"/>
    <w:uiPriority w:val="99"/>
    <w:rsid w:val="004A2814"/>
    <w:pPr>
      <w:suppressAutoHyphens/>
      <w:spacing w:line="240" w:lineRule="atLeast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uiPriority w:val="99"/>
    <w:locked/>
    <w:rsid w:val="0035091E"/>
    <w:rPr>
      <w:b/>
      <w:sz w:val="24"/>
    </w:rPr>
  </w:style>
  <w:style w:type="character" w:styleId="Marquedecommentaire">
    <w:name w:val="annotation reference"/>
    <w:basedOn w:val="Policepardfaut"/>
    <w:uiPriority w:val="99"/>
    <w:semiHidden/>
    <w:rsid w:val="00D63D2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63D2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D25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6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63D25"/>
    <w:rPr>
      <w:rFonts w:cs="Times New Roman"/>
      <w:b/>
      <w:bCs/>
    </w:rPr>
  </w:style>
  <w:style w:type="numbering" w:styleId="111111">
    <w:name w:val="Outline List 2"/>
    <w:basedOn w:val="Aucuneliste"/>
    <w:locked/>
    <w:rsid w:val="007A0A3A"/>
    <w:pPr>
      <w:numPr>
        <w:numId w:val="5"/>
      </w:numPr>
    </w:pPr>
  </w:style>
  <w:style w:type="numbering" w:styleId="1ai">
    <w:name w:val="Outline List 1"/>
    <w:basedOn w:val="Aucuneliste"/>
    <w:locked/>
    <w:rsid w:val="007A0A3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E0DF0-FD8C-4510-89D0-C1EB8AA2ACA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2987D-B477-4F92-A90C-8E13514C0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644D2-14A4-44E3-A629-DC1BBFA6E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</TotalTime>
  <Pages>6</Pages>
  <Words>1310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ST/SG/AC.10/C.3/2019/xx</vt:lpstr>
      <vt:lpstr>ST/SG/AC.10/C.3/2019/xx</vt:lpstr>
    </vt:vector>
  </TitlesOfParts>
  <Company>BfR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ST/SG/AC.10/C.3/2019/xx</dc:title>
  <dc:creator>Editorial</dc:creator>
  <cp:lastModifiedBy>Romain Hubert</cp:lastModifiedBy>
  <cp:revision>4</cp:revision>
  <cp:lastPrinted>2019-09-20T06:38:00Z</cp:lastPrinted>
  <dcterms:created xsi:type="dcterms:W3CDTF">2020-10-14T06:27:00Z</dcterms:created>
  <dcterms:modified xsi:type="dcterms:W3CDTF">2020-10-14T10:36:00Z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