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963CBA" w:rsidRPr="0049211A" w14:paraId="2DF1FD48" w14:textId="77777777" w:rsidTr="00EE369A">
        <w:trPr>
          <w:trHeight w:val="851"/>
        </w:trPr>
        <w:tc>
          <w:tcPr>
            <w:tcW w:w="1259" w:type="dxa"/>
            <w:tcBorders>
              <w:bottom w:val="single" w:sz="4" w:space="0" w:color="auto"/>
            </w:tcBorders>
            <w:shd w:val="clear" w:color="auto" w:fill="auto"/>
          </w:tcPr>
          <w:p w14:paraId="2C9C0ABD" w14:textId="77777777" w:rsidR="00446DE4" w:rsidRPr="00E3141C" w:rsidRDefault="00446DE4" w:rsidP="000216CC">
            <w:pPr>
              <w:spacing w:after="80" w:line="340" w:lineRule="exact"/>
            </w:pPr>
          </w:p>
        </w:tc>
        <w:tc>
          <w:tcPr>
            <w:tcW w:w="2236" w:type="dxa"/>
            <w:tcBorders>
              <w:bottom w:val="single" w:sz="4" w:space="0" w:color="auto"/>
            </w:tcBorders>
            <w:shd w:val="clear" w:color="auto" w:fill="auto"/>
            <w:vAlign w:val="bottom"/>
          </w:tcPr>
          <w:p w14:paraId="7954B46C" w14:textId="77777777" w:rsidR="00446DE4" w:rsidRPr="00E3141C" w:rsidRDefault="00446DE4" w:rsidP="000216CC">
            <w:pPr>
              <w:spacing w:after="80" w:line="340" w:lineRule="exact"/>
              <w:rPr>
                <w:sz w:val="28"/>
                <w:szCs w:val="28"/>
              </w:rPr>
            </w:pPr>
          </w:p>
        </w:tc>
        <w:tc>
          <w:tcPr>
            <w:tcW w:w="6144" w:type="dxa"/>
            <w:tcBorders>
              <w:bottom w:val="single" w:sz="4" w:space="0" w:color="auto"/>
            </w:tcBorders>
            <w:shd w:val="clear" w:color="auto" w:fill="auto"/>
            <w:vAlign w:val="bottom"/>
          </w:tcPr>
          <w:p w14:paraId="419A832D" w14:textId="070F5B0F" w:rsidR="00FC215C" w:rsidRPr="0049211A" w:rsidRDefault="00FC215C" w:rsidP="00B666B2">
            <w:pPr>
              <w:jc w:val="right"/>
              <w:rPr>
                <w:b/>
                <w:sz w:val="40"/>
                <w:szCs w:val="40"/>
              </w:rPr>
            </w:pPr>
            <w:r w:rsidRPr="0049211A">
              <w:rPr>
                <w:b/>
                <w:sz w:val="40"/>
                <w:szCs w:val="40"/>
              </w:rPr>
              <w:t>UN/SCETDG/</w:t>
            </w:r>
            <w:r w:rsidR="00603F7A">
              <w:rPr>
                <w:b/>
                <w:sz w:val="40"/>
                <w:szCs w:val="40"/>
              </w:rPr>
              <w:t>57/INF.</w:t>
            </w:r>
            <w:r w:rsidR="001B1588">
              <w:rPr>
                <w:b/>
                <w:sz w:val="40"/>
                <w:szCs w:val="40"/>
              </w:rPr>
              <w:t>13</w:t>
            </w:r>
          </w:p>
          <w:p w14:paraId="5FA73D92" w14:textId="77777777" w:rsidR="000216CC" w:rsidRPr="0049211A" w:rsidRDefault="000216CC" w:rsidP="00497711">
            <w:pPr>
              <w:jc w:val="right"/>
            </w:pPr>
          </w:p>
        </w:tc>
      </w:tr>
    </w:tbl>
    <w:tbl>
      <w:tblPr>
        <w:tblW w:w="9645" w:type="dxa"/>
        <w:tblInd w:w="108" w:type="dxa"/>
        <w:tblLayout w:type="fixed"/>
        <w:tblLook w:val="04A0" w:firstRow="1" w:lastRow="0" w:firstColumn="1" w:lastColumn="0" w:noHBand="0" w:noVBand="1"/>
      </w:tblPr>
      <w:tblGrid>
        <w:gridCol w:w="5832"/>
        <w:gridCol w:w="3813"/>
      </w:tblGrid>
      <w:tr w:rsidR="00645A0B" w:rsidRPr="00793510" w14:paraId="726FABBB" w14:textId="77777777" w:rsidTr="00D73803">
        <w:tc>
          <w:tcPr>
            <w:tcW w:w="9645" w:type="dxa"/>
            <w:gridSpan w:val="2"/>
            <w:tcMar>
              <w:top w:w="142" w:type="dxa"/>
              <w:left w:w="108" w:type="dxa"/>
              <w:bottom w:w="142" w:type="dxa"/>
              <w:right w:w="108" w:type="dxa"/>
            </w:tcMar>
          </w:tcPr>
          <w:p w14:paraId="6F1ACE77" w14:textId="1F795F1C" w:rsidR="00645A0B" w:rsidRPr="00793510" w:rsidRDefault="00645A0B" w:rsidP="007F62C8">
            <w:pPr>
              <w:tabs>
                <w:tab w:val="right" w:pos="9214"/>
              </w:tabs>
              <w:rPr>
                <w:bCs/>
              </w:rPr>
            </w:pPr>
            <w:r w:rsidRPr="00EE369A">
              <w:rPr>
                <w:b/>
                <w:sz w:val="24"/>
                <w:szCs w:val="24"/>
              </w:rPr>
              <w:t>Committee of Experts on the Transport of Dangerous Goods</w:t>
            </w:r>
            <w:r w:rsidRPr="00EE369A">
              <w:rPr>
                <w:b/>
                <w:sz w:val="24"/>
                <w:szCs w:val="24"/>
              </w:rPr>
              <w:tab/>
            </w:r>
            <w:r w:rsidRPr="00EE369A">
              <w:rPr>
                <w:b/>
                <w:sz w:val="24"/>
                <w:szCs w:val="24"/>
              </w:rPr>
              <w:br/>
              <w:t>and on the Globally Harmonized System of Classification</w:t>
            </w:r>
            <w:r w:rsidRPr="00EE369A">
              <w:rPr>
                <w:b/>
                <w:sz w:val="24"/>
                <w:szCs w:val="24"/>
              </w:rPr>
              <w:br/>
              <w:t>and Labelling of Chemicals</w:t>
            </w:r>
            <w:r w:rsidRPr="00793510">
              <w:rPr>
                <w:bCs/>
              </w:rPr>
              <w:tab/>
            </w:r>
            <w:r w:rsidR="001B1588">
              <w:rPr>
                <w:b/>
              </w:rPr>
              <w:t>24</w:t>
            </w:r>
            <w:r w:rsidR="007F62C8" w:rsidRPr="00EE369A">
              <w:rPr>
                <w:b/>
              </w:rPr>
              <w:t xml:space="preserve"> </w:t>
            </w:r>
            <w:r w:rsidR="004767B8" w:rsidRPr="00EE369A">
              <w:rPr>
                <w:b/>
              </w:rPr>
              <w:t>June</w:t>
            </w:r>
            <w:r w:rsidR="006216A1" w:rsidRPr="00EE369A">
              <w:rPr>
                <w:b/>
              </w:rPr>
              <w:t xml:space="preserve"> </w:t>
            </w:r>
            <w:r w:rsidR="00603F7A">
              <w:rPr>
                <w:b/>
              </w:rPr>
              <w:t>2020</w:t>
            </w:r>
          </w:p>
        </w:tc>
      </w:tr>
      <w:tr w:rsidR="00645A0B" w:rsidRPr="00E3141C" w14:paraId="4C41D757" w14:textId="77777777" w:rsidTr="004767B8">
        <w:tc>
          <w:tcPr>
            <w:tcW w:w="5832" w:type="dxa"/>
            <w:tcMar>
              <w:top w:w="57" w:type="dxa"/>
              <w:left w:w="108" w:type="dxa"/>
              <w:bottom w:w="0" w:type="dxa"/>
              <w:right w:w="108" w:type="dxa"/>
            </w:tcMar>
            <w:vAlign w:val="center"/>
          </w:tcPr>
          <w:p w14:paraId="411C128E" w14:textId="77777777" w:rsidR="00645A0B" w:rsidRPr="0049211A" w:rsidRDefault="00645A0B" w:rsidP="00D73803">
            <w:pPr>
              <w:spacing w:before="40"/>
              <w:rPr>
                <w:b/>
              </w:rPr>
            </w:pPr>
            <w:r w:rsidRPr="0049211A">
              <w:rPr>
                <w:b/>
              </w:rPr>
              <w:t xml:space="preserve">Sub-Committee of Experts on the Transport of Dangerous Goods </w:t>
            </w:r>
          </w:p>
        </w:tc>
        <w:tc>
          <w:tcPr>
            <w:tcW w:w="3813" w:type="dxa"/>
            <w:tcMar>
              <w:top w:w="57" w:type="dxa"/>
              <w:left w:w="108" w:type="dxa"/>
              <w:bottom w:w="0" w:type="dxa"/>
              <w:right w:w="108" w:type="dxa"/>
            </w:tcMar>
            <w:vAlign w:val="center"/>
          </w:tcPr>
          <w:p w14:paraId="6D00A188" w14:textId="77777777" w:rsidR="00645A0B" w:rsidRPr="0049211A" w:rsidRDefault="00645A0B" w:rsidP="00165735">
            <w:pPr>
              <w:spacing w:before="120"/>
              <w:rPr>
                <w:b/>
              </w:rPr>
            </w:pPr>
          </w:p>
        </w:tc>
      </w:tr>
      <w:tr w:rsidR="00645A0B" w:rsidRPr="00E3141C" w14:paraId="3096E4C3" w14:textId="77777777" w:rsidTr="004767B8">
        <w:trPr>
          <w:trHeight w:val="201"/>
        </w:trPr>
        <w:tc>
          <w:tcPr>
            <w:tcW w:w="5832" w:type="dxa"/>
            <w:tcMar>
              <w:top w:w="57" w:type="dxa"/>
              <w:left w:w="108" w:type="dxa"/>
              <w:bottom w:w="0" w:type="dxa"/>
              <w:right w:w="108" w:type="dxa"/>
            </w:tcMar>
          </w:tcPr>
          <w:p w14:paraId="14EF050B" w14:textId="152C8E75" w:rsidR="00645A0B" w:rsidRPr="0049211A" w:rsidRDefault="00603F7A" w:rsidP="001B1588">
            <w:pPr>
              <w:spacing w:line="240" w:lineRule="auto"/>
              <w:ind w:left="34" w:hanging="34"/>
              <w:rPr>
                <w:b/>
              </w:rPr>
            </w:pPr>
            <w:r w:rsidRPr="00365AA6">
              <w:rPr>
                <w:b/>
              </w:rPr>
              <w:t>Fifty-seventh session</w:t>
            </w:r>
          </w:p>
        </w:tc>
        <w:tc>
          <w:tcPr>
            <w:tcW w:w="3813" w:type="dxa"/>
            <w:tcMar>
              <w:top w:w="57" w:type="dxa"/>
              <w:left w:w="108" w:type="dxa"/>
              <w:bottom w:w="0" w:type="dxa"/>
              <w:right w:w="108" w:type="dxa"/>
            </w:tcMar>
          </w:tcPr>
          <w:p w14:paraId="30A121B5" w14:textId="77777777" w:rsidR="00645A0B" w:rsidRPr="0049211A" w:rsidRDefault="00645A0B" w:rsidP="001B1588">
            <w:pPr>
              <w:spacing w:line="240" w:lineRule="auto"/>
              <w:ind w:left="34" w:hanging="34"/>
              <w:rPr>
                <w:b/>
              </w:rPr>
            </w:pPr>
          </w:p>
        </w:tc>
      </w:tr>
      <w:tr w:rsidR="00645A0B" w:rsidRPr="00E3141C" w14:paraId="1A73ABFE" w14:textId="77777777" w:rsidTr="004767B8">
        <w:tc>
          <w:tcPr>
            <w:tcW w:w="5832" w:type="dxa"/>
            <w:tcMar>
              <w:top w:w="28" w:type="dxa"/>
              <w:left w:w="108" w:type="dxa"/>
              <w:bottom w:w="0" w:type="dxa"/>
              <w:right w:w="108" w:type="dxa"/>
            </w:tcMar>
          </w:tcPr>
          <w:p w14:paraId="27D2D5AC" w14:textId="32407168" w:rsidR="00CE74ED" w:rsidRPr="0049211A" w:rsidRDefault="00603F7A" w:rsidP="001B1588">
            <w:pPr>
              <w:tabs>
                <w:tab w:val="left" w:pos="6361"/>
                <w:tab w:val="left" w:pos="6939"/>
              </w:tabs>
              <w:outlineLvl w:val="0"/>
              <w:rPr>
                <w:bCs/>
              </w:rPr>
            </w:pPr>
            <w:r w:rsidRPr="00980BD7">
              <w:t>Geneva, 29 June-8 July 2020</w:t>
            </w:r>
          </w:p>
          <w:p w14:paraId="5E5BF03D" w14:textId="1D8A89FD" w:rsidR="00645A0B" w:rsidRPr="0049211A" w:rsidRDefault="00A83451" w:rsidP="001B1588">
            <w:pPr>
              <w:ind w:left="34" w:hanging="34"/>
            </w:pPr>
            <w:r w:rsidRPr="0049211A">
              <w:t xml:space="preserve">Item </w:t>
            </w:r>
            <w:r w:rsidR="008B602D">
              <w:t>2</w:t>
            </w:r>
            <w:r w:rsidR="00EE369A">
              <w:t xml:space="preserve"> </w:t>
            </w:r>
            <w:r w:rsidR="008B602D">
              <w:t>(b)</w:t>
            </w:r>
            <w:r w:rsidRPr="0049211A">
              <w:t xml:space="preserve"> of the provisional agenda</w:t>
            </w:r>
          </w:p>
          <w:p w14:paraId="081C3C50" w14:textId="2E5D6135" w:rsidR="00645A0B" w:rsidRPr="00EE369A" w:rsidRDefault="00EE369A" w:rsidP="001B1588">
            <w:pPr>
              <w:ind w:left="34" w:hanging="34"/>
              <w:rPr>
                <w:b/>
                <w:bCs/>
              </w:rPr>
            </w:pPr>
            <w:r w:rsidRPr="00EE369A">
              <w:rPr>
                <w:b/>
                <w:bCs/>
              </w:rPr>
              <w:t>Explosives and related matters: i</w:t>
            </w:r>
            <w:r w:rsidR="008B602D" w:rsidRPr="00EE369A">
              <w:rPr>
                <w:b/>
                <w:bCs/>
              </w:rPr>
              <w:t>mprovement of test series 8</w:t>
            </w:r>
          </w:p>
        </w:tc>
        <w:tc>
          <w:tcPr>
            <w:tcW w:w="3813" w:type="dxa"/>
            <w:tcMar>
              <w:top w:w="28" w:type="dxa"/>
              <w:left w:w="108" w:type="dxa"/>
              <w:bottom w:w="0" w:type="dxa"/>
              <w:right w:w="108" w:type="dxa"/>
            </w:tcMar>
          </w:tcPr>
          <w:p w14:paraId="3E428EF9" w14:textId="77777777" w:rsidR="00645A0B" w:rsidRPr="0049211A" w:rsidRDefault="00645A0B" w:rsidP="001B1588">
            <w:pPr>
              <w:rPr>
                <w:b/>
                <w:bCs/>
              </w:rPr>
            </w:pPr>
          </w:p>
        </w:tc>
      </w:tr>
    </w:tbl>
    <w:p w14:paraId="6299F854" w14:textId="676AC91F" w:rsidR="00A83451" w:rsidRPr="00E3141C" w:rsidRDefault="008B65FB" w:rsidP="00E40D7C">
      <w:pPr>
        <w:pStyle w:val="HChG"/>
        <w:spacing w:before="280" w:after="200" w:line="240" w:lineRule="auto"/>
        <w:rPr>
          <w:rFonts w:eastAsia="MS Mincho"/>
          <w:lang w:val="en-GB" w:eastAsia="ja-JP"/>
        </w:rPr>
      </w:pPr>
      <w:r w:rsidRPr="00E3141C">
        <w:rPr>
          <w:rFonts w:eastAsia="MS Mincho"/>
          <w:lang w:val="en-GB" w:eastAsia="ja-JP"/>
        </w:rPr>
        <w:tab/>
      </w:r>
      <w:r w:rsidR="00B666B2" w:rsidRPr="00E3141C">
        <w:rPr>
          <w:rFonts w:eastAsia="MS Mincho"/>
          <w:lang w:val="en-GB" w:eastAsia="ja-JP"/>
        </w:rPr>
        <w:tab/>
      </w:r>
      <w:r w:rsidR="008B602D">
        <w:rPr>
          <w:rFonts w:eastAsia="MS Mincho"/>
          <w:lang w:val="en-GB" w:eastAsia="ja-JP"/>
        </w:rPr>
        <w:t>Recommendation</w:t>
      </w:r>
      <w:r w:rsidR="007703E2">
        <w:rPr>
          <w:rFonts w:eastAsia="MS Mincho"/>
          <w:lang w:val="en-GB" w:eastAsia="ja-JP"/>
        </w:rPr>
        <w:t>s</w:t>
      </w:r>
      <w:r w:rsidR="008B602D">
        <w:rPr>
          <w:rFonts w:eastAsia="MS Mincho"/>
          <w:lang w:val="en-GB" w:eastAsia="ja-JP"/>
        </w:rPr>
        <w:t xml:space="preserve"> on Test Series 8: </w:t>
      </w:r>
      <w:r w:rsidR="009F20B7">
        <w:rPr>
          <w:rFonts w:eastAsia="MS Mincho"/>
          <w:lang w:val="en-GB" w:eastAsia="ja-JP"/>
        </w:rPr>
        <w:t xml:space="preserve">Applicability of </w:t>
      </w:r>
      <w:r w:rsidR="008B602D">
        <w:rPr>
          <w:rFonts w:eastAsia="MS Mincho"/>
          <w:lang w:val="en-GB" w:eastAsia="ja-JP"/>
        </w:rPr>
        <w:t>Test Series 8</w:t>
      </w:r>
      <w:r w:rsidR="000F0831">
        <w:rPr>
          <w:rFonts w:eastAsia="MS Mincho"/>
          <w:lang w:val="en-GB" w:eastAsia="ja-JP"/>
        </w:rPr>
        <w:t xml:space="preserve"> </w:t>
      </w:r>
      <w:r w:rsidR="008B602D">
        <w:rPr>
          <w:rFonts w:eastAsia="MS Mincho"/>
          <w:lang w:val="en-GB" w:eastAsia="ja-JP"/>
        </w:rPr>
        <w:t>(d)</w:t>
      </w:r>
    </w:p>
    <w:p w14:paraId="47D88C2D" w14:textId="19A3DA6B" w:rsidR="00B666B2" w:rsidRPr="00E3141C" w:rsidRDefault="00B666B2" w:rsidP="00E40D7C">
      <w:pPr>
        <w:pStyle w:val="H1G"/>
        <w:spacing w:before="280"/>
        <w:rPr>
          <w:lang w:eastAsia="ja-JP"/>
        </w:rPr>
      </w:pPr>
      <w:r w:rsidRPr="00E3141C">
        <w:rPr>
          <w:lang w:eastAsia="ja-JP"/>
        </w:rPr>
        <w:tab/>
      </w:r>
      <w:r w:rsidRPr="00E3141C">
        <w:rPr>
          <w:lang w:eastAsia="ja-JP"/>
        </w:rPr>
        <w:tab/>
      </w:r>
      <w:r w:rsidR="008B602D">
        <w:rPr>
          <w:lang w:eastAsia="ja-JP"/>
        </w:rPr>
        <w:t>Transmitted by the Institute of Makers of Explosives (IME)</w:t>
      </w:r>
    </w:p>
    <w:p w14:paraId="59867622" w14:textId="77777777" w:rsidR="008B602D" w:rsidRPr="008B602D" w:rsidRDefault="008B602D" w:rsidP="00EE369A">
      <w:pPr>
        <w:pStyle w:val="HChG"/>
      </w:pPr>
      <w:r>
        <w:rPr>
          <w:lang w:eastAsia="ja-JP"/>
        </w:rPr>
        <w:tab/>
      </w:r>
      <w:r>
        <w:rPr>
          <w:lang w:eastAsia="ja-JP"/>
        </w:rPr>
        <w:tab/>
      </w:r>
      <w:r w:rsidRPr="008B602D">
        <w:rPr>
          <w:lang w:eastAsia="ja-JP"/>
        </w:rPr>
        <w:t>Introduction</w:t>
      </w:r>
    </w:p>
    <w:p w14:paraId="509C35D2" w14:textId="7D882EFA" w:rsidR="000F5B33" w:rsidRPr="000F5B33" w:rsidRDefault="00603F7A" w:rsidP="001E2B35">
      <w:pPr>
        <w:pStyle w:val="SingleTxtG"/>
        <w:numPr>
          <w:ilvl w:val="0"/>
          <w:numId w:val="19"/>
        </w:numPr>
        <w:ind w:left="1080" w:right="1138" w:firstLine="0"/>
      </w:pPr>
      <w:r w:rsidRPr="00603F7A">
        <w:t>At the fifty-fourth session of the Sub-</w:t>
      </w:r>
      <w:r w:rsidR="004458F8">
        <w:rPr>
          <w:lang w:val="en-US"/>
        </w:rPr>
        <w:t>C</w:t>
      </w:r>
      <w:r w:rsidR="004458F8" w:rsidRPr="00603F7A">
        <w:t xml:space="preserve">ommittee </w:t>
      </w:r>
      <w:r w:rsidRPr="00603F7A">
        <w:t xml:space="preserve">of Experts on the Transport of Dangerous Goods, </w:t>
      </w:r>
      <w:r w:rsidR="001E127F" w:rsidRPr="00603F7A">
        <w:t>th</w:t>
      </w:r>
      <w:r w:rsidR="001E127F">
        <w:rPr>
          <w:lang w:val="en-US"/>
        </w:rPr>
        <w:t>is Sub-committee’s</w:t>
      </w:r>
      <w:r w:rsidR="001E127F" w:rsidRPr="00603F7A">
        <w:t xml:space="preserve"> </w:t>
      </w:r>
      <w:r w:rsidRPr="00603F7A">
        <w:t>Working Group</w:t>
      </w:r>
      <w:r w:rsidR="004458F8">
        <w:rPr>
          <w:lang w:val="en-US"/>
        </w:rPr>
        <w:t xml:space="preserve"> on</w:t>
      </w:r>
      <w:r w:rsidRPr="00603F7A">
        <w:t xml:space="preserve"> </w:t>
      </w:r>
      <w:r w:rsidR="004458F8" w:rsidRPr="00603F7A">
        <w:t xml:space="preserve">Explosives </w:t>
      </w:r>
      <w:r w:rsidR="001E127F">
        <w:rPr>
          <w:lang w:val="en-US"/>
        </w:rPr>
        <w:t xml:space="preserve">(EWG) </w:t>
      </w:r>
      <w:r w:rsidR="00652903">
        <w:rPr>
          <w:lang w:val="en-US"/>
        </w:rPr>
        <w:t xml:space="preserve">recommended and </w:t>
      </w:r>
      <w:r w:rsidR="00F327EC">
        <w:rPr>
          <w:lang w:val="en-US"/>
        </w:rPr>
        <w:t>the</w:t>
      </w:r>
      <w:r w:rsidR="00652903">
        <w:rPr>
          <w:lang w:val="en-US"/>
        </w:rPr>
        <w:t xml:space="preserve"> Sub-</w:t>
      </w:r>
      <w:r w:rsidR="004458F8">
        <w:rPr>
          <w:lang w:val="en-US"/>
        </w:rPr>
        <w:t xml:space="preserve">Committee </w:t>
      </w:r>
      <w:r w:rsidR="00652903">
        <w:rPr>
          <w:lang w:val="en-US"/>
        </w:rPr>
        <w:t xml:space="preserve">approved, </w:t>
      </w:r>
      <w:r w:rsidRPr="00603F7A">
        <w:t xml:space="preserve">the </w:t>
      </w:r>
      <w:r w:rsidR="004458F8" w:rsidRPr="004458F8">
        <w:t>CanmetCERL</w:t>
      </w:r>
      <w:r w:rsidR="004458F8">
        <w:rPr>
          <w:lang w:val="en-US"/>
        </w:rPr>
        <w:t xml:space="preserve"> M</w:t>
      </w:r>
      <w:r w:rsidR="004458F8" w:rsidRPr="00603F7A">
        <w:t xml:space="preserve">inimum </w:t>
      </w:r>
      <w:r w:rsidR="004458F8">
        <w:rPr>
          <w:lang w:val="en-US"/>
        </w:rPr>
        <w:t>B</w:t>
      </w:r>
      <w:r w:rsidR="004458F8" w:rsidRPr="00603F7A">
        <w:t xml:space="preserve">urning </w:t>
      </w:r>
      <w:r w:rsidR="004458F8">
        <w:rPr>
          <w:lang w:val="en-US"/>
        </w:rPr>
        <w:t>P</w:t>
      </w:r>
      <w:r w:rsidR="004458F8" w:rsidRPr="00603F7A">
        <w:t xml:space="preserve">ressure </w:t>
      </w:r>
      <w:r w:rsidRPr="00603F7A">
        <w:t>(MBP) test, Test 8(e</w:t>
      </w:r>
      <w:r w:rsidR="000F5B33" w:rsidRPr="00603F7A">
        <w:t>)</w:t>
      </w:r>
      <w:r w:rsidR="000F5B33">
        <w:rPr>
          <w:lang w:val="en-US"/>
        </w:rPr>
        <w:t>.  The 8(e) test is used to further examine</w:t>
      </w:r>
      <w:r w:rsidRPr="00603F7A">
        <w:t xml:space="preserve"> ammonium nitrate emulsions (ANE</w:t>
      </w:r>
      <w:r w:rsidR="00F658D4">
        <w:rPr>
          <w:lang w:val="en-AU"/>
        </w:rPr>
        <w:t>s</w:t>
      </w:r>
      <w:r w:rsidRPr="00603F7A">
        <w:t>) that produce positive outcomes</w:t>
      </w:r>
      <w:r w:rsidR="000F5B33">
        <w:rPr>
          <w:lang w:val="en-US"/>
        </w:rPr>
        <w:t>, which are suspected to be false positives,</w:t>
      </w:r>
      <w:r w:rsidRPr="00603F7A">
        <w:t xml:space="preserve"> in the 8(c) Koenen Test if the </w:t>
      </w:r>
      <w:r w:rsidR="000F5B33">
        <w:rPr>
          <w:lang w:val="en-US"/>
        </w:rPr>
        <w:t xml:space="preserve">tested </w:t>
      </w:r>
      <w:r w:rsidRPr="00603F7A">
        <w:t>ANE</w:t>
      </w:r>
      <w:r w:rsidR="00F658D4">
        <w:rPr>
          <w:lang w:val="en-AU"/>
        </w:rPr>
        <w:t>s</w:t>
      </w:r>
      <w:r w:rsidRPr="00603F7A">
        <w:t xml:space="preserve"> met certain criteria. </w:t>
      </w:r>
      <w:r w:rsidR="000F5B33">
        <w:rPr>
          <w:lang w:val="en-US"/>
        </w:rPr>
        <w:t xml:space="preserve">For those specific ANEs, if the 8(e) test is passed, classification as an oxidizing </w:t>
      </w:r>
      <w:r w:rsidR="001E127F">
        <w:rPr>
          <w:lang w:val="en-US"/>
        </w:rPr>
        <w:t>substance</w:t>
      </w:r>
      <w:r w:rsidR="000F5B33">
        <w:rPr>
          <w:lang w:val="en-US"/>
        </w:rPr>
        <w:t xml:space="preserve"> under UN 3375 is </w:t>
      </w:r>
      <w:r w:rsidR="00F658D4">
        <w:rPr>
          <w:lang w:val="en-US"/>
        </w:rPr>
        <w:t>appropriate</w:t>
      </w:r>
      <w:r w:rsidR="000F5B33">
        <w:rPr>
          <w:lang w:val="en-US"/>
        </w:rPr>
        <w:t>.</w:t>
      </w:r>
    </w:p>
    <w:p w14:paraId="1B1C2C03" w14:textId="2558683B" w:rsidR="001E127F" w:rsidRDefault="00603F7A" w:rsidP="001E2B35">
      <w:pPr>
        <w:pStyle w:val="SingleTxtG"/>
        <w:numPr>
          <w:ilvl w:val="0"/>
          <w:numId w:val="19"/>
        </w:numPr>
        <w:ind w:left="1080" w:firstLine="0"/>
      </w:pPr>
      <w:r w:rsidRPr="00603F7A">
        <w:t xml:space="preserve">If ANEs are to be transported in bulk, </w:t>
      </w:r>
      <w:r w:rsidR="000F5B33">
        <w:rPr>
          <w:lang w:val="en-US"/>
        </w:rPr>
        <w:t>they</w:t>
      </w:r>
      <w:r w:rsidRPr="00603F7A">
        <w:t xml:space="preserve"> must also be subjected to the 8(d) Vented Pipe test to determine suitability for containment, as an oxidizing substance, in portable tanks.  Such containment is integral to the primary method of ANE</w:t>
      </w:r>
      <w:r w:rsidR="00F658D4">
        <w:rPr>
          <w:lang w:val="en-AU"/>
        </w:rPr>
        <w:t>s</w:t>
      </w:r>
      <w:r w:rsidRPr="00603F7A">
        <w:t xml:space="preserve"> transport. Since the Vented Pipe test is, in effect, a larger scale Koenen Test, the same limitations of the Koenen Test for </w:t>
      </w:r>
      <w:r w:rsidR="000F5B33">
        <w:rPr>
          <w:lang w:val="en-US"/>
        </w:rPr>
        <w:t>those</w:t>
      </w:r>
      <w:r w:rsidR="000F5B33" w:rsidRPr="00603F7A">
        <w:t xml:space="preserve"> </w:t>
      </w:r>
      <w:r w:rsidRPr="00603F7A">
        <w:t>ANEs</w:t>
      </w:r>
      <w:r w:rsidR="000F5B33">
        <w:rPr>
          <w:lang w:val="en-US"/>
        </w:rPr>
        <w:t xml:space="preserve"> described above</w:t>
      </w:r>
      <w:r w:rsidRPr="00603F7A">
        <w:t xml:space="preserve"> </w:t>
      </w:r>
      <w:r w:rsidR="00515148">
        <w:rPr>
          <w:lang w:val="en-US"/>
        </w:rPr>
        <w:t xml:space="preserve">are </w:t>
      </w:r>
      <w:r w:rsidRPr="00603F7A">
        <w:t xml:space="preserve">also </w:t>
      </w:r>
      <w:r w:rsidR="00515148">
        <w:rPr>
          <w:lang w:val="en-US"/>
        </w:rPr>
        <w:t>encountered during</w:t>
      </w:r>
      <w:r w:rsidRPr="00603F7A">
        <w:t xml:space="preserve"> the 8(d) test. </w:t>
      </w:r>
      <w:r w:rsidR="00FD03C1">
        <w:rPr>
          <w:lang w:val="en-US"/>
        </w:rPr>
        <w:t xml:space="preserve">This claim is supported by </w:t>
      </w:r>
      <w:r w:rsidR="00FD03C1" w:rsidRPr="00603F7A">
        <w:t xml:space="preserve">experimental </w:t>
      </w:r>
      <w:r w:rsidRPr="00603F7A">
        <w:t xml:space="preserve">data </w:t>
      </w:r>
      <w:r w:rsidR="00FD03C1">
        <w:rPr>
          <w:lang w:val="en-US"/>
        </w:rPr>
        <w:t xml:space="preserve">that </w:t>
      </w:r>
      <w:r w:rsidRPr="00603F7A">
        <w:t xml:space="preserve">show </w:t>
      </w:r>
      <w:r w:rsidRPr="006D2206">
        <w:t>that</w:t>
      </w:r>
      <w:r w:rsidRPr="00603F7A">
        <w:t xml:space="preserve"> ANEs that fail the 8(c) test also fail the 8(d) test. </w:t>
      </w:r>
    </w:p>
    <w:p w14:paraId="166EE3C0" w14:textId="1C67D051" w:rsidR="008B602D" w:rsidRDefault="00603F7A" w:rsidP="00603F7A">
      <w:pPr>
        <w:pStyle w:val="SingleTxtG"/>
        <w:numPr>
          <w:ilvl w:val="0"/>
          <w:numId w:val="19"/>
        </w:numPr>
        <w:ind w:left="1080" w:firstLine="35"/>
      </w:pPr>
      <w:r w:rsidRPr="00603F7A">
        <w:t>This paper proposes that the MBP test, which measures an intrinsic property of the substance</w:t>
      </w:r>
      <w:r w:rsidR="00FD03C1">
        <w:rPr>
          <w:lang w:val="en-US"/>
        </w:rPr>
        <w:t xml:space="preserve"> (the minimum burning pressure)</w:t>
      </w:r>
      <w:r w:rsidRPr="00603F7A">
        <w:t xml:space="preserve">, is </w:t>
      </w:r>
      <w:r w:rsidR="00F658D4">
        <w:rPr>
          <w:lang w:val="en-AU"/>
        </w:rPr>
        <w:t>also effective in determining suitability</w:t>
      </w:r>
      <w:r w:rsidRPr="00603F7A">
        <w:t xml:space="preserve"> of the ANE</w:t>
      </w:r>
      <w:r w:rsidR="001E127F">
        <w:rPr>
          <w:lang w:val="en-US"/>
        </w:rPr>
        <w:t>s</w:t>
      </w:r>
      <w:r w:rsidR="00F658D4">
        <w:rPr>
          <w:lang w:val="en-US"/>
        </w:rPr>
        <w:t xml:space="preserve"> for containment</w:t>
      </w:r>
      <w:r w:rsidRPr="00603F7A">
        <w:t xml:space="preserve"> in portable tank</w:t>
      </w:r>
      <w:r w:rsidR="00F658D4">
        <w:rPr>
          <w:lang w:val="en-AU"/>
        </w:rPr>
        <w:t>s</w:t>
      </w:r>
      <w:r w:rsidRPr="00603F7A">
        <w:t>.</w:t>
      </w:r>
      <w:r w:rsidR="008B602D" w:rsidRPr="008B602D">
        <w:t xml:space="preserve">  </w:t>
      </w:r>
    </w:p>
    <w:p w14:paraId="4614C4A7" w14:textId="221037D0" w:rsidR="007A2EF9" w:rsidRPr="008B602D" w:rsidRDefault="007A2EF9" w:rsidP="00603F7A">
      <w:pPr>
        <w:pStyle w:val="SingleTxtG"/>
        <w:numPr>
          <w:ilvl w:val="0"/>
          <w:numId w:val="19"/>
        </w:numPr>
        <w:ind w:left="1080" w:firstLine="35"/>
      </w:pPr>
      <w:r>
        <w:rPr>
          <w:lang w:val="en-US"/>
        </w:rPr>
        <w:t>All figures referred to in this document may be found in the Annex hereto.</w:t>
      </w:r>
    </w:p>
    <w:p w14:paraId="1A2E597B" w14:textId="68048EDE" w:rsidR="008B602D" w:rsidRPr="008B602D" w:rsidRDefault="00EE369A" w:rsidP="00EE369A">
      <w:pPr>
        <w:pStyle w:val="HChG"/>
      </w:pPr>
      <w:r>
        <w:tab/>
      </w:r>
      <w:r>
        <w:tab/>
      </w:r>
      <w:r w:rsidR="008B602D" w:rsidRPr="008B602D">
        <w:t>Background</w:t>
      </w:r>
    </w:p>
    <w:p w14:paraId="7F2B9115" w14:textId="0D6C9F19" w:rsidR="00045F2A" w:rsidRPr="00045F2A" w:rsidRDefault="00436A28" w:rsidP="00263C7E">
      <w:pPr>
        <w:pStyle w:val="SingleTxtG"/>
        <w:numPr>
          <w:ilvl w:val="0"/>
          <w:numId w:val="19"/>
        </w:numPr>
        <w:ind w:left="1080" w:firstLine="0"/>
      </w:pPr>
      <w:r w:rsidRPr="00263C7E">
        <w:t>Certain ANE</w:t>
      </w:r>
      <w:r w:rsidR="00F658D4">
        <w:rPr>
          <w:lang w:val="en-AU"/>
        </w:rPr>
        <w:t>s</w:t>
      </w:r>
      <w:r w:rsidRPr="00263C7E">
        <w:t xml:space="preserve"> that are candidates for classification as UN 3375, have shown to give false positives in the 8(c) Koenen Test. This </w:t>
      </w:r>
      <w:r w:rsidR="00513061" w:rsidRPr="006D2206">
        <w:rPr>
          <w:lang w:val="en-US"/>
        </w:rPr>
        <w:t>is</w:t>
      </w:r>
      <w:r w:rsidR="00513061">
        <w:rPr>
          <w:lang w:val="en-US"/>
        </w:rPr>
        <w:t xml:space="preserve"> </w:t>
      </w:r>
      <w:r>
        <w:rPr>
          <w:lang w:val="en-US"/>
        </w:rPr>
        <w:t xml:space="preserve">due to </w:t>
      </w:r>
      <w:r w:rsidRPr="00263C7E">
        <w:t xml:space="preserve">the high water content of these ANEs compared to the substances tested in the 1950s when the Koenen Test was </w:t>
      </w:r>
      <w:r>
        <w:rPr>
          <w:lang w:val="en-US"/>
        </w:rPr>
        <w:t>first introduced</w:t>
      </w:r>
      <w:r w:rsidRPr="00263C7E">
        <w:t xml:space="preserve">. </w:t>
      </w:r>
      <w:r>
        <w:t xml:space="preserve">Higher water content means a relatively lower reactivity of ANEs which translates into </w:t>
      </w:r>
      <w:r w:rsidRPr="00263C7E">
        <w:t xml:space="preserve">prolonged heating </w:t>
      </w:r>
      <w:r>
        <w:rPr>
          <w:lang w:val="en-US"/>
        </w:rPr>
        <w:t xml:space="preserve">and </w:t>
      </w:r>
      <w:r w:rsidRPr="00263C7E">
        <w:t>weakening of the steel tube</w:t>
      </w:r>
      <w:r w:rsidRPr="00773705">
        <w:t xml:space="preserve"> </w:t>
      </w:r>
      <w:r>
        <w:t>of the test vessel and ultimately causes</w:t>
      </w:r>
      <w:r w:rsidRPr="00263C7E">
        <w:t xml:space="preserve"> tube bursting </w:t>
      </w:r>
      <w:r>
        <w:rPr>
          <w:lang w:val="en-US"/>
        </w:rPr>
        <w:t xml:space="preserve">yielding </w:t>
      </w:r>
      <w:r w:rsidRPr="00263C7E">
        <w:t>false positives.</w:t>
      </w:r>
    </w:p>
    <w:p w14:paraId="09D7F417" w14:textId="4EC0D897" w:rsidR="00263C7E" w:rsidRPr="00263C7E" w:rsidRDefault="00263C7E" w:rsidP="00263C7E">
      <w:pPr>
        <w:pStyle w:val="SingleTxtG"/>
        <w:numPr>
          <w:ilvl w:val="0"/>
          <w:numId w:val="19"/>
        </w:numPr>
        <w:ind w:left="1080" w:firstLine="0"/>
      </w:pPr>
      <w:r w:rsidRPr="00263C7E">
        <w:t xml:space="preserve">To address this limitation of the Koenen Test for ANEs, the </w:t>
      </w:r>
      <w:r w:rsidR="001E127F">
        <w:rPr>
          <w:lang w:val="en-US"/>
        </w:rPr>
        <w:t>EWG</w:t>
      </w:r>
      <w:r w:rsidRPr="00263C7E">
        <w:t xml:space="preserve"> recommended to the TDG Sub-Committee, and the Sub-Committee approved, </w:t>
      </w:r>
      <w:r w:rsidRPr="006D2206">
        <w:t>the</w:t>
      </w:r>
      <w:r w:rsidRPr="00263C7E">
        <w:t xml:space="preserve"> inclusion of the minimum burning pressure (MBP) test 8(e) to further evaluate those ANEs </w:t>
      </w:r>
      <w:r w:rsidR="00773705">
        <w:rPr>
          <w:lang w:val="en-US"/>
        </w:rPr>
        <w:t>with</w:t>
      </w:r>
      <w:r w:rsidRPr="00263C7E">
        <w:t xml:space="preserve"> suspected false positive Koenen Test</w:t>
      </w:r>
      <w:r w:rsidR="00773705">
        <w:rPr>
          <w:lang w:val="en-US"/>
        </w:rPr>
        <w:t xml:space="preserve"> </w:t>
      </w:r>
      <w:r w:rsidR="00773705" w:rsidRPr="006D2206">
        <w:rPr>
          <w:lang w:val="en-US"/>
        </w:rPr>
        <w:t>outcome</w:t>
      </w:r>
      <w:r w:rsidR="00513061" w:rsidRPr="006D2206">
        <w:rPr>
          <w:lang w:val="en-US"/>
        </w:rPr>
        <w:t>s</w:t>
      </w:r>
      <w:r w:rsidRPr="00263C7E">
        <w:t xml:space="preserve">.  </w:t>
      </w:r>
      <w:r w:rsidR="00773705">
        <w:rPr>
          <w:lang w:val="en-US"/>
        </w:rPr>
        <w:t>To</w:t>
      </w:r>
      <w:r w:rsidRPr="00263C7E">
        <w:t xml:space="preserve"> be acceptable for classification as </w:t>
      </w:r>
      <w:r w:rsidR="001E127F">
        <w:t>UN 3375</w:t>
      </w:r>
      <w:r w:rsidR="00773705">
        <w:t xml:space="preserve"> under this new test </w:t>
      </w:r>
      <w:r w:rsidR="00773705">
        <w:lastRenderedPageBreak/>
        <w:t>scheme</w:t>
      </w:r>
      <w:r w:rsidRPr="00263C7E">
        <w:t>, the following conditions must be met: a reaction time in the Koenen Test (</w:t>
      </w:r>
      <w:r w:rsidR="00837341">
        <w:t>TS 8</w:t>
      </w:r>
      <w:r w:rsidRPr="00263C7E">
        <w:t>(c)</w:t>
      </w:r>
      <w:r w:rsidR="003F4282" w:rsidRPr="00263C7E">
        <w:t>) longer</w:t>
      </w:r>
      <w:r w:rsidRPr="00263C7E">
        <w:t xml:space="preserve"> than 60 seconds and a water content of the candidate ANE greater than 14%. ANEs that are subject to the 8(e) test must register a minimum burning pressure </w:t>
      </w:r>
      <w:r w:rsidR="005C6469">
        <w:rPr>
          <w:lang w:val="en-AU"/>
        </w:rPr>
        <w:t xml:space="preserve">equal to or </w:t>
      </w:r>
      <w:r w:rsidRPr="00263C7E">
        <w:t xml:space="preserve">greater </w:t>
      </w:r>
      <w:r w:rsidR="00773705" w:rsidRPr="00263C7E">
        <w:t>tha</w:t>
      </w:r>
      <w:r w:rsidR="00773705">
        <w:rPr>
          <w:lang w:val="en-US"/>
        </w:rPr>
        <w:t>n</w:t>
      </w:r>
      <w:r w:rsidR="00773705" w:rsidRPr="00263C7E">
        <w:t xml:space="preserve"> </w:t>
      </w:r>
      <w:r w:rsidRPr="00263C7E">
        <w:t>5.6 M</w:t>
      </w:r>
      <w:r w:rsidR="001E127F" w:rsidRPr="00263C7E">
        <w:t>p</w:t>
      </w:r>
      <w:r w:rsidRPr="00263C7E">
        <w:t>a</w:t>
      </w:r>
      <w:r w:rsidR="001E127F">
        <w:rPr>
          <w:lang w:val="en-US"/>
        </w:rPr>
        <w:t xml:space="preserve"> to be accepted under UN 3375</w:t>
      </w:r>
      <w:r w:rsidRPr="00263C7E">
        <w:t>.</w:t>
      </w:r>
    </w:p>
    <w:p w14:paraId="3CBBBD78" w14:textId="4C969952" w:rsidR="00263C7E" w:rsidRPr="00263C7E" w:rsidRDefault="00263C7E" w:rsidP="00263C7E">
      <w:pPr>
        <w:pStyle w:val="SingleTxtG"/>
        <w:numPr>
          <w:ilvl w:val="0"/>
          <w:numId w:val="19"/>
        </w:numPr>
        <w:ind w:left="1080" w:firstLine="0"/>
      </w:pPr>
      <w:r w:rsidRPr="00263C7E">
        <w:t xml:space="preserve">The </w:t>
      </w:r>
      <w:r w:rsidR="00DD185E">
        <w:rPr>
          <w:lang w:val="en-US"/>
        </w:rPr>
        <w:t xml:space="preserve">TS </w:t>
      </w:r>
      <w:r w:rsidRPr="00263C7E">
        <w:t xml:space="preserve">8(d) </w:t>
      </w:r>
      <w:r w:rsidR="00DD185E">
        <w:rPr>
          <w:lang w:val="en-US"/>
        </w:rPr>
        <w:t xml:space="preserve">or Vented </w:t>
      </w:r>
      <w:r w:rsidR="00DD185E" w:rsidRPr="006D2206">
        <w:rPr>
          <w:lang w:val="en-US"/>
        </w:rPr>
        <w:t xml:space="preserve">Pipe </w:t>
      </w:r>
      <w:r w:rsidR="003F4282">
        <w:rPr>
          <w:lang w:val="en-US"/>
        </w:rPr>
        <w:t>Test</w:t>
      </w:r>
      <w:r w:rsidRPr="006D2206">
        <w:t>, which</w:t>
      </w:r>
      <w:r w:rsidR="00C65D06" w:rsidRPr="006D2206">
        <w:rPr>
          <w:lang w:val="en-US"/>
        </w:rPr>
        <w:t>, as noted above,</w:t>
      </w:r>
      <w:r w:rsidRPr="006D2206">
        <w:t xml:space="preserve"> is in effect a scaled-up Koenen Test, is required for ANEs if these substances are to be contained in portable tanks. The fact that classification</w:t>
      </w:r>
      <w:r w:rsidRPr="00263C7E">
        <w:t xml:space="preserve"> of some ANEs will not be governed by the Koenen Test and instead by the MBP test creates an issue for these substances since the likelihood of failing the </w:t>
      </w:r>
      <w:r w:rsidR="00DD185E">
        <w:rPr>
          <w:lang w:val="en-US"/>
        </w:rPr>
        <w:t xml:space="preserve">TS </w:t>
      </w:r>
      <w:r w:rsidRPr="00263C7E">
        <w:t>8(d) is almost a certainty.</w:t>
      </w:r>
    </w:p>
    <w:p w14:paraId="36C52BD8" w14:textId="6F108251" w:rsidR="00D546AF" w:rsidRDefault="00EE369A" w:rsidP="00EE369A">
      <w:pPr>
        <w:pStyle w:val="HChG"/>
      </w:pPr>
      <w:r>
        <w:tab/>
      </w:r>
      <w:r>
        <w:tab/>
      </w:r>
      <w:r w:rsidR="008B602D" w:rsidRPr="008B602D">
        <w:t>Discussion</w:t>
      </w:r>
    </w:p>
    <w:p w14:paraId="45FDCD9E" w14:textId="07508E56" w:rsidR="00D45913" w:rsidRDefault="00D45913" w:rsidP="00D45913">
      <w:pPr>
        <w:pStyle w:val="SingleTxtG"/>
        <w:numPr>
          <w:ilvl w:val="0"/>
          <w:numId w:val="19"/>
        </w:numPr>
        <w:ind w:left="1080" w:firstLine="0"/>
      </w:pPr>
      <w:r>
        <w:t xml:space="preserve">The alternative test (TS 8(e) – Minimum Burning Pressure) was included in the </w:t>
      </w:r>
      <w:r w:rsidRPr="001E127F">
        <w:rPr>
          <w:u w:val="single"/>
        </w:rPr>
        <w:t>Manual of Tests and Criteria</w:t>
      </w:r>
      <w:r>
        <w:t>, Seventh revised edition (2019)</w:t>
      </w:r>
      <w:r w:rsidR="00685B71">
        <w:rPr>
          <w:rStyle w:val="FootnoteReference"/>
        </w:rPr>
        <w:footnoteReference w:id="2"/>
      </w:r>
      <w:r>
        <w:t xml:space="preserve">. TS 8(e) measures a fundamental property of the substance and allows a path for classification of ANEs as </w:t>
      </w:r>
      <w:r w:rsidR="001E127F">
        <w:t>UN 3375</w:t>
      </w:r>
      <w:r>
        <w:t xml:space="preserve"> provided they show negative test results for </w:t>
      </w:r>
      <w:r w:rsidR="00837341">
        <w:t>TS 8</w:t>
      </w:r>
      <w:r>
        <w:t xml:space="preserve">(a) and </w:t>
      </w:r>
      <w:r w:rsidR="00837341">
        <w:t>TS 8</w:t>
      </w:r>
      <w:r>
        <w:t xml:space="preserve">(b), satisfy criteria limits of a reaction time in </w:t>
      </w:r>
      <w:r w:rsidR="00837341">
        <w:t>TS 8</w:t>
      </w:r>
      <w:r>
        <w:t xml:space="preserve">(c) greater than 60 seconds, has a minimum water content greater than 14% w/w, and registers a Minimum Burning Pressure </w:t>
      </w:r>
      <w:r w:rsidR="005C6469">
        <w:rPr>
          <w:lang w:val="en-AU"/>
        </w:rPr>
        <w:t xml:space="preserve">equal to or </w:t>
      </w:r>
      <w:r>
        <w:t>greater than 5.6 MPa.</w:t>
      </w:r>
    </w:p>
    <w:p w14:paraId="34C60F00" w14:textId="11D383C9" w:rsidR="00D45913" w:rsidRDefault="00D45913" w:rsidP="00D45913">
      <w:pPr>
        <w:pStyle w:val="SingleTxtG"/>
        <w:numPr>
          <w:ilvl w:val="0"/>
          <w:numId w:val="19"/>
        </w:numPr>
        <w:ind w:left="1080" w:firstLine="0"/>
      </w:pPr>
      <w:r>
        <w:t>The MBP is an intrinsic property of an energetic material. At pressures below the MBP a substance cannot sustain burning</w:t>
      </w:r>
      <w:r w:rsidR="005C6469">
        <w:rPr>
          <w:lang w:val="en-AU"/>
        </w:rPr>
        <w:t>,</w:t>
      </w:r>
      <w:r>
        <w:t xml:space="preserve"> regardless of the mass and amount of energy used to ignite it. Hence, unlike the Vented Pipe Test</w:t>
      </w:r>
      <w:r w:rsidR="005C6469">
        <w:rPr>
          <w:lang w:val="en-AU"/>
        </w:rPr>
        <w:t>,</w:t>
      </w:r>
      <w:r>
        <w:t xml:space="preserve"> which is targeted to study the effect of scale when the ANE is transported in a portable tank, the MBP is independent of scale as it is an intrinsic property of the substance.</w:t>
      </w:r>
    </w:p>
    <w:p w14:paraId="2D3A3C5B" w14:textId="7BD69263" w:rsidR="00D45913" w:rsidRDefault="00D45913" w:rsidP="00D45913">
      <w:pPr>
        <w:pStyle w:val="SingleTxtG"/>
        <w:numPr>
          <w:ilvl w:val="0"/>
          <w:numId w:val="19"/>
        </w:numPr>
        <w:ind w:left="1080" w:firstLine="0"/>
      </w:pPr>
      <w:r>
        <w:t xml:space="preserve">In </w:t>
      </w:r>
      <w:r w:rsidR="001B1588">
        <w:rPr>
          <w:lang w:val="fr-CH"/>
        </w:rPr>
        <w:t xml:space="preserve">informal document </w:t>
      </w:r>
      <w:r w:rsidR="001E127F">
        <w:t>INF.27</w:t>
      </w:r>
      <w:r>
        <w:t xml:space="preserve"> </w:t>
      </w:r>
      <w:r w:rsidR="001B1588">
        <w:rPr>
          <w:lang w:val="fr-CH"/>
        </w:rPr>
        <w:t xml:space="preserve">(55th session) </w:t>
      </w:r>
      <w:r>
        <w:t xml:space="preserve">(IME), it was shown that the TS 8(d) did not provide a suitable level of discrimination in test outcomes between Division 5.1 and Division 1.5 (based on water content of the ANEs), and it was proposed that ANEs that satisfy the acceptance criteria of the </w:t>
      </w:r>
      <w:r w:rsidR="00837341">
        <w:t>TS 8</w:t>
      </w:r>
      <w:r>
        <w:t>(e) test should not be subjected to the TS</w:t>
      </w:r>
      <w:r w:rsidR="00DD185E">
        <w:rPr>
          <w:lang w:val="en-US"/>
        </w:rPr>
        <w:t xml:space="preserve"> </w:t>
      </w:r>
      <w:r>
        <w:t xml:space="preserve">8(d) and can be considered suitable for transport in portable tanks as oxidizing substances based on satisfactory </w:t>
      </w:r>
      <w:r w:rsidR="00837341">
        <w:t>TS 8</w:t>
      </w:r>
      <w:r>
        <w:t>(e) results.</w:t>
      </w:r>
      <w:r w:rsidR="0024484B">
        <w:rPr>
          <w:lang w:val="en-US"/>
        </w:rPr>
        <w:t xml:space="preserve">  The EWG was sympathetic to the proposal from IME but requested more supporting data before a final position could be taken by the EWG</w:t>
      </w:r>
      <w:r w:rsidR="0024484B">
        <w:rPr>
          <w:rStyle w:val="FootnoteReference"/>
          <w:lang w:val="en-US"/>
        </w:rPr>
        <w:footnoteReference w:id="3"/>
      </w:r>
      <w:r w:rsidR="0024484B">
        <w:rPr>
          <w:lang w:val="en-US"/>
        </w:rPr>
        <w:t>.  The current document is offered in fulfillment of that request.</w:t>
      </w:r>
    </w:p>
    <w:p w14:paraId="2E2A423B" w14:textId="3C26215C" w:rsidR="00D45913" w:rsidRDefault="00D45913" w:rsidP="00D45913">
      <w:pPr>
        <w:pStyle w:val="SingleTxtG"/>
        <w:numPr>
          <w:ilvl w:val="0"/>
          <w:numId w:val="19"/>
        </w:numPr>
        <w:ind w:left="1080" w:firstLine="0"/>
      </w:pPr>
      <w:r>
        <w:t xml:space="preserve">In Figure 1, the outcomes are shown of numerous </w:t>
      </w:r>
      <w:r w:rsidR="00837341">
        <w:t>TS 8</w:t>
      </w:r>
      <w:r>
        <w:t>(d)(i) tests where the fuel composition of the ANE has been varied with respect to emulsifier and oil composition. All samples tested met the compositional requirements of S</w:t>
      </w:r>
      <w:r w:rsidR="00FE717E">
        <w:rPr>
          <w:lang w:val="en-US"/>
        </w:rPr>
        <w:t>pecial</w:t>
      </w:r>
      <w:r w:rsidR="007A2EF9">
        <w:rPr>
          <w:lang w:val="en-US"/>
        </w:rPr>
        <w:t xml:space="preserve"> Provision </w:t>
      </w:r>
      <w:r>
        <w:t>309</w:t>
      </w:r>
      <w:r w:rsidR="007A2EF9">
        <w:rPr>
          <w:lang w:val="en-US"/>
        </w:rPr>
        <w:t xml:space="preserve"> that applies to UN 3375</w:t>
      </w:r>
      <w:r>
        <w:t xml:space="preserve"> ANEs.</w:t>
      </w:r>
    </w:p>
    <w:p w14:paraId="263B9CBD" w14:textId="320D11A5" w:rsidR="00D45913" w:rsidRDefault="00D45913" w:rsidP="00D45913">
      <w:pPr>
        <w:pStyle w:val="SingleTxtG"/>
        <w:ind w:left="1701"/>
      </w:pPr>
      <w:r>
        <w:t>a</w:t>
      </w:r>
      <w:r w:rsidR="001B1588">
        <w:rPr>
          <w:lang w:val="fr-CH"/>
        </w:rPr>
        <w:t>)</w:t>
      </w:r>
      <w:r>
        <w:tab/>
        <w:t>The abscissa represents increasing levels of emulsifier (surfactant) within the ANE. It is well understood in industry that there is a minimum level of emulsifier required to maintain an ANE of sufficient quality for use, indicated in Figure 1 by Line (a).  Below that surfactant level, the ANEs are unlikely to be of practical industry use.</w:t>
      </w:r>
    </w:p>
    <w:p w14:paraId="57F8C731" w14:textId="2D27A22F" w:rsidR="00D45913" w:rsidRDefault="00D45913" w:rsidP="00D45913">
      <w:pPr>
        <w:pStyle w:val="SingleTxtG"/>
        <w:ind w:left="1701"/>
      </w:pPr>
      <w:r>
        <w:t>b</w:t>
      </w:r>
      <w:r w:rsidR="001B1588">
        <w:rPr>
          <w:lang w:val="fr-CH"/>
        </w:rPr>
        <w:t>)</w:t>
      </w:r>
      <w:r>
        <w:tab/>
        <w:t>The ordinate in Figure 1 represents the proportion of non-petrochemical-based oil (vegetable oil) included in the ANE fuel phase.  Samples with zero vegetable oil content are also included (Samples 10-18) and these formulations would contain petrochemical-based oils.</w:t>
      </w:r>
    </w:p>
    <w:p w14:paraId="78DDC56A" w14:textId="77777777" w:rsidR="001B1588" w:rsidRDefault="001B1588">
      <w:pPr>
        <w:suppressAutoHyphens w:val="0"/>
        <w:spacing w:line="240" w:lineRule="auto"/>
        <w:rPr>
          <w:lang w:val="x-none"/>
        </w:rPr>
      </w:pPr>
      <w:r>
        <w:br w:type="page"/>
      </w:r>
    </w:p>
    <w:p w14:paraId="7DFE760B" w14:textId="23A12A3A" w:rsidR="00D45913" w:rsidRDefault="00D45913" w:rsidP="00D45913">
      <w:pPr>
        <w:pStyle w:val="SingleTxtG"/>
        <w:ind w:left="1701"/>
      </w:pPr>
      <w:r>
        <w:lastRenderedPageBreak/>
        <w:t>c</w:t>
      </w:r>
      <w:r w:rsidR="001B1588">
        <w:rPr>
          <w:lang w:val="fr-CH"/>
        </w:rPr>
        <w:t>)</w:t>
      </w:r>
      <w:r>
        <w:tab/>
        <w:t>TS</w:t>
      </w:r>
      <w:r w:rsidR="00DD185E">
        <w:rPr>
          <w:lang w:val="en-US"/>
        </w:rPr>
        <w:t xml:space="preserve"> </w:t>
      </w:r>
      <w:r>
        <w:t xml:space="preserve">8(d)(i) sample results indicate either negative or positive results in </w:t>
      </w:r>
      <w:r w:rsidR="007A2EF9">
        <w:t>Figure</w:t>
      </w:r>
      <w:r w:rsidR="007A2EF9">
        <w:rPr>
          <w:lang w:val="en-US"/>
        </w:rPr>
        <w:t> </w:t>
      </w:r>
      <w:r>
        <w:t xml:space="preserve">1.  </w:t>
      </w:r>
    </w:p>
    <w:p w14:paraId="26037CA2" w14:textId="65F69C87" w:rsidR="00D45913" w:rsidRDefault="00D45913" w:rsidP="00D45913">
      <w:pPr>
        <w:pStyle w:val="SingleTxtG"/>
        <w:ind w:left="1701"/>
      </w:pPr>
      <w:r>
        <w:t>d</w:t>
      </w:r>
      <w:r w:rsidR="002F6509">
        <w:rPr>
          <w:lang w:val="fr-CH"/>
        </w:rPr>
        <w:t>)</w:t>
      </w:r>
      <w:r>
        <w:tab/>
        <w:t xml:space="preserve">ANEs that fail the Koenen test must have a water content above 14%. The ANE samples that failed the 8(d)(i) test had water contents above this threshold. This can be seen in Figure 2. </w:t>
      </w:r>
    </w:p>
    <w:p w14:paraId="6ED11769" w14:textId="651C7712" w:rsidR="00D45913" w:rsidRDefault="00D45913" w:rsidP="00D45913">
      <w:pPr>
        <w:pStyle w:val="SingleTxtG"/>
        <w:ind w:left="1701"/>
      </w:pPr>
      <w:r>
        <w:t>e</w:t>
      </w:r>
      <w:r w:rsidR="002F6509">
        <w:rPr>
          <w:lang w:val="fr-CH"/>
        </w:rPr>
        <w:t>)</w:t>
      </w:r>
      <w:r>
        <w:tab/>
      </w:r>
      <w:r w:rsidR="008A34A1">
        <w:rPr>
          <w:lang w:val="en-AU"/>
        </w:rPr>
        <w:t>ANEs that fail the Koenen Test must also have</w:t>
      </w:r>
      <w:r>
        <w:t xml:space="preserve"> reaction times</w:t>
      </w:r>
      <w:r w:rsidR="008A34A1">
        <w:rPr>
          <w:lang w:val="en-AU"/>
        </w:rPr>
        <w:t xml:space="preserve"> greater than 60 seconds.</w:t>
      </w:r>
      <w:r>
        <w:t xml:space="preserve"> ANE samples that failed the 8(d)(i) test are given in Figure 3 and it can be seen that all samples had reaction times above 60 seconds, with many of them </w:t>
      </w:r>
      <w:r w:rsidR="00AD6FD6" w:rsidRPr="006D2206">
        <w:rPr>
          <w:lang w:val="en-US"/>
        </w:rPr>
        <w:t>greater than</w:t>
      </w:r>
      <w:r w:rsidR="00AD6FD6">
        <w:rPr>
          <w:lang w:val="en-US"/>
        </w:rPr>
        <w:t xml:space="preserve"> </w:t>
      </w:r>
      <w:r>
        <w:t>100 seconds.</w:t>
      </w:r>
    </w:p>
    <w:p w14:paraId="667BF8B3" w14:textId="717266BD" w:rsidR="00D45913" w:rsidRDefault="00D45913" w:rsidP="00D45913">
      <w:pPr>
        <w:pStyle w:val="SingleTxtG"/>
        <w:ind w:left="1701"/>
      </w:pPr>
      <w:r>
        <w:t>f</w:t>
      </w:r>
      <w:r w:rsidR="002F6509">
        <w:rPr>
          <w:lang w:val="fr-CH"/>
        </w:rPr>
        <w:t>)</w:t>
      </w:r>
      <w:r>
        <w:tab/>
        <w:t xml:space="preserve">The threshold MBP for samples to pass the 8(e) test is 5.6 MPa. The samples of ANEs that failed the </w:t>
      </w:r>
      <w:r w:rsidR="00837341">
        <w:t>TS 8</w:t>
      </w:r>
      <w:r>
        <w:t xml:space="preserve">(d)(i) test have </w:t>
      </w:r>
      <w:r w:rsidR="003B3B4B">
        <w:t xml:space="preserve">predicted </w:t>
      </w:r>
      <w:r>
        <w:t xml:space="preserve">MBPs well above the threshold value, and this is shown in Figure 4, where the MBPs, which are dependent on the water content, </w:t>
      </w:r>
      <w:r w:rsidR="003B3B4B">
        <w:t>were calculated from a linear regression (R</w:t>
      </w:r>
      <w:r w:rsidR="003B3B4B">
        <w:rPr>
          <w:vertAlign w:val="superscript"/>
        </w:rPr>
        <w:t>2</w:t>
      </w:r>
      <w:r w:rsidR="003B3B4B">
        <w:t xml:space="preserve"> = 0.98</w:t>
      </w:r>
      <w:r w:rsidR="003B3B4B">
        <w:rPr>
          <w:lang w:val="en-US"/>
        </w:rPr>
        <w:t>8</w:t>
      </w:r>
      <w:r w:rsidR="003B3B4B">
        <w:t>) of MBP as a function of water content in AN-based oxidi</w:t>
      </w:r>
      <w:r w:rsidR="003B3B4B">
        <w:rPr>
          <w:lang w:val="en-US"/>
        </w:rPr>
        <w:t>zer</w:t>
      </w:r>
      <w:r w:rsidR="003B3B4B">
        <w:t xml:space="preserve"> system ANEs as presented in</w:t>
      </w:r>
      <w:r w:rsidR="003B3B4B">
        <w:rPr>
          <w:lang w:val="en-US"/>
        </w:rPr>
        <w:t xml:space="preserve"> </w:t>
      </w:r>
      <w:r w:rsidR="003B3B4B">
        <w:t>Badeen et al. (2014)</w:t>
      </w:r>
      <w:r w:rsidR="003B3B4B">
        <w:rPr>
          <w:rStyle w:val="FootnoteReference"/>
        </w:rPr>
        <w:footnoteReference w:id="4"/>
      </w:r>
      <w:r w:rsidR="003B3B4B" w:rsidDel="003B3B4B">
        <w:t xml:space="preserve"> </w:t>
      </w:r>
      <w:r>
        <w:t>.</w:t>
      </w:r>
    </w:p>
    <w:p w14:paraId="3D00D80C" w14:textId="60D125B7" w:rsidR="00D45913" w:rsidRDefault="00D45913" w:rsidP="00D45913">
      <w:pPr>
        <w:pStyle w:val="SingleTxtG"/>
        <w:numPr>
          <w:ilvl w:val="0"/>
          <w:numId w:val="19"/>
        </w:numPr>
        <w:ind w:left="1080" w:firstLine="0"/>
      </w:pPr>
      <w:r>
        <w:t>Figure 5 shows the burst pressure for portable tanks compared to the vessels used for the Koenen and Vented Pipe Tests (UN/SCETDG/49/INF.60). The burst pressures for portable tanks are in the range of 2-8 Bar, or 0.2 to 0.8 MPa. In the event of a fire, the ANE close to the tank walls exposed to the fire will have a higher temperature than the bulk ANE. Since the substance has poor thermal conductivity the bulk will continue to remain close to ambient temperature and thus the portable tank will fail well before the ANE reaches its MBP.</w:t>
      </w:r>
    </w:p>
    <w:p w14:paraId="646D2936" w14:textId="1E29C1F8" w:rsidR="00D45913" w:rsidRDefault="00D45913" w:rsidP="00E64733">
      <w:pPr>
        <w:pStyle w:val="SingleTxtG"/>
        <w:numPr>
          <w:ilvl w:val="0"/>
          <w:numId w:val="19"/>
        </w:numPr>
        <w:ind w:left="1080" w:firstLine="0"/>
      </w:pPr>
      <w:r>
        <w:t xml:space="preserve">The charts in Figures 1 to 4 show that ANE samples that fail the 8(d)(i) test are bona fide </w:t>
      </w:r>
      <w:r w:rsidR="001E127F">
        <w:t>UN 3375</w:t>
      </w:r>
      <w:r>
        <w:t xml:space="preserve"> as they satisfy the criteria for consideration of the 8(e) test, and furthermore they also have MBPs </w:t>
      </w:r>
      <w:r w:rsidR="00E64733">
        <w:t xml:space="preserve">(calculated according to the method described in </w:t>
      </w:r>
      <w:r w:rsidR="00A65D66">
        <w:rPr>
          <w:lang w:val="en-US"/>
        </w:rPr>
        <w:t>paragraph</w:t>
      </w:r>
      <w:r w:rsidR="009545C5">
        <w:t xml:space="preserve"> </w:t>
      </w:r>
      <w:r w:rsidR="00FB376C">
        <w:rPr>
          <w:lang w:val="en-US"/>
        </w:rPr>
        <w:t>11</w:t>
      </w:r>
      <w:r w:rsidR="009545C5">
        <w:rPr>
          <w:lang w:val="en-US"/>
        </w:rPr>
        <w:t>.</w:t>
      </w:r>
      <w:r w:rsidR="00E64733">
        <w:t>f., and based on the data of Badeen et al. (2014)</w:t>
      </w:r>
      <w:r w:rsidR="00E64733">
        <w:rPr>
          <w:vertAlign w:val="superscript"/>
          <w:lang w:val="en-US"/>
        </w:rPr>
        <w:t>3</w:t>
      </w:r>
      <w:r w:rsidR="00E64733">
        <w:t>)</w:t>
      </w:r>
      <w:r w:rsidR="00E64733">
        <w:rPr>
          <w:lang w:val="en-US"/>
        </w:rPr>
        <w:t xml:space="preserve"> </w:t>
      </w:r>
      <w:r>
        <w:t xml:space="preserve">that are well above the MBP threshold of 5.6MPa (or 56 Bar). </w:t>
      </w:r>
    </w:p>
    <w:p w14:paraId="66BAE342" w14:textId="4EB098BF" w:rsidR="008B602D" w:rsidRPr="008B602D" w:rsidRDefault="00D45913" w:rsidP="00E64733">
      <w:pPr>
        <w:pStyle w:val="SingleTxtG"/>
        <w:numPr>
          <w:ilvl w:val="0"/>
          <w:numId w:val="19"/>
        </w:numPr>
        <w:ind w:left="1080" w:firstLine="0"/>
      </w:pPr>
      <w:r>
        <w:t xml:space="preserve">In Figure 1, it can also be seen that there appears to be an indicative boundary between positive and negative results, indicated as Line (b). This line is however arbitrary since the ANE samples being divided would be </w:t>
      </w:r>
      <w:r w:rsidR="001E127F">
        <w:t>UN 3375</w:t>
      </w:r>
      <w:r>
        <w:t xml:space="preserve"> and therefore Division 5.1 substances. Figure 1 demonstrates inconsistencies in TS</w:t>
      </w:r>
      <w:r w:rsidR="00DD185E">
        <w:rPr>
          <w:lang w:val="en-US"/>
        </w:rPr>
        <w:t xml:space="preserve"> </w:t>
      </w:r>
      <w:r>
        <w:t>8(d)(i) for a range of products that are all eligible for classification in Division 5.1. This finding is not surprising since the 8(d)(i) test is in effect a scaled-up Koenen Test, which has been shown to have limitations for certain ANEs.</w:t>
      </w:r>
      <w:r w:rsidR="008B602D" w:rsidRPr="002D51AC">
        <w:t>.</w:t>
      </w:r>
    </w:p>
    <w:p w14:paraId="525161C7" w14:textId="1A69079F" w:rsidR="008B602D" w:rsidRPr="008B602D" w:rsidRDefault="00EE369A" w:rsidP="00EE369A">
      <w:pPr>
        <w:pStyle w:val="HChG"/>
      </w:pPr>
      <w:r>
        <w:tab/>
      </w:r>
      <w:r>
        <w:tab/>
      </w:r>
      <w:r w:rsidR="008B602D" w:rsidRPr="008B602D">
        <w:t>Proposal</w:t>
      </w:r>
    </w:p>
    <w:p w14:paraId="7E3B016C" w14:textId="2CF81430" w:rsidR="002951EE" w:rsidRDefault="002951EE" w:rsidP="002951EE">
      <w:pPr>
        <w:pStyle w:val="SingleTxtG"/>
        <w:numPr>
          <w:ilvl w:val="0"/>
          <w:numId w:val="19"/>
        </w:numPr>
        <w:ind w:left="1080" w:firstLine="0"/>
      </w:pPr>
      <w:r>
        <w:t xml:space="preserve">ANEs that satisfy the acceptance criteria of the 8(e) test should not be subjected to the 8(d) test and can be considered suitable for containment in portable tanks as oxidizing substances based on their MBPs </w:t>
      </w:r>
      <w:r w:rsidR="00685B71">
        <w:rPr>
          <w:lang w:val="en-US"/>
        </w:rPr>
        <w:t xml:space="preserve">that </w:t>
      </w:r>
      <w:r>
        <w:t xml:space="preserve">far exceed the pressures that </w:t>
      </w:r>
      <w:r w:rsidR="00E01739">
        <w:rPr>
          <w:lang w:val="en-AU"/>
        </w:rPr>
        <w:t xml:space="preserve">portable </w:t>
      </w:r>
      <w:r>
        <w:t>tanks will fail.</w:t>
      </w:r>
    </w:p>
    <w:p w14:paraId="38B2944E" w14:textId="1693DA05" w:rsidR="002951EE" w:rsidRPr="002951EE" w:rsidRDefault="001620F5" w:rsidP="002951EE">
      <w:pPr>
        <w:pStyle w:val="SingleTxtG"/>
        <w:numPr>
          <w:ilvl w:val="0"/>
          <w:numId w:val="19"/>
        </w:numPr>
        <w:ind w:left="1080" w:firstLine="0"/>
      </w:pPr>
      <w:r>
        <w:rPr>
          <w:lang w:val="en-US"/>
        </w:rPr>
        <w:t>Amend</w:t>
      </w:r>
      <w:r w:rsidR="002951EE" w:rsidRPr="002951EE">
        <w:t xml:space="preserve"> footnote « b » of Table 18.1 in section 18.2 of the</w:t>
      </w:r>
      <w:r w:rsidR="00685B71">
        <w:rPr>
          <w:lang w:val="en-US"/>
        </w:rPr>
        <w:t xml:space="preserve"> MTC</w:t>
      </w:r>
      <w:r w:rsidR="002951EE" w:rsidRPr="002951EE">
        <w:t xml:space="preserve"> </w:t>
      </w:r>
      <w:r>
        <w:rPr>
          <w:lang w:val="en-US"/>
        </w:rPr>
        <w:t>as shown below</w:t>
      </w:r>
      <w:r w:rsidR="002951EE" w:rsidRPr="002951EE">
        <w:t xml:space="preserve"> (new text indicated by </w:t>
      </w:r>
      <w:r w:rsidR="002951EE" w:rsidRPr="002951EE">
        <w:rPr>
          <w:color w:val="0070C0"/>
          <w:u w:val="single"/>
        </w:rPr>
        <w:t>blue underscored text</w:t>
      </w:r>
      <w:r w:rsidR="002951EE" w:rsidRPr="002951EE">
        <w:t>):</w:t>
      </w:r>
    </w:p>
    <w:p w14:paraId="7A3AEDD2" w14:textId="4C455396" w:rsidR="002951EE" w:rsidRPr="00A65D66" w:rsidRDefault="002951EE" w:rsidP="002951EE">
      <w:pPr>
        <w:pStyle w:val="SingleTxtG"/>
        <w:ind w:left="1701"/>
        <w:rPr>
          <w:i/>
          <w:szCs w:val="22"/>
        </w:rPr>
      </w:pPr>
      <w:r w:rsidRPr="00A65D66">
        <w:rPr>
          <w:szCs w:val="22"/>
          <w:vertAlign w:val="superscript"/>
        </w:rPr>
        <w:t>b</w:t>
      </w:r>
      <w:r w:rsidRPr="00A65D66">
        <w:rPr>
          <w:i/>
          <w:szCs w:val="22"/>
        </w:rPr>
        <w:t xml:space="preserve">  These tests are intended for evaluating the suitability of ANEs for </w:t>
      </w:r>
      <w:r w:rsidRPr="00A65D66">
        <w:rPr>
          <w:i/>
          <w:szCs w:val="22"/>
          <w:lang w:val="fr-CH"/>
        </w:rPr>
        <w:t>containment</w:t>
      </w:r>
      <w:r w:rsidRPr="00A65D66">
        <w:rPr>
          <w:i/>
          <w:szCs w:val="22"/>
        </w:rPr>
        <w:t xml:space="preserve"> in portable tanks</w:t>
      </w:r>
      <w:r w:rsidRPr="00A65D66">
        <w:rPr>
          <w:i/>
          <w:szCs w:val="22"/>
          <w:lang w:val="fr-CH"/>
        </w:rPr>
        <w:t xml:space="preserve"> as </w:t>
      </w:r>
      <w:r w:rsidR="00AD6FD6" w:rsidRPr="00A65D66">
        <w:rPr>
          <w:i/>
          <w:szCs w:val="22"/>
          <w:lang w:val="fr-CH"/>
        </w:rPr>
        <w:t>an</w:t>
      </w:r>
      <w:r w:rsidRPr="00A65D66">
        <w:rPr>
          <w:i/>
          <w:szCs w:val="22"/>
          <w:lang w:val="fr-CH"/>
        </w:rPr>
        <w:t xml:space="preserve"> oxidizing substance</w:t>
      </w:r>
      <w:r w:rsidRPr="00A65D66">
        <w:rPr>
          <w:i/>
          <w:szCs w:val="22"/>
        </w:rPr>
        <w:t xml:space="preserve">. </w:t>
      </w:r>
      <w:r w:rsidRPr="00A65D66">
        <w:rPr>
          <w:i/>
          <w:color w:val="0070C0"/>
          <w:szCs w:val="22"/>
          <w:u w:val="single"/>
        </w:rPr>
        <w:t xml:space="preserve">ANEs that satisfy the acceptance criteria of </w:t>
      </w:r>
      <w:r w:rsidRPr="00A65D66">
        <w:rPr>
          <w:i/>
          <w:color w:val="0070C0"/>
          <w:szCs w:val="22"/>
          <w:u w:val="single"/>
        </w:rPr>
        <w:lastRenderedPageBreak/>
        <w:t>Test 8</w:t>
      </w:r>
      <w:r w:rsidRPr="00A65D66">
        <w:rPr>
          <w:i/>
          <w:color w:val="0070C0"/>
          <w:szCs w:val="22"/>
          <w:u w:val="single"/>
          <w:lang w:val="fr-CH"/>
        </w:rPr>
        <w:t xml:space="preserve"> </w:t>
      </w:r>
      <w:r w:rsidRPr="00A65D66">
        <w:rPr>
          <w:i/>
          <w:color w:val="0070C0"/>
          <w:szCs w:val="22"/>
          <w:u w:val="single"/>
        </w:rPr>
        <w:t xml:space="preserve">(e) </w:t>
      </w:r>
      <w:r w:rsidRPr="00A65D66">
        <w:rPr>
          <w:i/>
          <w:color w:val="0070C0"/>
          <w:szCs w:val="22"/>
          <w:u w:val="single"/>
          <w:lang w:val="en-AU"/>
        </w:rPr>
        <w:t>need not be subjected to Test 8(d)</w:t>
      </w:r>
      <w:r w:rsidR="002364D2" w:rsidRPr="00A65D66">
        <w:rPr>
          <w:i/>
          <w:color w:val="0070C0"/>
          <w:szCs w:val="22"/>
          <w:u w:val="single"/>
          <w:lang w:val="en-AU"/>
        </w:rPr>
        <w:t xml:space="preserve"> as they are already considered suitable for containment in portable tanks as an oxidi</w:t>
      </w:r>
      <w:r w:rsidR="00A65D66">
        <w:rPr>
          <w:i/>
          <w:color w:val="0070C0"/>
          <w:szCs w:val="22"/>
          <w:u w:val="single"/>
          <w:lang w:val="en-AU"/>
        </w:rPr>
        <w:t>z</w:t>
      </w:r>
      <w:r w:rsidR="002364D2" w:rsidRPr="00A65D66">
        <w:rPr>
          <w:i/>
          <w:color w:val="0070C0"/>
          <w:szCs w:val="22"/>
          <w:u w:val="single"/>
          <w:lang w:val="en-AU"/>
        </w:rPr>
        <w:t>ing substance</w:t>
      </w:r>
      <w:r w:rsidRPr="00A65D66">
        <w:rPr>
          <w:i/>
          <w:color w:val="0070C0"/>
          <w:szCs w:val="22"/>
          <w:u w:val="single"/>
          <w:lang w:val="en-AU"/>
        </w:rPr>
        <w:t>.</w:t>
      </w:r>
    </w:p>
    <w:p w14:paraId="5E24EF54" w14:textId="1B68FE71" w:rsidR="002951EE" w:rsidRDefault="001620F5" w:rsidP="001620F5">
      <w:pPr>
        <w:pStyle w:val="SingleTxtG"/>
        <w:numPr>
          <w:ilvl w:val="0"/>
          <w:numId w:val="19"/>
        </w:numPr>
        <w:ind w:left="1080" w:right="1088" w:firstLine="0"/>
      </w:pPr>
      <w:r>
        <w:rPr>
          <w:lang w:val="en-US"/>
        </w:rPr>
        <w:t xml:space="preserve">Amend the first paragraph of </w:t>
      </w:r>
      <w:r w:rsidR="002951EE">
        <w:t>Se</w:t>
      </w:r>
      <w:r w:rsidR="002951EE" w:rsidRPr="002951EE">
        <w:t xml:space="preserve">ction 18.7.1.1 </w:t>
      </w:r>
      <w:r w:rsidR="00685B71">
        <w:rPr>
          <w:lang w:val="en-US"/>
        </w:rPr>
        <w:t xml:space="preserve">of the MTC </w:t>
      </w:r>
      <w:r>
        <w:rPr>
          <w:lang w:val="en-US"/>
        </w:rPr>
        <w:t>as shown below</w:t>
      </w:r>
      <w:r w:rsidR="002951EE" w:rsidRPr="002951EE">
        <w:t xml:space="preserve"> (new text indicated by </w:t>
      </w:r>
      <w:r w:rsidR="002951EE" w:rsidRPr="00107703">
        <w:rPr>
          <w:color w:val="0070C0"/>
          <w:u w:val="single"/>
        </w:rPr>
        <w:t>blue</w:t>
      </w:r>
      <w:r w:rsidR="002951EE" w:rsidRPr="002951EE">
        <w:rPr>
          <w:color w:val="0070C0"/>
          <w:u w:val="single"/>
        </w:rPr>
        <w:t xml:space="preserve"> underscored text</w:t>
      </w:r>
      <w:r w:rsidR="002951EE" w:rsidRPr="002951EE">
        <w:t>):</w:t>
      </w:r>
    </w:p>
    <w:p w14:paraId="5AFA2526" w14:textId="41BFCDF8" w:rsidR="00FB376C" w:rsidRDefault="002951EE" w:rsidP="002951EE">
      <w:pPr>
        <w:pStyle w:val="SingleTxtG"/>
        <w:ind w:left="1701"/>
        <w:rPr>
          <w:color w:val="0070C0"/>
          <w:u w:val="single"/>
        </w:rPr>
      </w:pPr>
      <w:r>
        <w:t>This test is not intended for classification but is included in this Manual for evaluating the suitability for containment in portable tanks as an oxidizing substance</w:t>
      </w:r>
      <w:r w:rsidRPr="002951EE">
        <w:rPr>
          <w:color w:val="0070C0"/>
        </w:rPr>
        <w:t>.</w:t>
      </w:r>
      <w:r w:rsidRPr="002951EE">
        <w:rPr>
          <w:color w:val="0070C0"/>
          <w:u w:val="single"/>
        </w:rPr>
        <w:t xml:space="preserve"> ANEs that satisfy the acceptance criteria of Test 8 (e) need not be subjected to Test 8 (d)</w:t>
      </w:r>
      <w:r w:rsidR="002364D2">
        <w:rPr>
          <w:color w:val="0070C0"/>
          <w:u w:val="single"/>
          <w:lang w:val="en-AU"/>
        </w:rPr>
        <w:t xml:space="preserve"> as they are already considered suitable for containment in portable tanks as an oxidi</w:t>
      </w:r>
      <w:r w:rsidR="00A65D66">
        <w:rPr>
          <w:color w:val="0070C0"/>
          <w:u w:val="single"/>
          <w:lang w:val="en-AU"/>
        </w:rPr>
        <w:t>z</w:t>
      </w:r>
      <w:r w:rsidR="002364D2">
        <w:rPr>
          <w:color w:val="0070C0"/>
          <w:u w:val="single"/>
          <w:lang w:val="en-AU"/>
        </w:rPr>
        <w:t>ing substance</w:t>
      </w:r>
      <w:r w:rsidRPr="002951EE">
        <w:rPr>
          <w:color w:val="0070C0"/>
          <w:u w:val="single"/>
        </w:rPr>
        <w:t>.</w:t>
      </w:r>
    </w:p>
    <w:p w14:paraId="5AFC4511" w14:textId="79FC68AC" w:rsidR="00FB376C" w:rsidRPr="00FB376C" w:rsidRDefault="00107703" w:rsidP="001620F5">
      <w:pPr>
        <w:pStyle w:val="SingleTxtG"/>
        <w:numPr>
          <w:ilvl w:val="0"/>
          <w:numId w:val="19"/>
        </w:numPr>
        <w:ind w:left="1080" w:right="1088" w:firstLine="0"/>
      </w:pPr>
      <w:r>
        <w:rPr>
          <w:lang w:val="en-US"/>
        </w:rPr>
        <w:t>Amend Section</w:t>
      </w:r>
      <w:r w:rsidR="00FB376C">
        <w:rPr>
          <w:lang w:val="en-US"/>
        </w:rPr>
        <w:t xml:space="preserve"> 18.8.1.1</w:t>
      </w:r>
      <w:r>
        <w:rPr>
          <w:lang w:val="en-US"/>
        </w:rPr>
        <w:t xml:space="preserve"> </w:t>
      </w:r>
      <w:r w:rsidR="001620F5">
        <w:rPr>
          <w:lang w:val="en-US"/>
        </w:rPr>
        <w:t xml:space="preserve">of the MTC </w:t>
      </w:r>
      <w:r>
        <w:rPr>
          <w:lang w:val="en-US"/>
        </w:rPr>
        <w:t>as shown below (</w:t>
      </w:r>
      <w:r w:rsidRPr="001620F5">
        <w:t>new</w:t>
      </w:r>
      <w:r>
        <w:rPr>
          <w:lang w:val="en-US"/>
        </w:rPr>
        <w:t xml:space="preserve"> text indicated by </w:t>
      </w:r>
      <w:r w:rsidRPr="00107703">
        <w:rPr>
          <w:color w:val="0070C0"/>
          <w:u w:val="single"/>
          <w:lang w:val="en-US"/>
        </w:rPr>
        <w:t>blue underscored text</w:t>
      </w:r>
      <w:r>
        <w:rPr>
          <w:lang w:val="en-US"/>
        </w:rPr>
        <w:t>)</w:t>
      </w:r>
      <w:r w:rsidR="00FB376C">
        <w:rPr>
          <w:lang w:val="en-US"/>
        </w:rPr>
        <w:t>:</w:t>
      </w:r>
    </w:p>
    <w:p w14:paraId="02178CCB" w14:textId="77777777" w:rsidR="00107703" w:rsidRPr="00107703" w:rsidRDefault="00107703" w:rsidP="00107703">
      <w:pPr>
        <w:pStyle w:val="M4Head"/>
        <w:numPr>
          <w:ilvl w:val="0"/>
          <w:numId w:val="0"/>
        </w:numPr>
        <w:ind w:left="1701"/>
        <w:rPr>
          <w:rFonts w:asciiTheme="majorBidi" w:hAnsiTheme="majorBidi" w:cstheme="majorBidi"/>
          <w:sz w:val="20"/>
          <w:szCs w:val="20"/>
        </w:rPr>
      </w:pPr>
      <w:r w:rsidRPr="00107703">
        <w:rPr>
          <w:rFonts w:asciiTheme="majorBidi" w:hAnsiTheme="majorBidi" w:cstheme="majorBidi"/>
          <w:sz w:val="20"/>
          <w:szCs w:val="20"/>
        </w:rPr>
        <w:t>18.8.1.1</w:t>
      </w:r>
      <w:r w:rsidRPr="00107703">
        <w:rPr>
          <w:rFonts w:asciiTheme="majorBidi" w:hAnsiTheme="majorBidi" w:cstheme="majorBidi"/>
          <w:sz w:val="20"/>
          <w:szCs w:val="20"/>
        </w:rPr>
        <w:tab/>
      </w:r>
      <w:r w:rsidRPr="00107703">
        <w:rPr>
          <w:rFonts w:asciiTheme="majorBidi" w:hAnsiTheme="majorBidi" w:cstheme="majorBidi"/>
          <w:i/>
          <w:iCs/>
          <w:sz w:val="20"/>
          <w:szCs w:val="20"/>
        </w:rPr>
        <w:t>Introduction</w:t>
      </w:r>
    </w:p>
    <w:p w14:paraId="5C80EBEF" w14:textId="678CCEC9" w:rsidR="00107703" w:rsidRPr="00107703" w:rsidRDefault="00107703" w:rsidP="00107703">
      <w:pPr>
        <w:pStyle w:val="SingleTxtG"/>
        <w:tabs>
          <w:tab w:val="left" w:pos="2790"/>
        </w:tabs>
        <w:ind w:left="1701"/>
        <w:rPr>
          <w:rFonts w:asciiTheme="majorBidi" w:hAnsiTheme="majorBidi" w:cstheme="majorBidi"/>
        </w:rPr>
      </w:pPr>
      <w:r w:rsidRPr="00107703">
        <w:rPr>
          <w:rFonts w:asciiTheme="majorBidi" w:hAnsiTheme="majorBidi" w:cstheme="majorBidi"/>
        </w:rPr>
        <w:tab/>
        <w:t xml:space="preserve">This test is used to determine the sensitiveness of a candidate ammonium nitrate emulsion or suspension or gel, intermediate for blasting explosive, to the effect of intense </w:t>
      </w:r>
      <w:r w:rsidR="003F4282" w:rsidRPr="00107703">
        <w:rPr>
          <w:rFonts w:asciiTheme="majorBidi" w:hAnsiTheme="majorBidi" w:cstheme="majorBidi"/>
        </w:rPr>
        <w:t>localized</w:t>
      </w:r>
      <w:r w:rsidRPr="00107703">
        <w:rPr>
          <w:rFonts w:asciiTheme="majorBidi" w:hAnsiTheme="majorBidi" w:cstheme="majorBidi"/>
        </w:rPr>
        <w:t xml:space="preserve"> thermal ignition under high confinement. This test can be performed in case of a positive ("+") result in Test 8(c) when the time to reaction in this test has exceeded 60 seconds and the substance has a water content greater than 14 %.</w:t>
      </w:r>
    </w:p>
    <w:p w14:paraId="365D6AD1" w14:textId="41FFF675" w:rsidR="00FB376C" w:rsidRPr="00107703" w:rsidRDefault="00AA4B34" w:rsidP="00AA4B34">
      <w:pPr>
        <w:pStyle w:val="SingleTxtG"/>
        <w:tabs>
          <w:tab w:val="left" w:pos="2880"/>
        </w:tabs>
        <w:ind w:left="1701" w:firstLine="9"/>
        <w:rPr>
          <w:color w:val="0070C0"/>
          <w:u w:val="single"/>
          <w:lang w:val="en-US"/>
        </w:rPr>
      </w:pPr>
      <w:r w:rsidRPr="00AA4B34">
        <w:rPr>
          <w:color w:val="0070C0"/>
        </w:rPr>
        <w:tab/>
      </w:r>
      <w:r w:rsidR="00FB376C" w:rsidRPr="00107703">
        <w:rPr>
          <w:color w:val="0070C0"/>
          <w:u w:val="single"/>
        </w:rPr>
        <w:t>This test is also applicable for determining the suitability of ANEs for containment in portable tanks as an oxidi</w:t>
      </w:r>
      <w:r w:rsidR="00A65D66" w:rsidRPr="00107703">
        <w:rPr>
          <w:color w:val="0070C0"/>
          <w:u w:val="single"/>
          <w:lang w:val="en-US"/>
        </w:rPr>
        <w:t>z</w:t>
      </w:r>
      <w:r w:rsidR="00FB376C" w:rsidRPr="00107703">
        <w:rPr>
          <w:color w:val="0070C0"/>
          <w:u w:val="single"/>
        </w:rPr>
        <w:t>ing substance</w:t>
      </w:r>
      <w:r w:rsidR="00FB376C" w:rsidRPr="00107703">
        <w:rPr>
          <w:color w:val="0070C0"/>
          <w:u w:val="single"/>
          <w:lang w:val="en-US"/>
        </w:rPr>
        <w:t>.</w:t>
      </w:r>
    </w:p>
    <w:p w14:paraId="6BD323BA" w14:textId="783899A5" w:rsidR="00FB376C" w:rsidRDefault="00AA4B34" w:rsidP="001620F5">
      <w:pPr>
        <w:pStyle w:val="SingleTxtG"/>
        <w:numPr>
          <w:ilvl w:val="0"/>
          <w:numId w:val="19"/>
        </w:numPr>
        <w:ind w:left="1080" w:right="1088" w:firstLine="0"/>
        <w:rPr>
          <w:lang w:val="en-US"/>
        </w:rPr>
      </w:pPr>
      <w:r>
        <w:rPr>
          <w:lang w:val="en-US"/>
        </w:rPr>
        <w:t>Amend Section</w:t>
      </w:r>
      <w:r w:rsidR="00FB376C">
        <w:rPr>
          <w:lang w:val="en-US"/>
        </w:rPr>
        <w:t xml:space="preserve"> 18.8.1.4.1</w:t>
      </w:r>
      <w:r>
        <w:rPr>
          <w:lang w:val="en-US"/>
        </w:rPr>
        <w:t xml:space="preserve"> </w:t>
      </w:r>
      <w:r w:rsidR="001620F5">
        <w:rPr>
          <w:lang w:val="en-US"/>
        </w:rPr>
        <w:t xml:space="preserve">of the MTC </w:t>
      </w:r>
      <w:r>
        <w:rPr>
          <w:lang w:val="en-US"/>
        </w:rPr>
        <w:t xml:space="preserve">as shown below (new text indicated by </w:t>
      </w:r>
      <w:r w:rsidRPr="00107703">
        <w:rPr>
          <w:color w:val="0070C0"/>
          <w:u w:val="single"/>
          <w:lang w:val="en-US"/>
        </w:rPr>
        <w:t>blue underscored text</w:t>
      </w:r>
      <w:r>
        <w:rPr>
          <w:lang w:val="en-US"/>
        </w:rPr>
        <w:t>)</w:t>
      </w:r>
      <w:r w:rsidR="00FB376C">
        <w:rPr>
          <w:lang w:val="en-US"/>
        </w:rPr>
        <w:t>:</w:t>
      </w:r>
    </w:p>
    <w:p w14:paraId="27DAE0DA" w14:textId="3E99D222" w:rsidR="00FB376C" w:rsidRPr="00FB376C" w:rsidRDefault="00AA4B34" w:rsidP="00107703">
      <w:pPr>
        <w:pStyle w:val="SingleTxtG"/>
        <w:ind w:left="1701"/>
        <w:rPr>
          <w:lang w:val="en-US"/>
        </w:rPr>
      </w:pPr>
      <w:r w:rsidRPr="00AA4B34">
        <w:tab/>
        <w:t>18.8.1.4.1</w:t>
      </w:r>
      <w:r w:rsidRPr="00AA4B34">
        <w:tab/>
        <w:t>The result is considered positive ("+") and the substance should not be classified in Division 5.1 if the MBP is less than 5.6 MPa (800 psig).</w:t>
      </w:r>
      <w:r>
        <w:rPr>
          <w:lang w:val="en-US"/>
        </w:rPr>
        <w:t xml:space="preserve"> </w:t>
      </w:r>
      <w:r w:rsidR="00FB376C" w:rsidRPr="00AA4B34">
        <w:rPr>
          <w:color w:val="0070C0"/>
          <w:u w:val="single"/>
        </w:rPr>
        <w:t>Substances with MBPs equal to or greater than 5.6 MPa (800 psig) are considered suitable for containment in portable tanks as an oxidi</w:t>
      </w:r>
      <w:r w:rsidR="00A65D66" w:rsidRPr="00AA4B34">
        <w:rPr>
          <w:color w:val="0070C0"/>
          <w:u w:val="single"/>
          <w:lang w:val="en-US"/>
        </w:rPr>
        <w:t>z</w:t>
      </w:r>
      <w:r w:rsidR="00FB376C" w:rsidRPr="00AA4B34">
        <w:rPr>
          <w:color w:val="0070C0"/>
          <w:u w:val="single"/>
        </w:rPr>
        <w:t>ing substance</w:t>
      </w:r>
      <w:r>
        <w:rPr>
          <w:color w:val="0070C0"/>
          <w:u w:val="single"/>
          <w:lang w:val="en-US"/>
        </w:rPr>
        <w:t xml:space="preserve"> (see 18.8.1.1)</w:t>
      </w:r>
      <w:r w:rsidR="00FB376C" w:rsidRPr="00AA4B34">
        <w:rPr>
          <w:color w:val="0070C0"/>
          <w:u w:val="single"/>
        </w:rPr>
        <w:t>.</w:t>
      </w:r>
    </w:p>
    <w:p w14:paraId="66A5E99E" w14:textId="70AA546B" w:rsidR="00972A01" w:rsidRDefault="00972A01" w:rsidP="00E3141C">
      <w:pPr>
        <w:pStyle w:val="SingleTxtG"/>
        <w:spacing w:after="0"/>
        <w:ind w:left="1560" w:hanging="426"/>
        <w:jc w:val="center"/>
        <w:rPr>
          <w:i/>
          <w:iCs/>
          <w:lang w:val="en-GB"/>
        </w:rPr>
      </w:pPr>
    </w:p>
    <w:p w14:paraId="08513A2C" w14:textId="77777777" w:rsidR="008B2850" w:rsidRDefault="008B2850" w:rsidP="00E3141C">
      <w:pPr>
        <w:pStyle w:val="SingleTxtG"/>
        <w:spacing w:after="0"/>
        <w:ind w:left="1560" w:hanging="426"/>
        <w:jc w:val="center"/>
        <w:rPr>
          <w:u w:val="single"/>
          <w:lang w:val="en-GB"/>
        </w:rPr>
        <w:sectPr w:rsidR="008B2850" w:rsidSect="00EE369A">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pPr>
    </w:p>
    <w:p w14:paraId="3C27FC72" w14:textId="1244A76D" w:rsidR="008B2850" w:rsidRPr="008B2850" w:rsidRDefault="008B2850" w:rsidP="002F6509">
      <w:pPr>
        <w:pStyle w:val="HChG"/>
        <w:spacing w:before="120" w:after="120"/>
      </w:pPr>
      <w:r w:rsidRPr="008B2850">
        <w:lastRenderedPageBreak/>
        <w:t>A</w:t>
      </w:r>
      <w:r w:rsidR="002F6509">
        <w:rPr>
          <w:lang w:val="fr-CH"/>
        </w:rPr>
        <w:t>nnex</w:t>
      </w:r>
    </w:p>
    <w:p w14:paraId="4B3AC306" w14:textId="3494C861" w:rsidR="008B2850" w:rsidRDefault="008B2850" w:rsidP="00E3141C">
      <w:pPr>
        <w:pStyle w:val="SingleTxtG"/>
        <w:spacing w:after="0"/>
        <w:ind w:left="1560" w:hanging="426"/>
        <w:jc w:val="center"/>
        <w:rPr>
          <w:u w:val="single"/>
          <w:lang w:val="en-GB"/>
        </w:rPr>
      </w:pPr>
      <w:r>
        <w:rPr>
          <w:u w:val="single"/>
          <w:lang w:val="en-GB"/>
        </w:rPr>
        <w:t>Figures Referred to in Document</w:t>
      </w:r>
    </w:p>
    <w:p w14:paraId="4AD81232" w14:textId="5E3EE3A6" w:rsidR="008B2850" w:rsidRDefault="008B2850" w:rsidP="00E3141C">
      <w:pPr>
        <w:pStyle w:val="SingleTxtG"/>
        <w:spacing w:after="0"/>
        <w:ind w:left="1560" w:hanging="426"/>
        <w:jc w:val="center"/>
        <w:rPr>
          <w:u w:val="single"/>
          <w:lang w:val="en-GB"/>
        </w:rPr>
      </w:pPr>
    </w:p>
    <w:p w14:paraId="7A0E9F3E" w14:textId="7ABA1E8D" w:rsidR="008B2850" w:rsidRDefault="0078174E" w:rsidP="0002598A">
      <w:pPr>
        <w:jc w:val="center"/>
      </w:pPr>
      <w:r>
        <w:rPr>
          <w:i/>
          <w:iCs/>
          <w:noProof/>
          <w:lang w:val="en-US"/>
        </w:rPr>
        <w:drawing>
          <wp:inline distT="0" distB="0" distL="0" distR="0" wp14:anchorId="6BD8D1DB" wp14:editId="361C4C86">
            <wp:extent cx="5303520" cy="32987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3520" cy="3298771"/>
                    </a:xfrm>
                    <a:prstGeom prst="rect">
                      <a:avLst/>
                    </a:prstGeom>
                    <a:noFill/>
                  </pic:spPr>
                </pic:pic>
              </a:graphicData>
            </a:graphic>
          </wp:inline>
        </w:drawing>
      </w:r>
    </w:p>
    <w:p w14:paraId="1DFFFD65" w14:textId="064BD7F8" w:rsidR="008B2850" w:rsidRDefault="008B2850" w:rsidP="002F6509">
      <w:pPr>
        <w:spacing w:before="120" w:after="120"/>
        <w:ind w:left="720"/>
        <w:jc w:val="center"/>
      </w:pPr>
      <w:r>
        <w:t>Figure 1</w:t>
      </w:r>
      <w:r w:rsidR="002F6509">
        <w:t>:</w:t>
      </w:r>
      <w:r>
        <w:t xml:space="preserve"> </w:t>
      </w:r>
      <w:r w:rsidR="00837341">
        <w:t>TS 8</w:t>
      </w:r>
      <w:r>
        <w:t>(d)(i) Outcomes for Ammonium Nitrate Emulsions with varying Fuel and Emulsifier Content</w:t>
      </w:r>
    </w:p>
    <w:p w14:paraId="00A8C684" w14:textId="77777777" w:rsidR="008B2850" w:rsidRDefault="008B2850" w:rsidP="0002598A">
      <w:pPr>
        <w:jc w:val="center"/>
      </w:pPr>
      <w:r>
        <w:rPr>
          <w:noProof/>
          <w:lang w:val="en-US"/>
        </w:rPr>
        <w:drawing>
          <wp:inline distT="0" distB="0" distL="0" distR="0" wp14:anchorId="69B7EC73" wp14:editId="0BC038F3">
            <wp:extent cx="5302872" cy="3435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10368" cy="3440206"/>
                    </a:xfrm>
                    <a:prstGeom prst="rect">
                      <a:avLst/>
                    </a:prstGeom>
                  </pic:spPr>
                </pic:pic>
              </a:graphicData>
            </a:graphic>
          </wp:inline>
        </w:drawing>
      </w:r>
    </w:p>
    <w:p w14:paraId="65D4599E" w14:textId="38976A44" w:rsidR="008B2850" w:rsidRDefault="008B2850" w:rsidP="002F6509">
      <w:pPr>
        <w:spacing w:before="120"/>
        <w:ind w:left="720"/>
        <w:jc w:val="center"/>
      </w:pPr>
      <w:r>
        <w:t>Figure 2</w:t>
      </w:r>
      <w:r w:rsidR="002F6509">
        <w:t>:</w:t>
      </w:r>
      <w:r>
        <w:t xml:space="preserve"> Water Content of Ammonium Nitrate Emulsions with varying</w:t>
      </w:r>
      <w:r w:rsidR="0002598A">
        <w:t xml:space="preserve"> </w:t>
      </w:r>
      <w:r>
        <w:t>Fuel and Emulsifier Content</w:t>
      </w:r>
      <w:r w:rsidR="0002598A">
        <w:t xml:space="preserve"> </w:t>
      </w:r>
      <w:r>
        <w:t>corresponding to Figure 1</w:t>
      </w:r>
    </w:p>
    <w:p w14:paraId="1E7EEDED" w14:textId="77777777" w:rsidR="008B2850" w:rsidRDefault="008B2850" w:rsidP="008B2850"/>
    <w:p w14:paraId="067A4EC7" w14:textId="77777777" w:rsidR="008B2850" w:rsidRDefault="008B2850" w:rsidP="0002598A">
      <w:pPr>
        <w:jc w:val="center"/>
      </w:pPr>
      <w:r>
        <w:rPr>
          <w:noProof/>
          <w:lang w:val="en-US"/>
        </w:rPr>
        <w:drawing>
          <wp:inline distT="0" distB="0" distL="0" distR="0" wp14:anchorId="4CA8F6FD" wp14:editId="6335C1C0">
            <wp:extent cx="5303520" cy="20605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303520" cy="2060547"/>
                    </a:xfrm>
                    <a:prstGeom prst="rect">
                      <a:avLst/>
                    </a:prstGeom>
                  </pic:spPr>
                </pic:pic>
              </a:graphicData>
            </a:graphic>
          </wp:inline>
        </w:drawing>
      </w:r>
    </w:p>
    <w:p w14:paraId="5F6D69EA" w14:textId="2D45B4FA" w:rsidR="008B2850" w:rsidRDefault="008B2850" w:rsidP="002F6509">
      <w:pPr>
        <w:spacing w:before="120" w:after="240"/>
        <w:ind w:left="720"/>
        <w:jc w:val="center"/>
      </w:pPr>
      <w:r>
        <w:t>Figure 3</w:t>
      </w:r>
      <w:r w:rsidR="002F6509">
        <w:t>:</w:t>
      </w:r>
      <w:r>
        <w:t xml:space="preserve"> Koenen Test (</w:t>
      </w:r>
      <w:r w:rsidR="00837341">
        <w:t>TS 8</w:t>
      </w:r>
      <w:r>
        <w:t>c) Reaction Times for Ammonium Nitrate Emulsions with varying</w:t>
      </w:r>
      <w:r w:rsidR="0002598A">
        <w:br/>
      </w:r>
      <w:r>
        <w:t>Fuel and Emulsifier Content corresponding to Figure 1.</w:t>
      </w:r>
    </w:p>
    <w:p w14:paraId="0385219C" w14:textId="77777777" w:rsidR="008B2850" w:rsidRDefault="008B2850" w:rsidP="0002598A">
      <w:pPr>
        <w:jc w:val="center"/>
      </w:pPr>
      <w:r>
        <w:rPr>
          <w:noProof/>
          <w:lang w:val="en-US"/>
        </w:rPr>
        <w:drawing>
          <wp:inline distT="0" distB="0" distL="0" distR="0" wp14:anchorId="0093D4BE" wp14:editId="45B57B6F">
            <wp:extent cx="5303520" cy="368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3520" cy="3680940"/>
                    </a:xfrm>
                    <a:prstGeom prst="rect">
                      <a:avLst/>
                    </a:prstGeom>
                    <a:noFill/>
                  </pic:spPr>
                </pic:pic>
              </a:graphicData>
            </a:graphic>
          </wp:inline>
        </w:drawing>
      </w:r>
    </w:p>
    <w:p w14:paraId="25670ADB" w14:textId="421986FF" w:rsidR="008B2850" w:rsidRPr="00CF79FC" w:rsidRDefault="008B2850" w:rsidP="002F6509">
      <w:pPr>
        <w:spacing w:before="120"/>
        <w:ind w:left="720"/>
        <w:jc w:val="center"/>
      </w:pPr>
      <w:r>
        <w:t>Figure 4</w:t>
      </w:r>
      <w:r w:rsidR="002F6509">
        <w:t>:</w:t>
      </w:r>
      <w:r>
        <w:t xml:space="preserve"> Predicted Minimum Burning Pressure for Ammonium Nitrate Emulsions with varying</w:t>
      </w:r>
      <w:r w:rsidR="0002598A">
        <w:t xml:space="preserve"> </w:t>
      </w:r>
      <w:r>
        <w:t xml:space="preserve">Fuel and Emulsifier Content corresponding to Figure 1. </w:t>
      </w:r>
      <w:r w:rsidRPr="00CF79FC">
        <w:t xml:space="preserve">Note: </w:t>
      </w:r>
      <w:r w:rsidR="00E64733">
        <w:t>MBP values were calculated</w:t>
      </w:r>
      <w:r w:rsidR="0002598A">
        <w:t xml:space="preserve"> </w:t>
      </w:r>
      <w:r w:rsidR="00E64733">
        <w:t xml:space="preserve">according to the method described in </w:t>
      </w:r>
      <w:r w:rsidR="007A52E1">
        <w:t xml:space="preserve">paragraph </w:t>
      </w:r>
      <w:r w:rsidR="00E61D8A">
        <w:t>11</w:t>
      </w:r>
      <w:r w:rsidR="007A52E1">
        <w:t>.f.</w:t>
      </w:r>
      <w:r w:rsidR="00E64733">
        <w:t xml:space="preserve"> and based on the data of Badeen et al. (2014)</w:t>
      </w:r>
      <w:r w:rsidRPr="00CF79FC">
        <w:rPr>
          <w:rStyle w:val="FootnoteReference"/>
        </w:rPr>
        <w:footnoteReference w:id="5"/>
      </w:r>
    </w:p>
    <w:p w14:paraId="7D183B56" w14:textId="77777777" w:rsidR="008B2850" w:rsidRDefault="008B2850" w:rsidP="008B2850"/>
    <w:p w14:paraId="25A952E5" w14:textId="77777777" w:rsidR="008B2850" w:rsidRDefault="008B2850" w:rsidP="008B2850"/>
    <w:p w14:paraId="6BDDF062" w14:textId="77777777" w:rsidR="008B2850" w:rsidRDefault="008B2850" w:rsidP="008B2850"/>
    <w:p w14:paraId="28EB32F0" w14:textId="0F885000" w:rsidR="008B2850" w:rsidRDefault="00506BC2" w:rsidP="008B2850">
      <w:r>
        <w:rPr>
          <w:noProof/>
          <w:lang w:val="en-US"/>
        </w:rPr>
        <mc:AlternateContent>
          <mc:Choice Requires="wps">
            <w:drawing>
              <wp:anchor distT="0" distB="0" distL="114300" distR="114300" simplePos="0" relativeHeight="251659264" behindDoc="0" locked="0" layoutInCell="1" allowOverlap="1" wp14:anchorId="5D76F5A3" wp14:editId="586F63D1">
                <wp:simplePos x="0" y="0"/>
                <wp:positionH relativeFrom="column">
                  <wp:posOffset>3418535</wp:posOffset>
                </wp:positionH>
                <wp:positionV relativeFrom="paragraph">
                  <wp:posOffset>3272155</wp:posOffset>
                </wp:positionV>
                <wp:extent cx="2340610" cy="709295"/>
                <wp:effectExtent l="0" t="0" r="21590" b="14605"/>
                <wp:wrapNone/>
                <wp:docPr id="4" name="Text Box 4"/>
                <wp:cNvGraphicFramePr/>
                <a:graphic xmlns:a="http://schemas.openxmlformats.org/drawingml/2006/main">
                  <a:graphicData uri="http://schemas.microsoft.com/office/word/2010/wordprocessingShape">
                    <wps:wsp>
                      <wps:cNvSpPr txBox="1"/>
                      <wps:spPr>
                        <a:xfrm>
                          <a:off x="0" y="0"/>
                          <a:ext cx="2340610" cy="709295"/>
                        </a:xfrm>
                        <a:prstGeom prst="rect">
                          <a:avLst/>
                        </a:prstGeom>
                        <a:solidFill>
                          <a:schemeClr val="lt1"/>
                        </a:solidFill>
                        <a:ln w="6350">
                          <a:solidFill>
                            <a:prstClr val="black"/>
                          </a:solidFill>
                        </a:ln>
                      </wps:spPr>
                      <wps:txbx>
                        <w:txbxContent>
                          <w:p w14:paraId="299DB703" w14:textId="5EBBE543" w:rsidR="006D2206" w:rsidRPr="00506BC2" w:rsidRDefault="006D2206" w:rsidP="00665A80">
                            <w:pPr>
                              <w:spacing w:after="60"/>
                              <w:rPr>
                                <w:rFonts w:ascii="Arial" w:hAnsi="Arial" w:cs="Arial"/>
                                <w:b/>
                                <w:sz w:val="16"/>
                                <w:szCs w:val="16"/>
                                <w:u w:val="single"/>
                              </w:rPr>
                            </w:pPr>
                            <w:r w:rsidRPr="00506BC2">
                              <w:rPr>
                                <w:rFonts w:ascii="Arial" w:hAnsi="Arial" w:cs="Arial"/>
                                <w:b/>
                                <w:sz w:val="16"/>
                                <w:szCs w:val="16"/>
                                <w:u w:val="single"/>
                              </w:rPr>
                              <w:t>Key:</w:t>
                            </w:r>
                          </w:p>
                          <w:p w14:paraId="489E73C4" w14:textId="12D2B872" w:rsidR="00665A80" w:rsidRPr="00665A80" w:rsidRDefault="00665A80" w:rsidP="00665A80">
                            <w:pPr>
                              <w:spacing w:after="60"/>
                              <w:rPr>
                                <w:rFonts w:ascii="Arial" w:hAnsi="Arial" w:cs="Arial"/>
                                <w:sz w:val="16"/>
                                <w:szCs w:val="16"/>
                              </w:rPr>
                            </w:pPr>
                            <w:r w:rsidRPr="00665A80">
                              <w:rPr>
                                <w:rFonts w:ascii="Arial" w:hAnsi="Arial" w:cs="Arial"/>
                                <w:sz w:val="16"/>
                                <w:szCs w:val="16"/>
                              </w:rPr>
                              <w:t>VPT = Vented Pipe Test</w:t>
                            </w:r>
                            <w:r w:rsidR="006D2206">
                              <w:rPr>
                                <w:rFonts w:ascii="Arial" w:hAnsi="Arial" w:cs="Arial"/>
                                <w:sz w:val="16"/>
                                <w:szCs w:val="16"/>
                              </w:rPr>
                              <w:t xml:space="preserve"> (TS 8(d)(i))</w:t>
                            </w:r>
                          </w:p>
                          <w:p w14:paraId="65719393" w14:textId="1D934DCD" w:rsidR="00665A80" w:rsidRPr="00665A80" w:rsidRDefault="00665A80" w:rsidP="00665A80">
                            <w:pPr>
                              <w:spacing w:after="60"/>
                              <w:rPr>
                                <w:rFonts w:ascii="Arial" w:hAnsi="Arial" w:cs="Arial"/>
                                <w:sz w:val="16"/>
                                <w:szCs w:val="16"/>
                              </w:rPr>
                            </w:pPr>
                            <w:r w:rsidRPr="00665A80">
                              <w:rPr>
                                <w:rFonts w:ascii="Arial" w:hAnsi="Arial" w:cs="Arial"/>
                                <w:sz w:val="16"/>
                                <w:szCs w:val="16"/>
                              </w:rPr>
                              <w:t>MVPT = Modified Vented Pipe Test</w:t>
                            </w:r>
                            <w:r w:rsidR="006D2206">
                              <w:rPr>
                                <w:rFonts w:ascii="Arial" w:hAnsi="Arial" w:cs="Arial"/>
                                <w:sz w:val="16"/>
                                <w:szCs w:val="16"/>
                              </w:rPr>
                              <w:t xml:space="preserve"> (TS 8(d)(ii)</w:t>
                            </w:r>
                            <w:r w:rsidR="00817BFE">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6F5A3" id="_x0000_t202" coordsize="21600,21600" o:spt="202" path="m,l,21600r21600,l21600,xe">
                <v:stroke joinstyle="miter"/>
                <v:path gradientshapeok="t" o:connecttype="rect"/>
              </v:shapetype>
              <v:shape id="Text Box 4" o:spid="_x0000_s1026" type="#_x0000_t202" style="position:absolute;margin-left:269.2pt;margin-top:257.65pt;width:184.3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" fillcolor="white [3201]" strokeweight=".5pt">
                <v:textbox>
                  <w:txbxContent>
                    <w:p w14:paraId="299DB703" w14:textId="5EBBE543" w:rsidR="006D2206" w:rsidRPr="00506BC2" w:rsidRDefault="006D2206" w:rsidP="00665A80">
                      <w:pPr>
                        <w:spacing w:after="60"/>
                        <w:rPr>
                          <w:rFonts w:ascii="Arial" w:hAnsi="Arial" w:cs="Arial"/>
                          <w:b/>
                          <w:sz w:val="16"/>
                          <w:szCs w:val="16"/>
                          <w:u w:val="single"/>
                        </w:rPr>
                      </w:pPr>
                      <w:r w:rsidRPr="00506BC2">
                        <w:rPr>
                          <w:rFonts w:ascii="Arial" w:hAnsi="Arial" w:cs="Arial"/>
                          <w:b/>
                          <w:sz w:val="16"/>
                          <w:szCs w:val="16"/>
                          <w:u w:val="single"/>
                        </w:rPr>
                        <w:t>Key:</w:t>
                      </w:r>
                    </w:p>
                    <w:p w14:paraId="489E73C4" w14:textId="12D2B872" w:rsidR="00665A80" w:rsidRPr="00665A80" w:rsidRDefault="00665A80" w:rsidP="00665A80">
                      <w:pPr>
                        <w:spacing w:after="60"/>
                        <w:rPr>
                          <w:rFonts w:ascii="Arial" w:hAnsi="Arial" w:cs="Arial"/>
                          <w:sz w:val="16"/>
                          <w:szCs w:val="16"/>
                        </w:rPr>
                      </w:pPr>
                      <w:r w:rsidRPr="00665A80">
                        <w:rPr>
                          <w:rFonts w:ascii="Arial" w:hAnsi="Arial" w:cs="Arial"/>
                          <w:sz w:val="16"/>
                          <w:szCs w:val="16"/>
                        </w:rPr>
                        <w:t>VPT = Vented Pipe Test</w:t>
                      </w:r>
                      <w:r w:rsidR="006D2206">
                        <w:rPr>
                          <w:rFonts w:ascii="Arial" w:hAnsi="Arial" w:cs="Arial"/>
                          <w:sz w:val="16"/>
                          <w:szCs w:val="16"/>
                        </w:rPr>
                        <w:t xml:space="preserve"> (TS 8(d)(i))</w:t>
                      </w:r>
                    </w:p>
                    <w:p w14:paraId="65719393" w14:textId="1D934DCD" w:rsidR="00665A80" w:rsidRPr="00665A80" w:rsidRDefault="00665A80" w:rsidP="00665A80">
                      <w:pPr>
                        <w:spacing w:after="60"/>
                        <w:rPr>
                          <w:rFonts w:ascii="Arial" w:hAnsi="Arial" w:cs="Arial"/>
                          <w:sz w:val="16"/>
                          <w:szCs w:val="16"/>
                        </w:rPr>
                      </w:pPr>
                      <w:r w:rsidRPr="00665A80">
                        <w:rPr>
                          <w:rFonts w:ascii="Arial" w:hAnsi="Arial" w:cs="Arial"/>
                          <w:sz w:val="16"/>
                          <w:szCs w:val="16"/>
                        </w:rPr>
                        <w:t>MVPT = Modified Vented Pipe Test</w:t>
                      </w:r>
                      <w:r w:rsidR="006D2206">
                        <w:rPr>
                          <w:rFonts w:ascii="Arial" w:hAnsi="Arial" w:cs="Arial"/>
                          <w:sz w:val="16"/>
                          <w:szCs w:val="16"/>
                        </w:rPr>
                        <w:t xml:space="preserve"> (TS 8(d)(ii)</w:t>
                      </w:r>
                      <w:r w:rsidR="00817BFE">
                        <w:rPr>
                          <w:rFonts w:ascii="Arial" w:hAnsi="Arial" w:cs="Arial"/>
                          <w:sz w:val="16"/>
                          <w:szCs w:val="16"/>
                        </w:rPr>
                        <w:t>)</w:t>
                      </w:r>
                    </w:p>
                  </w:txbxContent>
                </v:textbox>
              </v:shape>
            </w:pict>
          </mc:Fallback>
        </mc:AlternateContent>
      </w:r>
      <w:r w:rsidR="008B2850" w:rsidRPr="00F75A26">
        <w:rPr>
          <w:noProof/>
          <w:lang w:val="en-US"/>
        </w:rPr>
        <w:drawing>
          <wp:inline distT="0" distB="0" distL="0" distR="0" wp14:anchorId="574CA607" wp14:editId="07912EAA">
            <wp:extent cx="6012308" cy="4433455"/>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st_pressure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33173" cy="4448841"/>
                    </a:xfrm>
                    <a:prstGeom prst="rect">
                      <a:avLst/>
                    </a:prstGeom>
                  </pic:spPr>
                </pic:pic>
              </a:graphicData>
            </a:graphic>
          </wp:inline>
        </w:drawing>
      </w:r>
    </w:p>
    <w:p w14:paraId="620DD82F" w14:textId="69CA2772" w:rsidR="008B2850" w:rsidRDefault="008B2850" w:rsidP="002F6509">
      <w:pPr>
        <w:spacing w:before="120"/>
        <w:ind w:left="720"/>
        <w:jc w:val="center"/>
      </w:pPr>
      <w:r>
        <w:t>Figure 5. Burst Pressure for Portable Tanks and 8</w:t>
      </w:r>
      <w:r w:rsidR="00070F84">
        <w:t>(</w:t>
      </w:r>
      <w:r>
        <w:t>c</w:t>
      </w:r>
      <w:r w:rsidR="00070F84">
        <w:t>)</w:t>
      </w:r>
      <w:r>
        <w:t xml:space="preserve"> and 8</w:t>
      </w:r>
      <w:r w:rsidR="00070F84">
        <w:t>(</w:t>
      </w:r>
      <w:r>
        <w:t>d</w:t>
      </w:r>
      <w:r w:rsidR="00070F84">
        <w:t>)</w:t>
      </w:r>
      <w:r>
        <w:t xml:space="preserve"> Tests</w:t>
      </w:r>
      <w:r w:rsidR="006D2206">
        <w:br/>
      </w:r>
    </w:p>
    <w:p w14:paraId="2DB04F31" w14:textId="6068D9A4" w:rsidR="008B2850" w:rsidRPr="008B2850" w:rsidRDefault="002F6509" w:rsidP="00E3141C">
      <w:pPr>
        <w:pStyle w:val="SingleTxtG"/>
        <w:spacing w:after="0"/>
        <w:ind w:left="1560" w:hanging="426"/>
        <w:jc w:val="center"/>
        <w:rPr>
          <w:lang w:val="en-GB"/>
        </w:rPr>
      </w:pPr>
      <w:r>
        <w:rPr>
          <w:lang w:val="en-GB"/>
        </w:rPr>
        <w:t>___________________</w:t>
      </w:r>
      <w:bookmarkStart w:id="0" w:name="_GoBack"/>
      <w:bookmarkEnd w:id="0"/>
    </w:p>
    <w:sectPr w:rsidR="008B2850" w:rsidRPr="008B2850" w:rsidSect="008B2850">
      <w:headerReference w:type="first" r:id="rId18"/>
      <w:footerReference w:type="first" r:id="rId19"/>
      <w:pgSz w:w="11906" w:h="16838" w:code="9"/>
      <w:pgMar w:top="1701" w:right="1134" w:bottom="2268" w:left="1134" w:header="1134" w:footer="170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9949" w16cex:dateUtc="2020-06-11T01:51:00Z"/>
  <w16cex:commentExtensible w16cex:durableId="228CA0BE" w16cex:dateUtc="2020-06-11T02:23:00Z"/>
  <w16cex:commentExtensible w16cex:durableId="228C6E5F" w16cex:dateUtc="2020-06-11T14:48:00Z"/>
  <w16cex:commentExtensible w16cex:durableId="228CA1E4" w16cex:dateUtc="2020-06-11T02:28:00Z"/>
  <w16cex:commentExtensible w16cex:durableId="228CA2F0" w16cex:dateUtc="2020-06-11T02:32:00Z"/>
  <w16cex:commentExtensible w16cex:durableId="228C6EAE" w16cex:dateUtc="2020-06-11T14:49:00Z"/>
  <w16cex:commentExtensible w16cex:durableId="228CA328" w16cex:dateUtc="2020-06-11T02:33:00Z"/>
  <w16cex:commentExtensible w16cex:durableId="228CA28A" w16cex:dateUtc="2020-06-11T02:31:00Z"/>
  <w16cex:commentExtensible w16cex:durableId="228C6EE6" w16cex:dateUtc="2020-06-11T14:50:00Z"/>
  <w16cex:commentExtensible w16cex:durableId="228CA49E" w16cex:dateUtc="2020-06-11T02:39:00Z"/>
  <w16cex:commentExtensible w16cex:durableId="228C9E27" w16cex:dateUtc="2020-06-11T02:12:00Z"/>
  <w16cex:commentExtensible w16cex:durableId="228C723D" w16cex:dateUtc="2020-06-11T15:05:00Z"/>
  <w16cex:commentExtensible w16cex:durableId="228C9C0C" w16cex:dateUtc="2020-06-11T02:03:00Z"/>
  <w16cex:commentExtensible w16cex:durableId="228C72A5" w16cex:dateUtc="2020-06-11T15:06:00Z"/>
  <w16cex:commentExtensible w16cex:durableId="228C9F05" w16cex:dateUtc="2020-06-11T02:16:00Z"/>
  <w16cex:commentExtensible w16cex:durableId="228C9F1A" w16cex:dateUtc="2020-06-11T02:16:00Z"/>
  <w16cex:commentExtensible w16cex:durableId="228C72D4" w16cex:dateUtc="2020-06-11T15:07:00Z"/>
  <w16cex:commentExtensible w16cex:durableId="228C9AC7" w16cex:dateUtc="2020-06-11T01:57:00Z"/>
  <w16cex:commentExtensible w16cex:durableId="228C72CB" w16cex:dateUtc="2020-06-11T15:07:00Z"/>
  <w16cex:commentExtensible w16cex:durableId="228CA116" w16cex:dateUtc="2020-06-11T02:24:00Z"/>
  <w16cex:commentExtensible w16cex:durableId="228C72EC" w16cex:dateUtc="2020-06-11T15: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D4D32" w14:textId="77777777" w:rsidR="004C084B" w:rsidRDefault="004C084B"/>
  </w:endnote>
  <w:endnote w:type="continuationSeparator" w:id="0">
    <w:p w14:paraId="6A0B5EE2" w14:textId="77777777" w:rsidR="004C084B" w:rsidRDefault="004C084B"/>
  </w:endnote>
  <w:endnote w:type="continuationNotice" w:id="1">
    <w:p w14:paraId="355E0470" w14:textId="77777777" w:rsidR="004C084B" w:rsidRDefault="004C0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9DC64" w14:textId="1BB36D91" w:rsidR="004F6DF4" w:rsidRPr="00F257D1" w:rsidRDefault="004F6DF4" w:rsidP="007703E2">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14785B">
      <w:rPr>
        <w:rStyle w:val="PageNumber"/>
        <w:noProof/>
        <w:sz w:val="20"/>
        <w:szCs w:val="22"/>
      </w:rPr>
      <w:t>6</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335B" w14:textId="5AF41DB2" w:rsidR="004F6DF4" w:rsidRPr="000216CC" w:rsidRDefault="004F6DF4"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14785B">
      <w:rPr>
        <w:b/>
        <w:noProof/>
        <w:sz w:val="18"/>
      </w:rPr>
      <w:t>7</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8F6C6" w14:textId="7E2CF436" w:rsidR="00176942" w:rsidRPr="00176942" w:rsidRDefault="00176942" w:rsidP="00176942">
    <w:pPr>
      <w:pStyle w:val="Footer"/>
      <w:jc w:val="right"/>
      <w:rPr>
        <w:sz w:val="20"/>
      </w:rPr>
    </w:pPr>
    <w:r w:rsidRPr="00176942">
      <w:rPr>
        <w:sz w:val="20"/>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8B75" w14:textId="77777777" w:rsidR="002F6509" w:rsidRPr="00176942" w:rsidRDefault="002F6509" w:rsidP="00176942">
    <w:pPr>
      <w:pStyle w:val="Footer"/>
      <w:jc w:val="right"/>
      <w:rPr>
        <w:sz w:val="20"/>
      </w:rPr>
    </w:pPr>
    <w:r w:rsidRPr="00176942">
      <w:rPr>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6CF1C" w14:textId="77777777" w:rsidR="004C084B" w:rsidRPr="000B175B" w:rsidRDefault="004C084B" w:rsidP="000B175B">
      <w:pPr>
        <w:tabs>
          <w:tab w:val="right" w:pos="2155"/>
        </w:tabs>
        <w:spacing w:after="80"/>
        <w:ind w:left="680"/>
        <w:rPr>
          <w:u w:val="single"/>
        </w:rPr>
      </w:pPr>
      <w:r>
        <w:rPr>
          <w:u w:val="single"/>
        </w:rPr>
        <w:tab/>
      </w:r>
    </w:p>
  </w:footnote>
  <w:footnote w:type="continuationSeparator" w:id="0">
    <w:p w14:paraId="4CCF016D" w14:textId="77777777" w:rsidR="004C084B" w:rsidRPr="00FC68B7" w:rsidRDefault="004C084B" w:rsidP="00FC68B7">
      <w:pPr>
        <w:tabs>
          <w:tab w:val="left" w:pos="2155"/>
        </w:tabs>
        <w:spacing w:after="80"/>
        <w:ind w:left="680"/>
        <w:rPr>
          <w:u w:val="single"/>
        </w:rPr>
      </w:pPr>
      <w:r>
        <w:rPr>
          <w:u w:val="single"/>
        </w:rPr>
        <w:tab/>
      </w:r>
    </w:p>
  </w:footnote>
  <w:footnote w:type="continuationNotice" w:id="1">
    <w:p w14:paraId="29612899" w14:textId="77777777" w:rsidR="004C084B" w:rsidRDefault="004C084B"/>
  </w:footnote>
  <w:footnote w:id="2">
    <w:p w14:paraId="6EFBD783" w14:textId="5DC5357D" w:rsidR="00685B71" w:rsidRPr="00685B71" w:rsidRDefault="00685B71" w:rsidP="001B1588">
      <w:pPr>
        <w:pStyle w:val="FootnoteText"/>
        <w:tabs>
          <w:tab w:val="left" w:pos="1418"/>
        </w:tabs>
        <w:ind w:firstLine="0"/>
        <w:rPr>
          <w:lang w:val="en-US"/>
        </w:rPr>
      </w:pPr>
      <w:r>
        <w:rPr>
          <w:rStyle w:val="FootnoteReference"/>
        </w:rPr>
        <w:footnoteRef/>
      </w:r>
      <w:r>
        <w:t xml:space="preserve"> </w:t>
      </w:r>
      <w:r w:rsidR="001B1588">
        <w:tab/>
      </w:r>
      <w:r w:rsidRPr="00685B71">
        <w:rPr>
          <w:lang w:val="en-US"/>
        </w:rPr>
        <w:t>Hereafter referred to as “MTC”</w:t>
      </w:r>
    </w:p>
  </w:footnote>
  <w:footnote w:id="3">
    <w:p w14:paraId="5E515713" w14:textId="445B54AB" w:rsidR="0024484B" w:rsidRPr="0024484B" w:rsidRDefault="0024484B" w:rsidP="001B1588">
      <w:pPr>
        <w:pStyle w:val="FootnoteText"/>
        <w:tabs>
          <w:tab w:val="left" w:pos="1418"/>
        </w:tabs>
        <w:ind w:firstLine="0"/>
        <w:rPr>
          <w:lang w:val="en-US"/>
        </w:rPr>
      </w:pPr>
      <w:r>
        <w:rPr>
          <w:rStyle w:val="FootnoteReference"/>
        </w:rPr>
        <w:footnoteRef/>
      </w:r>
      <w:r>
        <w:t xml:space="preserve"> </w:t>
      </w:r>
      <w:r w:rsidR="001B1588">
        <w:tab/>
      </w:r>
      <w:r w:rsidR="001B1588">
        <w:rPr>
          <w:lang w:val="fr-CH"/>
        </w:rPr>
        <w:t xml:space="preserve">Informal document </w:t>
      </w:r>
      <w:r w:rsidRPr="0024484B">
        <w:t>INF.55</w:t>
      </w:r>
      <w:r>
        <w:rPr>
          <w:lang w:val="en-US"/>
        </w:rPr>
        <w:t>, para. 5</w:t>
      </w:r>
      <w:r w:rsidR="001B1588">
        <w:rPr>
          <w:lang w:val="en-US"/>
        </w:rPr>
        <w:t xml:space="preserve"> (55</w:t>
      </w:r>
      <w:r w:rsidR="001B1588" w:rsidRPr="001B1588">
        <w:rPr>
          <w:vertAlign w:val="superscript"/>
          <w:lang w:val="en-US"/>
        </w:rPr>
        <w:t>th</w:t>
      </w:r>
      <w:r w:rsidR="001B1588">
        <w:rPr>
          <w:lang w:val="en-US"/>
        </w:rPr>
        <w:t xml:space="preserve"> session)</w:t>
      </w:r>
    </w:p>
  </w:footnote>
  <w:footnote w:id="4">
    <w:p w14:paraId="0263AB84" w14:textId="18B8DF23" w:rsidR="003B3B4B" w:rsidRPr="00E64733" w:rsidRDefault="003B3B4B" w:rsidP="002F6509">
      <w:pPr>
        <w:tabs>
          <w:tab w:val="left" w:pos="1418"/>
        </w:tabs>
        <w:ind w:left="1134" w:right="707"/>
        <w:rPr>
          <w:sz w:val="18"/>
          <w:szCs w:val="18"/>
        </w:rPr>
      </w:pPr>
      <w:r w:rsidRPr="00E64733">
        <w:rPr>
          <w:rStyle w:val="FootnoteReference"/>
          <w:szCs w:val="18"/>
        </w:rPr>
        <w:footnoteRef/>
      </w:r>
      <w:r w:rsidRPr="00E64733">
        <w:rPr>
          <w:sz w:val="18"/>
          <w:szCs w:val="18"/>
        </w:rPr>
        <w:t xml:space="preserve"> </w:t>
      </w:r>
      <w:r w:rsidR="002F6509">
        <w:rPr>
          <w:sz w:val="18"/>
          <w:szCs w:val="18"/>
        </w:rPr>
        <w:tab/>
      </w:r>
      <w:r w:rsidRPr="00E64733">
        <w:rPr>
          <w:rFonts w:cstheme="minorHAnsi"/>
          <w:sz w:val="18"/>
          <w:szCs w:val="18"/>
        </w:rPr>
        <w:t xml:space="preserve">C. Badeen, S. Goldthorp, R. Turcotte, H. Feng, S.K. Chan, I. Alilovic, Effect of Ingredients on the Minimum Burning Pressure of Ammonium Nitrate Emulsions, Proceedings of the </w:t>
      </w:r>
      <w:r w:rsidRPr="00E64733">
        <w:rPr>
          <w:rFonts w:cstheme="minorHAnsi"/>
          <w:i/>
          <w:sz w:val="18"/>
          <w:szCs w:val="18"/>
          <w:lang w:val="en-CA"/>
        </w:rPr>
        <w:t>40</w:t>
      </w:r>
      <w:r w:rsidRPr="00E64733">
        <w:rPr>
          <w:rFonts w:cstheme="minorHAnsi"/>
          <w:i/>
          <w:sz w:val="18"/>
          <w:szCs w:val="18"/>
          <w:vertAlign w:val="superscript"/>
          <w:lang w:val="en-CA"/>
        </w:rPr>
        <w:t>th</w:t>
      </w:r>
      <w:r w:rsidRPr="00E64733">
        <w:rPr>
          <w:rFonts w:cstheme="minorHAnsi"/>
          <w:i/>
          <w:sz w:val="18"/>
          <w:szCs w:val="18"/>
          <w:lang w:val="en-CA"/>
        </w:rPr>
        <w:t xml:space="preserve"> Annual Conference on Explosives and Blasting Techniques</w:t>
      </w:r>
      <w:r w:rsidRPr="00E64733">
        <w:rPr>
          <w:rFonts w:cstheme="minorHAnsi"/>
          <w:sz w:val="18"/>
          <w:szCs w:val="18"/>
          <w:lang w:val="en-CA"/>
        </w:rPr>
        <w:t>, International Society of Explosives Engineers, Denver, CO, USA, February 2014.</w:t>
      </w:r>
    </w:p>
    <w:p w14:paraId="44B7879F" w14:textId="77777777" w:rsidR="003B3B4B" w:rsidRDefault="003B3B4B" w:rsidP="003B3B4B">
      <w:pPr>
        <w:pStyle w:val="FootnoteText"/>
      </w:pPr>
    </w:p>
  </w:footnote>
  <w:footnote w:id="5">
    <w:p w14:paraId="7D92080B" w14:textId="24D6617D" w:rsidR="008B2850" w:rsidRPr="00685B71" w:rsidRDefault="008B2850" w:rsidP="002F6509">
      <w:pPr>
        <w:tabs>
          <w:tab w:val="left" w:pos="1418"/>
        </w:tabs>
        <w:ind w:left="1134"/>
        <w:rPr>
          <w:sz w:val="18"/>
          <w:szCs w:val="18"/>
        </w:rPr>
      </w:pPr>
      <w:r w:rsidRPr="00685B71">
        <w:rPr>
          <w:rStyle w:val="FootnoteReference"/>
          <w:szCs w:val="18"/>
        </w:rPr>
        <w:footnoteRef/>
      </w:r>
      <w:r w:rsidRPr="00685B71">
        <w:rPr>
          <w:sz w:val="18"/>
          <w:szCs w:val="18"/>
        </w:rPr>
        <w:t xml:space="preserve"> </w:t>
      </w:r>
      <w:r w:rsidR="002F6509">
        <w:rPr>
          <w:sz w:val="18"/>
          <w:szCs w:val="18"/>
        </w:rPr>
        <w:tab/>
      </w:r>
      <w:r w:rsidRPr="00685B71">
        <w:rPr>
          <w:rFonts w:cstheme="minorHAnsi"/>
          <w:sz w:val="18"/>
          <w:szCs w:val="18"/>
        </w:rPr>
        <w:t xml:space="preserve">C. Badeen, S. Goldthorp, R. Turcotte, H. Feng, S.K. Chan, I. Alilovic, Effect of Ingredients on the Minimum Burning Pressure of Ammonium Nitrate Emulsions, Proceedings of the </w:t>
      </w:r>
      <w:r w:rsidRPr="00685B71">
        <w:rPr>
          <w:rFonts w:cstheme="minorHAnsi"/>
          <w:i/>
          <w:sz w:val="18"/>
          <w:szCs w:val="18"/>
          <w:lang w:val="en-CA"/>
        </w:rPr>
        <w:t>40</w:t>
      </w:r>
      <w:r w:rsidRPr="00685B71">
        <w:rPr>
          <w:rFonts w:cstheme="minorHAnsi"/>
          <w:i/>
          <w:sz w:val="18"/>
          <w:szCs w:val="18"/>
          <w:vertAlign w:val="superscript"/>
          <w:lang w:val="en-CA"/>
        </w:rPr>
        <w:t>th</w:t>
      </w:r>
      <w:r w:rsidRPr="00685B71">
        <w:rPr>
          <w:rFonts w:cstheme="minorHAnsi"/>
          <w:i/>
          <w:sz w:val="18"/>
          <w:szCs w:val="18"/>
          <w:lang w:val="en-CA"/>
        </w:rPr>
        <w:t xml:space="preserve"> Annual Conference on Explosives and Blasting Techniques</w:t>
      </w:r>
      <w:r w:rsidRPr="00685B71">
        <w:rPr>
          <w:rFonts w:cstheme="minorHAnsi"/>
          <w:sz w:val="18"/>
          <w:szCs w:val="18"/>
          <w:lang w:val="en-CA"/>
        </w:rPr>
        <w:t>, International Society of Explosives Engineers, Denver, CO, USA, February 2014.</w:t>
      </w:r>
    </w:p>
    <w:p w14:paraId="664B831B" w14:textId="77777777" w:rsidR="008B2850" w:rsidRDefault="008B2850" w:rsidP="008B285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1D6F" w14:textId="3C59B01C" w:rsidR="004F6DF4" w:rsidRPr="00B5392B" w:rsidRDefault="004F6DF4">
    <w:pPr>
      <w:pStyle w:val="Header"/>
      <w:rPr>
        <w:lang w:val="nl-NL"/>
      </w:rPr>
    </w:pPr>
    <w:r w:rsidRPr="00460B22">
      <w:rPr>
        <w:lang w:val="nl-NL"/>
      </w:rPr>
      <w:t>UN/SCE</w:t>
    </w:r>
    <w:r w:rsidR="0060673A">
      <w:rPr>
        <w:lang w:val="nl-NL"/>
      </w:rPr>
      <w:t>TDG</w:t>
    </w:r>
    <w:r w:rsidRPr="00460B22">
      <w:rPr>
        <w:lang w:val="nl-NL"/>
      </w:rPr>
      <w:t>/</w:t>
    </w:r>
    <w:r w:rsidR="00603F7A">
      <w:rPr>
        <w:lang w:val="nl-NL"/>
      </w:rPr>
      <w:t>57/INF.</w:t>
    </w:r>
    <w:r w:rsidR="001B1588">
      <w:rPr>
        <w:lang w:val="nl-NL"/>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F0EB" w14:textId="495DD070" w:rsidR="004F6DF4" w:rsidRPr="000216CC" w:rsidRDefault="00C910D7" w:rsidP="000216CC">
    <w:pPr>
      <w:pStyle w:val="Header"/>
      <w:jc w:val="right"/>
    </w:pPr>
    <w:r w:rsidRPr="00460B22">
      <w:rPr>
        <w:lang w:val="nl-NL"/>
      </w:rPr>
      <w:t>UN/SCE</w:t>
    </w:r>
    <w:r>
      <w:rPr>
        <w:lang w:val="nl-NL"/>
      </w:rPr>
      <w:t>TDG</w:t>
    </w:r>
    <w:r w:rsidRPr="00460B22">
      <w:rPr>
        <w:lang w:val="nl-NL"/>
      </w:rPr>
      <w:t>/</w:t>
    </w:r>
    <w:r w:rsidR="00603F7A">
      <w:rPr>
        <w:lang w:val="nl-NL"/>
      </w:rPr>
      <w:t>57/INF.</w:t>
    </w:r>
    <w:r w:rsidR="002F6509">
      <w:rPr>
        <w:lang w:val="nl-NL"/>
      </w:rPr>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5B3AB" w14:textId="05F8B11C" w:rsidR="002F6509" w:rsidRDefault="002F6509" w:rsidP="002F6509">
    <w:pPr>
      <w:pStyle w:val="Header"/>
      <w:jc w:val="right"/>
    </w:pPr>
    <w:r w:rsidRPr="00460B22">
      <w:rPr>
        <w:lang w:val="nl-NL"/>
      </w:rPr>
      <w:t>UN/SCE</w:t>
    </w:r>
    <w:r>
      <w:rPr>
        <w:lang w:val="nl-NL"/>
      </w:rPr>
      <w:t>TDG</w:t>
    </w:r>
    <w:r w:rsidRPr="00460B22">
      <w:rPr>
        <w:lang w:val="nl-NL"/>
      </w:rPr>
      <w:t>/</w:t>
    </w:r>
    <w:r>
      <w:rPr>
        <w:lang w:val="nl-NL"/>
      </w:rPr>
      <w:t>57/INF.13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1F7740"/>
    <w:multiLevelType w:val="hybridMultilevel"/>
    <w:tmpl w:val="3C98FE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12C6DB7"/>
    <w:multiLevelType w:val="hybridMultilevel"/>
    <w:tmpl w:val="E19CB2AC"/>
    <w:lvl w:ilvl="0" w:tplc="C150A3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CF6F0B"/>
    <w:multiLevelType w:val="hybridMultilevel"/>
    <w:tmpl w:val="80F8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DF839E9"/>
    <w:multiLevelType w:val="hybridMultilevel"/>
    <w:tmpl w:val="9B188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025FE"/>
    <w:multiLevelType w:val="hybridMultilevel"/>
    <w:tmpl w:val="CCCEA6BE"/>
    <w:lvl w:ilvl="0" w:tplc="EC528452">
      <w:start w:val="1"/>
      <w:numFmt w:val="decimal"/>
      <w:lvlText w:val="%1."/>
      <w:lvlJc w:val="left"/>
      <w:pPr>
        <w:ind w:left="2274" w:hanging="564"/>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4D561AED"/>
    <w:multiLevelType w:val="hybridMultilevel"/>
    <w:tmpl w:val="D3BA344A"/>
    <w:lvl w:ilvl="0" w:tplc="B936FD88">
      <w:start w:val="18"/>
      <w:numFmt w:val="decimal"/>
      <w:lvlText w:val="%1."/>
      <w:lvlJc w:val="left"/>
      <w:pPr>
        <w:ind w:left="1440"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8" w15:restartNumberingAfterBreak="0">
    <w:nsid w:val="5C950881"/>
    <w:multiLevelType w:val="hybridMultilevel"/>
    <w:tmpl w:val="7F0C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0424CF"/>
    <w:multiLevelType w:val="hybridMultilevel"/>
    <w:tmpl w:val="B14E9216"/>
    <w:lvl w:ilvl="0" w:tplc="EE5A80DE">
      <w:start w:val="1"/>
      <w:numFmt w:val="decimal"/>
      <w:lvlText w:val="%1."/>
      <w:lvlJc w:val="left"/>
      <w:pPr>
        <w:ind w:left="1530"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3" w15:restartNumberingAfterBreak="0">
    <w:nsid w:val="7F703E58"/>
    <w:multiLevelType w:val="hybridMultilevel"/>
    <w:tmpl w:val="E564E44E"/>
    <w:lvl w:ilvl="0" w:tplc="EC528452">
      <w:start w:val="1"/>
      <w:numFmt w:val="decimal"/>
      <w:lvlText w:val="%1."/>
      <w:lvlJc w:val="left"/>
      <w:pPr>
        <w:ind w:left="3408" w:hanging="564"/>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0"/>
  </w:num>
  <w:num w:numId="14">
    <w:abstractNumId w:val="20"/>
  </w:num>
  <w:num w:numId="15">
    <w:abstractNumId w:val="21"/>
  </w:num>
  <w:num w:numId="16">
    <w:abstractNumId w:val="18"/>
  </w:num>
  <w:num w:numId="17">
    <w:abstractNumId w:val="12"/>
  </w:num>
  <w:num w:numId="18">
    <w:abstractNumId w:val="11"/>
  </w:num>
  <w:num w:numId="19">
    <w:abstractNumId w:val="22"/>
  </w:num>
  <w:num w:numId="20">
    <w:abstractNumId w:val="16"/>
  </w:num>
  <w:num w:numId="21">
    <w:abstractNumId w:val="23"/>
  </w:num>
  <w:num w:numId="22">
    <w:abstractNumId w:val="13"/>
  </w:num>
  <w:num w:numId="23">
    <w:abstractNumId w:val="17"/>
  </w:num>
  <w:num w:numId="2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en-AU" w:vendorID="64" w:dllVersion="6" w:nlCheck="1" w:checkStyle="1"/>
  <w:activeWritingStyle w:appName="MSWord" w:lang="en-A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2387"/>
    <w:rsid w:val="00006FAE"/>
    <w:rsid w:val="00012EB6"/>
    <w:rsid w:val="000133C5"/>
    <w:rsid w:val="00017D24"/>
    <w:rsid w:val="000216CC"/>
    <w:rsid w:val="0002598A"/>
    <w:rsid w:val="0003375D"/>
    <w:rsid w:val="00035DD6"/>
    <w:rsid w:val="00043180"/>
    <w:rsid w:val="00045F2A"/>
    <w:rsid w:val="000504CE"/>
    <w:rsid w:val="00050922"/>
    <w:rsid w:val="00050F6B"/>
    <w:rsid w:val="00053492"/>
    <w:rsid w:val="0005710C"/>
    <w:rsid w:val="000615EE"/>
    <w:rsid w:val="00064402"/>
    <w:rsid w:val="00067E6D"/>
    <w:rsid w:val="00070183"/>
    <w:rsid w:val="00070F84"/>
    <w:rsid w:val="00072C8C"/>
    <w:rsid w:val="00073129"/>
    <w:rsid w:val="00075F99"/>
    <w:rsid w:val="00076A0A"/>
    <w:rsid w:val="00080E19"/>
    <w:rsid w:val="00082CE1"/>
    <w:rsid w:val="00083598"/>
    <w:rsid w:val="00084632"/>
    <w:rsid w:val="00087152"/>
    <w:rsid w:val="00090D57"/>
    <w:rsid w:val="00091046"/>
    <w:rsid w:val="00091419"/>
    <w:rsid w:val="00091CB3"/>
    <w:rsid w:val="000931C0"/>
    <w:rsid w:val="000A14CA"/>
    <w:rsid w:val="000A2236"/>
    <w:rsid w:val="000A34FB"/>
    <w:rsid w:val="000A35F2"/>
    <w:rsid w:val="000A3A48"/>
    <w:rsid w:val="000A4C38"/>
    <w:rsid w:val="000B0004"/>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0831"/>
    <w:rsid w:val="000F1113"/>
    <w:rsid w:val="000F52D6"/>
    <w:rsid w:val="000F5B33"/>
    <w:rsid w:val="000F649E"/>
    <w:rsid w:val="000F6A20"/>
    <w:rsid w:val="0010461A"/>
    <w:rsid w:val="00105589"/>
    <w:rsid w:val="001064CC"/>
    <w:rsid w:val="00106EBD"/>
    <w:rsid w:val="00107703"/>
    <w:rsid w:val="00115303"/>
    <w:rsid w:val="00117787"/>
    <w:rsid w:val="00117D0D"/>
    <w:rsid w:val="00121EB7"/>
    <w:rsid w:val="00126A6E"/>
    <w:rsid w:val="00130BBD"/>
    <w:rsid w:val="00131B10"/>
    <w:rsid w:val="00131D42"/>
    <w:rsid w:val="0013362F"/>
    <w:rsid w:val="00133C50"/>
    <w:rsid w:val="001406F4"/>
    <w:rsid w:val="00140F48"/>
    <w:rsid w:val="0014785B"/>
    <w:rsid w:val="00155B56"/>
    <w:rsid w:val="001620F5"/>
    <w:rsid w:val="001633FB"/>
    <w:rsid w:val="00163A1B"/>
    <w:rsid w:val="0016408F"/>
    <w:rsid w:val="00165735"/>
    <w:rsid w:val="00167786"/>
    <w:rsid w:val="00174FCB"/>
    <w:rsid w:val="00176942"/>
    <w:rsid w:val="00180633"/>
    <w:rsid w:val="00181019"/>
    <w:rsid w:val="0018168F"/>
    <w:rsid w:val="001835BF"/>
    <w:rsid w:val="00184B86"/>
    <w:rsid w:val="00195229"/>
    <w:rsid w:val="001A02A4"/>
    <w:rsid w:val="001A7113"/>
    <w:rsid w:val="001B1588"/>
    <w:rsid w:val="001B35EE"/>
    <w:rsid w:val="001B4B04"/>
    <w:rsid w:val="001B6B72"/>
    <w:rsid w:val="001B6E30"/>
    <w:rsid w:val="001C0C63"/>
    <w:rsid w:val="001C429D"/>
    <w:rsid w:val="001C6663"/>
    <w:rsid w:val="001C7895"/>
    <w:rsid w:val="001D26DF"/>
    <w:rsid w:val="001D2B6E"/>
    <w:rsid w:val="001D2FDC"/>
    <w:rsid w:val="001D3123"/>
    <w:rsid w:val="001D3A88"/>
    <w:rsid w:val="001D49F7"/>
    <w:rsid w:val="001D4B2D"/>
    <w:rsid w:val="001D4E70"/>
    <w:rsid w:val="001E127F"/>
    <w:rsid w:val="001E2B35"/>
    <w:rsid w:val="001E797C"/>
    <w:rsid w:val="002062DE"/>
    <w:rsid w:val="00211B12"/>
    <w:rsid w:val="00211E0B"/>
    <w:rsid w:val="00212012"/>
    <w:rsid w:val="0021481D"/>
    <w:rsid w:val="00221589"/>
    <w:rsid w:val="00221AC2"/>
    <w:rsid w:val="00224CD9"/>
    <w:rsid w:val="002309A7"/>
    <w:rsid w:val="00233E8A"/>
    <w:rsid w:val="00235381"/>
    <w:rsid w:val="002364D2"/>
    <w:rsid w:val="00237785"/>
    <w:rsid w:val="00240A7E"/>
    <w:rsid w:val="00241178"/>
    <w:rsid w:val="00241466"/>
    <w:rsid w:val="002440E7"/>
    <w:rsid w:val="0024484B"/>
    <w:rsid w:val="00247570"/>
    <w:rsid w:val="002510FD"/>
    <w:rsid w:val="00257C1E"/>
    <w:rsid w:val="00261B71"/>
    <w:rsid w:val="002621F5"/>
    <w:rsid w:val="002622A9"/>
    <w:rsid w:val="00263C7E"/>
    <w:rsid w:val="002708B5"/>
    <w:rsid w:val="0027126F"/>
    <w:rsid w:val="002725CA"/>
    <w:rsid w:val="00273A92"/>
    <w:rsid w:val="00277896"/>
    <w:rsid w:val="00280EB7"/>
    <w:rsid w:val="002913FD"/>
    <w:rsid w:val="002951EE"/>
    <w:rsid w:val="00295C28"/>
    <w:rsid w:val="002976CF"/>
    <w:rsid w:val="002A0304"/>
    <w:rsid w:val="002A0BD2"/>
    <w:rsid w:val="002A5302"/>
    <w:rsid w:val="002A5B17"/>
    <w:rsid w:val="002B067A"/>
    <w:rsid w:val="002B1514"/>
    <w:rsid w:val="002B1CDA"/>
    <w:rsid w:val="002B4F5D"/>
    <w:rsid w:val="002C7DA4"/>
    <w:rsid w:val="002C7F25"/>
    <w:rsid w:val="002D51AC"/>
    <w:rsid w:val="002D5A85"/>
    <w:rsid w:val="002D5C7D"/>
    <w:rsid w:val="002D6DEB"/>
    <w:rsid w:val="002E35BB"/>
    <w:rsid w:val="002F6509"/>
    <w:rsid w:val="002F68FD"/>
    <w:rsid w:val="003107FA"/>
    <w:rsid w:val="00313AC2"/>
    <w:rsid w:val="00315D73"/>
    <w:rsid w:val="00316FF9"/>
    <w:rsid w:val="003171F3"/>
    <w:rsid w:val="00321716"/>
    <w:rsid w:val="003229D8"/>
    <w:rsid w:val="003244D9"/>
    <w:rsid w:val="00327D0A"/>
    <w:rsid w:val="003419A6"/>
    <w:rsid w:val="00342844"/>
    <w:rsid w:val="003517C3"/>
    <w:rsid w:val="00355502"/>
    <w:rsid w:val="00356BC7"/>
    <w:rsid w:val="00357A20"/>
    <w:rsid w:val="003728C1"/>
    <w:rsid w:val="00372F06"/>
    <w:rsid w:val="00391647"/>
    <w:rsid w:val="0039260F"/>
    <w:rsid w:val="0039277A"/>
    <w:rsid w:val="00393B99"/>
    <w:rsid w:val="00396F6A"/>
    <w:rsid w:val="003972E0"/>
    <w:rsid w:val="003A1EC2"/>
    <w:rsid w:val="003A52D7"/>
    <w:rsid w:val="003A5A16"/>
    <w:rsid w:val="003B19D3"/>
    <w:rsid w:val="003B3B4B"/>
    <w:rsid w:val="003C0657"/>
    <w:rsid w:val="003C18C9"/>
    <w:rsid w:val="003C2CC4"/>
    <w:rsid w:val="003C655D"/>
    <w:rsid w:val="003C69AA"/>
    <w:rsid w:val="003D4B23"/>
    <w:rsid w:val="003E7C2B"/>
    <w:rsid w:val="003F0A91"/>
    <w:rsid w:val="003F23A4"/>
    <w:rsid w:val="003F4282"/>
    <w:rsid w:val="003F54D8"/>
    <w:rsid w:val="003F5B52"/>
    <w:rsid w:val="00400408"/>
    <w:rsid w:val="00403EC6"/>
    <w:rsid w:val="00406CD4"/>
    <w:rsid w:val="00412C1F"/>
    <w:rsid w:val="00422A81"/>
    <w:rsid w:val="004254D0"/>
    <w:rsid w:val="00430086"/>
    <w:rsid w:val="00430918"/>
    <w:rsid w:val="004317D1"/>
    <w:rsid w:val="004325CB"/>
    <w:rsid w:val="00434D5F"/>
    <w:rsid w:val="00436A28"/>
    <w:rsid w:val="00437F3F"/>
    <w:rsid w:val="00441AD2"/>
    <w:rsid w:val="004458F8"/>
    <w:rsid w:val="00445B5D"/>
    <w:rsid w:val="00446DE4"/>
    <w:rsid w:val="004526E8"/>
    <w:rsid w:val="00452D10"/>
    <w:rsid w:val="00454036"/>
    <w:rsid w:val="004562AA"/>
    <w:rsid w:val="00460B22"/>
    <w:rsid w:val="0046443A"/>
    <w:rsid w:val="004653B3"/>
    <w:rsid w:val="004654C4"/>
    <w:rsid w:val="0046668F"/>
    <w:rsid w:val="0046773D"/>
    <w:rsid w:val="0046788D"/>
    <w:rsid w:val="00472CE7"/>
    <w:rsid w:val="004767B8"/>
    <w:rsid w:val="0048304D"/>
    <w:rsid w:val="00484A9B"/>
    <w:rsid w:val="0049211A"/>
    <w:rsid w:val="00492AF9"/>
    <w:rsid w:val="00493065"/>
    <w:rsid w:val="00494C77"/>
    <w:rsid w:val="00497291"/>
    <w:rsid w:val="00497711"/>
    <w:rsid w:val="004A5B41"/>
    <w:rsid w:val="004B25F8"/>
    <w:rsid w:val="004B2C9D"/>
    <w:rsid w:val="004B5939"/>
    <w:rsid w:val="004B73D6"/>
    <w:rsid w:val="004C084B"/>
    <w:rsid w:val="004C2164"/>
    <w:rsid w:val="004C39D0"/>
    <w:rsid w:val="004C416E"/>
    <w:rsid w:val="004C4F1A"/>
    <w:rsid w:val="004C6D6D"/>
    <w:rsid w:val="004D5330"/>
    <w:rsid w:val="004E0C5D"/>
    <w:rsid w:val="004E7CF7"/>
    <w:rsid w:val="004F4240"/>
    <w:rsid w:val="004F6DF4"/>
    <w:rsid w:val="004F77CD"/>
    <w:rsid w:val="00506B99"/>
    <w:rsid w:val="00506BC2"/>
    <w:rsid w:val="00507CF1"/>
    <w:rsid w:val="00513061"/>
    <w:rsid w:val="005133EB"/>
    <w:rsid w:val="00515148"/>
    <w:rsid w:val="00522177"/>
    <w:rsid w:val="00526AFD"/>
    <w:rsid w:val="00527910"/>
    <w:rsid w:val="005420F2"/>
    <w:rsid w:val="00542505"/>
    <w:rsid w:val="005456AF"/>
    <w:rsid w:val="00546A07"/>
    <w:rsid w:val="005475D4"/>
    <w:rsid w:val="00555CDB"/>
    <w:rsid w:val="00561B6D"/>
    <w:rsid w:val="00562D45"/>
    <w:rsid w:val="0056615B"/>
    <w:rsid w:val="00567DFB"/>
    <w:rsid w:val="00571DAA"/>
    <w:rsid w:val="0058129D"/>
    <w:rsid w:val="00590144"/>
    <w:rsid w:val="0059131E"/>
    <w:rsid w:val="0059682C"/>
    <w:rsid w:val="005A3F48"/>
    <w:rsid w:val="005A64DD"/>
    <w:rsid w:val="005B09F0"/>
    <w:rsid w:val="005B0CED"/>
    <w:rsid w:val="005B3DB3"/>
    <w:rsid w:val="005B528A"/>
    <w:rsid w:val="005B6088"/>
    <w:rsid w:val="005C3490"/>
    <w:rsid w:val="005C4CB5"/>
    <w:rsid w:val="005C6469"/>
    <w:rsid w:val="005D0C6C"/>
    <w:rsid w:val="005D1BB4"/>
    <w:rsid w:val="005D7DE6"/>
    <w:rsid w:val="005E010D"/>
    <w:rsid w:val="005E3563"/>
    <w:rsid w:val="005E3AAD"/>
    <w:rsid w:val="005E4825"/>
    <w:rsid w:val="005E5946"/>
    <w:rsid w:val="005F3A39"/>
    <w:rsid w:val="005F5C2F"/>
    <w:rsid w:val="005F7BB1"/>
    <w:rsid w:val="00602490"/>
    <w:rsid w:val="00603E3C"/>
    <w:rsid w:val="00603F7A"/>
    <w:rsid w:val="0060673A"/>
    <w:rsid w:val="00611FC4"/>
    <w:rsid w:val="00612812"/>
    <w:rsid w:val="00613EA5"/>
    <w:rsid w:val="006176FB"/>
    <w:rsid w:val="006216A1"/>
    <w:rsid w:val="006227A8"/>
    <w:rsid w:val="00626B06"/>
    <w:rsid w:val="006279AC"/>
    <w:rsid w:val="0063419C"/>
    <w:rsid w:val="00634779"/>
    <w:rsid w:val="0063502B"/>
    <w:rsid w:val="00635381"/>
    <w:rsid w:val="00636986"/>
    <w:rsid w:val="00637542"/>
    <w:rsid w:val="00640B26"/>
    <w:rsid w:val="00641194"/>
    <w:rsid w:val="00645A0B"/>
    <w:rsid w:val="0064717E"/>
    <w:rsid w:val="006500BA"/>
    <w:rsid w:val="006506DB"/>
    <w:rsid w:val="00652903"/>
    <w:rsid w:val="00662121"/>
    <w:rsid w:val="00662E09"/>
    <w:rsid w:val="00663E7D"/>
    <w:rsid w:val="00665A80"/>
    <w:rsid w:val="00670CF0"/>
    <w:rsid w:val="00675F87"/>
    <w:rsid w:val="00682817"/>
    <w:rsid w:val="00685B71"/>
    <w:rsid w:val="00687337"/>
    <w:rsid w:val="00690CD6"/>
    <w:rsid w:val="00692FC8"/>
    <w:rsid w:val="006A3932"/>
    <w:rsid w:val="006A53DC"/>
    <w:rsid w:val="006A63E3"/>
    <w:rsid w:val="006A7392"/>
    <w:rsid w:val="006B1148"/>
    <w:rsid w:val="006B1C55"/>
    <w:rsid w:val="006C0D34"/>
    <w:rsid w:val="006C251B"/>
    <w:rsid w:val="006C2F7E"/>
    <w:rsid w:val="006D2206"/>
    <w:rsid w:val="006D3560"/>
    <w:rsid w:val="006E3B65"/>
    <w:rsid w:val="006E564B"/>
    <w:rsid w:val="007025C0"/>
    <w:rsid w:val="00703D98"/>
    <w:rsid w:val="00707F04"/>
    <w:rsid w:val="007110F1"/>
    <w:rsid w:val="00711637"/>
    <w:rsid w:val="00714F4F"/>
    <w:rsid w:val="0072632A"/>
    <w:rsid w:val="007326E0"/>
    <w:rsid w:val="00734F20"/>
    <w:rsid w:val="00736E6A"/>
    <w:rsid w:val="00741F59"/>
    <w:rsid w:val="0074697D"/>
    <w:rsid w:val="0075360E"/>
    <w:rsid w:val="00755EBE"/>
    <w:rsid w:val="00761619"/>
    <w:rsid w:val="0076177C"/>
    <w:rsid w:val="00763C33"/>
    <w:rsid w:val="00766322"/>
    <w:rsid w:val="007703E2"/>
    <w:rsid w:val="00770BCD"/>
    <w:rsid w:val="00771904"/>
    <w:rsid w:val="00773353"/>
    <w:rsid w:val="00773705"/>
    <w:rsid w:val="00774129"/>
    <w:rsid w:val="00774E8F"/>
    <w:rsid w:val="00774EAA"/>
    <w:rsid w:val="0078123B"/>
    <w:rsid w:val="0078174E"/>
    <w:rsid w:val="00781B57"/>
    <w:rsid w:val="00785B3C"/>
    <w:rsid w:val="00786434"/>
    <w:rsid w:val="00790791"/>
    <w:rsid w:val="00793510"/>
    <w:rsid w:val="00796F36"/>
    <w:rsid w:val="007A2CDB"/>
    <w:rsid w:val="007A2EF9"/>
    <w:rsid w:val="007A334C"/>
    <w:rsid w:val="007A52E1"/>
    <w:rsid w:val="007A62EC"/>
    <w:rsid w:val="007B1A7E"/>
    <w:rsid w:val="007B2BA8"/>
    <w:rsid w:val="007B6BA5"/>
    <w:rsid w:val="007C2C0D"/>
    <w:rsid w:val="007C3162"/>
    <w:rsid w:val="007C3390"/>
    <w:rsid w:val="007C4F4B"/>
    <w:rsid w:val="007C644D"/>
    <w:rsid w:val="007D2AC1"/>
    <w:rsid w:val="007D384C"/>
    <w:rsid w:val="007D740B"/>
    <w:rsid w:val="007D7BC6"/>
    <w:rsid w:val="007E4BD3"/>
    <w:rsid w:val="007E5D7C"/>
    <w:rsid w:val="007F2A54"/>
    <w:rsid w:val="007F5104"/>
    <w:rsid w:val="007F56B7"/>
    <w:rsid w:val="007F62C8"/>
    <w:rsid w:val="007F6611"/>
    <w:rsid w:val="00800024"/>
    <w:rsid w:val="008037A2"/>
    <w:rsid w:val="00810B9C"/>
    <w:rsid w:val="00811263"/>
    <w:rsid w:val="00812BEB"/>
    <w:rsid w:val="00815BBF"/>
    <w:rsid w:val="00816582"/>
    <w:rsid w:val="008175E9"/>
    <w:rsid w:val="00817BFE"/>
    <w:rsid w:val="00820A2D"/>
    <w:rsid w:val="00821C01"/>
    <w:rsid w:val="008242D7"/>
    <w:rsid w:val="00826C09"/>
    <w:rsid w:val="0083043E"/>
    <w:rsid w:val="0083069A"/>
    <w:rsid w:val="00832A1D"/>
    <w:rsid w:val="00832B64"/>
    <w:rsid w:val="00834479"/>
    <w:rsid w:val="00837341"/>
    <w:rsid w:val="00843AB2"/>
    <w:rsid w:val="00846809"/>
    <w:rsid w:val="00853D48"/>
    <w:rsid w:val="00857789"/>
    <w:rsid w:val="0086107D"/>
    <w:rsid w:val="00864251"/>
    <w:rsid w:val="00864EF8"/>
    <w:rsid w:val="00871FD5"/>
    <w:rsid w:val="00881213"/>
    <w:rsid w:val="008830CC"/>
    <w:rsid w:val="008979B1"/>
    <w:rsid w:val="008A0B75"/>
    <w:rsid w:val="008A0BA5"/>
    <w:rsid w:val="008A1542"/>
    <w:rsid w:val="008A34A1"/>
    <w:rsid w:val="008A6B25"/>
    <w:rsid w:val="008A6C4F"/>
    <w:rsid w:val="008A7679"/>
    <w:rsid w:val="008A7AB3"/>
    <w:rsid w:val="008A7E0F"/>
    <w:rsid w:val="008B1897"/>
    <w:rsid w:val="008B2850"/>
    <w:rsid w:val="008B602D"/>
    <w:rsid w:val="008B65FB"/>
    <w:rsid w:val="008C2CBB"/>
    <w:rsid w:val="008C3B3C"/>
    <w:rsid w:val="008C4283"/>
    <w:rsid w:val="008C74C3"/>
    <w:rsid w:val="008C7BF7"/>
    <w:rsid w:val="008D134F"/>
    <w:rsid w:val="008D3C75"/>
    <w:rsid w:val="008D6942"/>
    <w:rsid w:val="008E0E46"/>
    <w:rsid w:val="008E1DAE"/>
    <w:rsid w:val="008E295A"/>
    <w:rsid w:val="008F2D9A"/>
    <w:rsid w:val="008F44B8"/>
    <w:rsid w:val="008F504A"/>
    <w:rsid w:val="008F6076"/>
    <w:rsid w:val="0090092A"/>
    <w:rsid w:val="009045EE"/>
    <w:rsid w:val="00904EBC"/>
    <w:rsid w:val="00906C3D"/>
    <w:rsid w:val="00923019"/>
    <w:rsid w:val="00924B63"/>
    <w:rsid w:val="00931E13"/>
    <w:rsid w:val="009363B6"/>
    <w:rsid w:val="00940C70"/>
    <w:rsid w:val="00940F46"/>
    <w:rsid w:val="00941ECC"/>
    <w:rsid w:val="00945A5D"/>
    <w:rsid w:val="00946A0D"/>
    <w:rsid w:val="009479FA"/>
    <w:rsid w:val="009545C5"/>
    <w:rsid w:val="00955109"/>
    <w:rsid w:val="00956AD7"/>
    <w:rsid w:val="00963B67"/>
    <w:rsid w:val="00963CBA"/>
    <w:rsid w:val="00964682"/>
    <w:rsid w:val="009701ED"/>
    <w:rsid w:val="00972A01"/>
    <w:rsid w:val="00984471"/>
    <w:rsid w:val="00985F37"/>
    <w:rsid w:val="009879EA"/>
    <w:rsid w:val="00987B2E"/>
    <w:rsid w:val="009908A5"/>
    <w:rsid w:val="0099124E"/>
    <w:rsid w:val="00991261"/>
    <w:rsid w:val="00991CC2"/>
    <w:rsid w:val="009953D5"/>
    <w:rsid w:val="009A1D29"/>
    <w:rsid w:val="009C1B8A"/>
    <w:rsid w:val="009C6394"/>
    <w:rsid w:val="009D0E2A"/>
    <w:rsid w:val="009D0F0E"/>
    <w:rsid w:val="009D1AAE"/>
    <w:rsid w:val="009D634E"/>
    <w:rsid w:val="009E1560"/>
    <w:rsid w:val="009F0F06"/>
    <w:rsid w:val="009F1220"/>
    <w:rsid w:val="009F20B7"/>
    <w:rsid w:val="009F4FC5"/>
    <w:rsid w:val="00A0152E"/>
    <w:rsid w:val="00A12B58"/>
    <w:rsid w:val="00A1427D"/>
    <w:rsid w:val="00A15B43"/>
    <w:rsid w:val="00A235F1"/>
    <w:rsid w:val="00A23F62"/>
    <w:rsid w:val="00A34B00"/>
    <w:rsid w:val="00A3777A"/>
    <w:rsid w:val="00A4728C"/>
    <w:rsid w:val="00A476B1"/>
    <w:rsid w:val="00A50077"/>
    <w:rsid w:val="00A54CA8"/>
    <w:rsid w:val="00A60196"/>
    <w:rsid w:val="00A6199C"/>
    <w:rsid w:val="00A622AF"/>
    <w:rsid w:val="00A65D66"/>
    <w:rsid w:val="00A65F4A"/>
    <w:rsid w:val="00A66636"/>
    <w:rsid w:val="00A72ABB"/>
    <w:rsid w:val="00A72F22"/>
    <w:rsid w:val="00A744D7"/>
    <w:rsid w:val="00A748A6"/>
    <w:rsid w:val="00A74A46"/>
    <w:rsid w:val="00A75EC9"/>
    <w:rsid w:val="00A810D4"/>
    <w:rsid w:val="00A83451"/>
    <w:rsid w:val="00A83538"/>
    <w:rsid w:val="00A83BFF"/>
    <w:rsid w:val="00A8523D"/>
    <w:rsid w:val="00A864F0"/>
    <w:rsid w:val="00A879A4"/>
    <w:rsid w:val="00AA1D9A"/>
    <w:rsid w:val="00AA32EB"/>
    <w:rsid w:val="00AA4B34"/>
    <w:rsid w:val="00AB1DA6"/>
    <w:rsid w:val="00AB382F"/>
    <w:rsid w:val="00AB4CF1"/>
    <w:rsid w:val="00AD1151"/>
    <w:rsid w:val="00AD34EE"/>
    <w:rsid w:val="00AD41A0"/>
    <w:rsid w:val="00AD6FD6"/>
    <w:rsid w:val="00AD7C88"/>
    <w:rsid w:val="00AE45DE"/>
    <w:rsid w:val="00AF0878"/>
    <w:rsid w:val="00AF2309"/>
    <w:rsid w:val="00AF2F9D"/>
    <w:rsid w:val="00AF6710"/>
    <w:rsid w:val="00B013E6"/>
    <w:rsid w:val="00B04D66"/>
    <w:rsid w:val="00B10C19"/>
    <w:rsid w:val="00B1157C"/>
    <w:rsid w:val="00B1501F"/>
    <w:rsid w:val="00B22971"/>
    <w:rsid w:val="00B24ED3"/>
    <w:rsid w:val="00B26710"/>
    <w:rsid w:val="00B26B3C"/>
    <w:rsid w:val="00B30179"/>
    <w:rsid w:val="00B304E1"/>
    <w:rsid w:val="00B30945"/>
    <w:rsid w:val="00B3317B"/>
    <w:rsid w:val="00B41384"/>
    <w:rsid w:val="00B4398E"/>
    <w:rsid w:val="00B5392B"/>
    <w:rsid w:val="00B565CE"/>
    <w:rsid w:val="00B666B2"/>
    <w:rsid w:val="00B71E2B"/>
    <w:rsid w:val="00B73DA8"/>
    <w:rsid w:val="00B74F78"/>
    <w:rsid w:val="00B74F7C"/>
    <w:rsid w:val="00B75E05"/>
    <w:rsid w:val="00B81E12"/>
    <w:rsid w:val="00B84AAC"/>
    <w:rsid w:val="00B90F54"/>
    <w:rsid w:val="00B91CC3"/>
    <w:rsid w:val="00B92A0C"/>
    <w:rsid w:val="00B93068"/>
    <w:rsid w:val="00B93696"/>
    <w:rsid w:val="00BB176D"/>
    <w:rsid w:val="00BB3B28"/>
    <w:rsid w:val="00BC0164"/>
    <w:rsid w:val="00BC74E9"/>
    <w:rsid w:val="00BD2077"/>
    <w:rsid w:val="00BE1FF8"/>
    <w:rsid w:val="00BE382C"/>
    <w:rsid w:val="00BE50CA"/>
    <w:rsid w:val="00BE618E"/>
    <w:rsid w:val="00BF6DA7"/>
    <w:rsid w:val="00C0263F"/>
    <w:rsid w:val="00C03B44"/>
    <w:rsid w:val="00C05987"/>
    <w:rsid w:val="00C13A85"/>
    <w:rsid w:val="00C17563"/>
    <w:rsid w:val="00C20DBF"/>
    <w:rsid w:val="00C217A4"/>
    <w:rsid w:val="00C218A4"/>
    <w:rsid w:val="00C31519"/>
    <w:rsid w:val="00C36D37"/>
    <w:rsid w:val="00C44666"/>
    <w:rsid w:val="00C463DD"/>
    <w:rsid w:val="00C46D5B"/>
    <w:rsid w:val="00C475C8"/>
    <w:rsid w:val="00C47B28"/>
    <w:rsid w:val="00C537D5"/>
    <w:rsid w:val="00C564D4"/>
    <w:rsid w:val="00C62F76"/>
    <w:rsid w:val="00C65D06"/>
    <w:rsid w:val="00C66D78"/>
    <w:rsid w:val="00C737DA"/>
    <w:rsid w:val="00C745C3"/>
    <w:rsid w:val="00C81212"/>
    <w:rsid w:val="00C84FF1"/>
    <w:rsid w:val="00C910D7"/>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D6EAA"/>
    <w:rsid w:val="00CE4083"/>
    <w:rsid w:val="00CE46BA"/>
    <w:rsid w:val="00CE4A8F"/>
    <w:rsid w:val="00CE74ED"/>
    <w:rsid w:val="00CF4FE1"/>
    <w:rsid w:val="00CF6F32"/>
    <w:rsid w:val="00CF778D"/>
    <w:rsid w:val="00D0631B"/>
    <w:rsid w:val="00D06C3A"/>
    <w:rsid w:val="00D1254F"/>
    <w:rsid w:val="00D164BA"/>
    <w:rsid w:val="00D2031B"/>
    <w:rsid w:val="00D25E8C"/>
    <w:rsid w:val="00D25FE2"/>
    <w:rsid w:val="00D27E89"/>
    <w:rsid w:val="00D37E80"/>
    <w:rsid w:val="00D412B6"/>
    <w:rsid w:val="00D43252"/>
    <w:rsid w:val="00D45913"/>
    <w:rsid w:val="00D46231"/>
    <w:rsid w:val="00D477C4"/>
    <w:rsid w:val="00D50DF8"/>
    <w:rsid w:val="00D5409C"/>
    <w:rsid w:val="00D54130"/>
    <w:rsid w:val="00D546AF"/>
    <w:rsid w:val="00D55586"/>
    <w:rsid w:val="00D57C13"/>
    <w:rsid w:val="00D57FD9"/>
    <w:rsid w:val="00D610C1"/>
    <w:rsid w:val="00D658FA"/>
    <w:rsid w:val="00D730E3"/>
    <w:rsid w:val="00D73803"/>
    <w:rsid w:val="00D753D8"/>
    <w:rsid w:val="00D9274F"/>
    <w:rsid w:val="00D96248"/>
    <w:rsid w:val="00D96CC5"/>
    <w:rsid w:val="00D973B1"/>
    <w:rsid w:val="00D978C6"/>
    <w:rsid w:val="00D97B77"/>
    <w:rsid w:val="00DA1C89"/>
    <w:rsid w:val="00DA38CA"/>
    <w:rsid w:val="00DA562A"/>
    <w:rsid w:val="00DA6620"/>
    <w:rsid w:val="00DA67AD"/>
    <w:rsid w:val="00DD185E"/>
    <w:rsid w:val="00DD42A0"/>
    <w:rsid w:val="00DE236F"/>
    <w:rsid w:val="00DE3666"/>
    <w:rsid w:val="00DE3ECB"/>
    <w:rsid w:val="00DE4785"/>
    <w:rsid w:val="00DE7267"/>
    <w:rsid w:val="00DF0A4D"/>
    <w:rsid w:val="00DF3039"/>
    <w:rsid w:val="00DF3A04"/>
    <w:rsid w:val="00DF4518"/>
    <w:rsid w:val="00DF46EB"/>
    <w:rsid w:val="00DF6682"/>
    <w:rsid w:val="00DF69A6"/>
    <w:rsid w:val="00E01739"/>
    <w:rsid w:val="00E130AB"/>
    <w:rsid w:val="00E1679E"/>
    <w:rsid w:val="00E239A0"/>
    <w:rsid w:val="00E3141C"/>
    <w:rsid w:val="00E34E58"/>
    <w:rsid w:val="00E36838"/>
    <w:rsid w:val="00E36C10"/>
    <w:rsid w:val="00E40B76"/>
    <w:rsid w:val="00E40D7C"/>
    <w:rsid w:val="00E42461"/>
    <w:rsid w:val="00E4443D"/>
    <w:rsid w:val="00E45839"/>
    <w:rsid w:val="00E52EB0"/>
    <w:rsid w:val="00E54352"/>
    <w:rsid w:val="00E5644E"/>
    <w:rsid w:val="00E5691C"/>
    <w:rsid w:val="00E56B35"/>
    <w:rsid w:val="00E60903"/>
    <w:rsid w:val="00E61538"/>
    <w:rsid w:val="00E61D8A"/>
    <w:rsid w:val="00E631BA"/>
    <w:rsid w:val="00E63481"/>
    <w:rsid w:val="00E63DE8"/>
    <w:rsid w:val="00E64733"/>
    <w:rsid w:val="00E655D5"/>
    <w:rsid w:val="00E6613A"/>
    <w:rsid w:val="00E7260F"/>
    <w:rsid w:val="00E730D8"/>
    <w:rsid w:val="00E81230"/>
    <w:rsid w:val="00E8535A"/>
    <w:rsid w:val="00E864BE"/>
    <w:rsid w:val="00E90647"/>
    <w:rsid w:val="00E96630"/>
    <w:rsid w:val="00EA0364"/>
    <w:rsid w:val="00EA083A"/>
    <w:rsid w:val="00EA3551"/>
    <w:rsid w:val="00EA48C4"/>
    <w:rsid w:val="00EA772F"/>
    <w:rsid w:val="00EB2AE3"/>
    <w:rsid w:val="00EB4196"/>
    <w:rsid w:val="00EB4C06"/>
    <w:rsid w:val="00EB51D5"/>
    <w:rsid w:val="00EB5787"/>
    <w:rsid w:val="00EB65EF"/>
    <w:rsid w:val="00EB6832"/>
    <w:rsid w:val="00EB71BA"/>
    <w:rsid w:val="00EB798F"/>
    <w:rsid w:val="00EC14E9"/>
    <w:rsid w:val="00EC1F27"/>
    <w:rsid w:val="00EC271A"/>
    <w:rsid w:val="00EC6BFD"/>
    <w:rsid w:val="00EC755A"/>
    <w:rsid w:val="00ED225F"/>
    <w:rsid w:val="00ED3508"/>
    <w:rsid w:val="00ED3F6F"/>
    <w:rsid w:val="00ED769C"/>
    <w:rsid w:val="00ED7A2A"/>
    <w:rsid w:val="00EE369A"/>
    <w:rsid w:val="00EE4D59"/>
    <w:rsid w:val="00EE6714"/>
    <w:rsid w:val="00EE73C3"/>
    <w:rsid w:val="00EF1D7F"/>
    <w:rsid w:val="00EF4AAC"/>
    <w:rsid w:val="00F01C57"/>
    <w:rsid w:val="00F030CA"/>
    <w:rsid w:val="00F03FA2"/>
    <w:rsid w:val="00F05283"/>
    <w:rsid w:val="00F07537"/>
    <w:rsid w:val="00F07E12"/>
    <w:rsid w:val="00F1200D"/>
    <w:rsid w:val="00F21A22"/>
    <w:rsid w:val="00F257D1"/>
    <w:rsid w:val="00F30A8A"/>
    <w:rsid w:val="00F327EC"/>
    <w:rsid w:val="00F34267"/>
    <w:rsid w:val="00F3574D"/>
    <w:rsid w:val="00F37C4F"/>
    <w:rsid w:val="00F40295"/>
    <w:rsid w:val="00F40E75"/>
    <w:rsid w:val="00F412D3"/>
    <w:rsid w:val="00F444E3"/>
    <w:rsid w:val="00F5087E"/>
    <w:rsid w:val="00F51BAB"/>
    <w:rsid w:val="00F535BE"/>
    <w:rsid w:val="00F54674"/>
    <w:rsid w:val="00F64C95"/>
    <w:rsid w:val="00F658D4"/>
    <w:rsid w:val="00F75E96"/>
    <w:rsid w:val="00FA00A0"/>
    <w:rsid w:val="00FA032F"/>
    <w:rsid w:val="00FA3FB7"/>
    <w:rsid w:val="00FB376C"/>
    <w:rsid w:val="00FB5A37"/>
    <w:rsid w:val="00FB7793"/>
    <w:rsid w:val="00FC18AA"/>
    <w:rsid w:val="00FC1CB5"/>
    <w:rsid w:val="00FC215C"/>
    <w:rsid w:val="00FC68B7"/>
    <w:rsid w:val="00FD03C1"/>
    <w:rsid w:val="00FD3C5D"/>
    <w:rsid w:val="00FD3E70"/>
    <w:rsid w:val="00FD6B2B"/>
    <w:rsid w:val="00FE1080"/>
    <w:rsid w:val="00FE3EEA"/>
    <w:rsid w:val="00FE717E"/>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1E3B3"/>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paragraph" w:customStyle="1" w:styleId="MBodyTxt">
    <w:name w:val="MBodyTxt"/>
    <w:basedOn w:val="Normal"/>
    <w:link w:val="MBodyTxtChar"/>
    <w:qFormat/>
    <w:rsid w:val="00107703"/>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 w:type="paragraph" w:customStyle="1" w:styleId="M4Head">
    <w:name w:val="M4Head"/>
    <w:basedOn w:val="Normal"/>
    <w:qFormat/>
    <w:rsid w:val="00107703"/>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character" w:customStyle="1" w:styleId="MBodyTxtChar">
    <w:name w:val="MBodyTxt Char"/>
    <w:basedOn w:val="DefaultParagraphFont"/>
    <w:link w:val="MBodyTxt"/>
    <w:rsid w:val="00107703"/>
    <w:rPr>
      <w:sz w:val="22"/>
      <w:szCs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005681">
      <w:bodyDiv w:val="1"/>
      <w:marLeft w:val="0"/>
      <w:marRight w:val="0"/>
      <w:marTop w:val="0"/>
      <w:marBottom w:val="0"/>
      <w:divBdr>
        <w:top w:val="none" w:sz="0" w:space="0" w:color="auto"/>
        <w:left w:val="none" w:sz="0" w:space="0" w:color="auto"/>
        <w:bottom w:val="none" w:sz="0" w:space="0" w:color="auto"/>
        <w:right w:val="none" w:sz="0" w:space="0" w:color="auto"/>
      </w:divBdr>
    </w:div>
    <w:div w:id="1338656434">
      <w:bodyDiv w:val="1"/>
      <w:marLeft w:val="0"/>
      <w:marRight w:val="0"/>
      <w:marTop w:val="0"/>
      <w:marBottom w:val="0"/>
      <w:divBdr>
        <w:top w:val="none" w:sz="0" w:space="0" w:color="auto"/>
        <w:left w:val="none" w:sz="0" w:space="0" w:color="auto"/>
        <w:bottom w:val="none" w:sz="0" w:space="0" w:color="auto"/>
        <w:right w:val="none" w:sz="0" w:space="0" w:color="auto"/>
      </w:divBdr>
    </w:div>
    <w:div w:id="146639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B8698-39F0-40E4-8D6C-EFE867DF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17</TotalTime>
  <Pages>7</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57th TDG IME INF on 8(d) Test</vt:lpstr>
    </vt:vector>
  </TitlesOfParts>
  <Company>CSD</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57th TDG IME INF on 8(d) Test</dc:title>
  <dc:creator>N Hsu (IME)</dc:creator>
  <cp:lastModifiedBy>Laurence Berthet</cp:lastModifiedBy>
  <cp:revision>3</cp:revision>
  <cp:lastPrinted>2019-06-14T07:57:00Z</cp:lastPrinted>
  <dcterms:created xsi:type="dcterms:W3CDTF">2020-06-24T11:37:00Z</dcterms:created>
  <dcterms:modified xsi:type="dcterms:W3CDTF">2020-06-24T11:53:00Z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f193ca4-2408-4f7f-b426-2979869cfaa8_Enabled">
    <vt:lpwstr>True</vt:lpwstr>
  </property>
  <property fmtid="{D5CDD505-2E9C-101B-9397-08002B2CF9AE}" pid="4" name="MSIP_Label_1f193ca4-2408-4f7f-b426-2979869cfaa8_SiteId">
    <vt:lpwstr>a21a716e-fb9a-45c0-b997-e26360b0a3a1</vt:lpwstr>
  </property>
  <property fmtid="{D5CDD505-2E9C-101B-9397-08002B2CF9AE}" pid="5" name="MSIP_Label_1f193ca4-2408-4f7f-b426-2979869cfaa8_Owner">
    <vt:lpwstr>noel.hsu@orica.com</vt:lpwstr>
  </property>
  <property fmtid="{D5CDD505-2E9C-101B-9397-08002B2CF9AE}" pid="6" name="MSIP_Label_1f193ca4-2408-4f7f-b426-2979869cfaa8_SetDate">
    <vt:lpwstr>2020-06-04T16:49:04.0730485Z</vt:lpwstr>
  </property>
  <property fmtid="{D5CDD505-2E9C-101B-9397-08002B2CF9AE}" pid="7" name="MSIP_Label_1f193ca4-2408-4f7f-b426-2979869cfaa8_Name">
    <vt:lpwstr>Confidential</vt:lpwstr>
  </property>
  <property fmtid="{D5CDD505-2E9C-101B-9397-08002B2CF9AE}" pid="8" name="MSIP_Label_1f193ca4-2408-4f7f-b426-2979869cfaa8_Application">
    <vt:lpwstr>Microsoft Azure Information Protection</vt:lpwstr>
  </property>
  <property fmtid="{D5CDD505-2E9C-101B-9397-08002B2CF9AE}" pid="9" name="MSIP_Label_1f193ca4-2408-4f7f-b426-2979869cfaa8_ActionId">
    <vt:lpwstr>ee91786c-bb88-4f01-9c26-b1b1ae25ba8e</vt:lpwstr>
  </property>
  <property fmtid="{D5CDD505-2E9C-101B-9397-08002B2CF9AE}" pid="10" name="MSIP_Label_1f193ca4-2408-4f7f-b426-2979869cfaa8_Extended_MSFT_Method">
    <vt:lpwstr>Automatic</vt:lpwstr>
  </property>
  <property fmtid="{D5CDD505-2E9C-101B-9397-08002B2CF9AE}" pid="11" name="MSIP_Label_1e0eb793-f7fe-4f62-8b38-a67ddcda6850_Enabled">
    <vt:lpwstr>True</vt:lpwstr>
  </property>
  <property fmtid="{D5CDD505-2E9C-101B-9397-08002B2CF9AE}" pid="12" name="MSIP_Label_1e0eb793-f7fe-4f62-8b38-a67ddcda6850_SiteId">
    <vt:lpwstr>a21a716e-fb9a-45c0-b997-e26360b0a3a1</vt:lpwstr>
  </property>
  <property fmtid="{D5CDD505-2E9C-101B-9397-08002B2CF9AE}" pid="13" name="MSIP_Label_1e0eb793-f7fe-4f62-8b38-a67ddcda6850_Owner">
    <vt:lpwstr>noel.hsu@orica.com</vt:lpwstr>
  </property>
  <property fmtid="{D5CDD505-2E9C-101B-9397-08002B2CF9AE}" pid="14" name="MSIP_Label_1e0eb793-f7fe-4f62-8b38-a67ddcda6850_SetDate">
    <vt:lpwstr>2020-06-04T16:49:04.0730485Z</vt:lpwstr>
  </property>
  <property fmtid="{D5CDD505-2E9C-101B-9397-08002B2CF9AE}" pid="15" name="MSIP_Label_1e0eb793-f7fe-4f62-8b38-a67ddcda6850_Name">
    <vt:lpwstr>Confidential (auto)</vt:lpwstr>
  </property>
  <property fmtid="{D5CDD505-2E9C-101B-9397-08002B2CF9AE}" pid="16" name="MSIP_Label_1e0eb793-f7fe-4f62-8b38-a67ddcda6850_Application">
    <vt:lpwstr>Microsoft Azure Information Protection</vt:lpwstr>
  </property>
  <property fmtid="{D5CDD505-2E9C-101B-9397-08002B2CF9AE}" pid="17" name="MSIP_Label_1e0eb793-f7fe-4f62-8b38-a67ddcda6850_ActionId">
    <vt:lpwstr>ee91786c-bb88-4f01-9c26-b1b1ae25ba8e</vt:lpwstr>
  </property>
  <property fmtid="{D5CDD505-2E9C-101B-9397-08002B2CF9AE}" pid="18" name="MSIP_Label_1e0eb793-f7fe-4f62-8b38-a67ddcda6850_Parent">
    <vt:lpwstr>1f193ca4-2408-4f7f-b426-2979869cfaa8</vt:lpwstr>
  </property>
  <property fmtid="{D5CDD505-2E9C-101B-9397-08002B2CF9AE}" pid="19" name="MSIP_Label_1e0eb793-f7fe-4f62-8b38-a67ddcda6850_Extended_MSFT_Method">
    <vt:lpwstr>Automatic</vt:lpwstr>
  </property>
  <property fmtid="{D5CDD505-2E9C-101B-9397-08002B2CF9AE}" pid="20" name="Sensitivity">
    <vt:lpwstr>Confidential Confidential (auto)</vt:lpwstr>
  </property>
</Properties>
</file>