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80BD7"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365AA6"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365AA6"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0597175E" w:rsidR="00FC215C" w:rsidRPr="00980BD7" w:rsidRDefault="00FC215C" w:rsidP="00B666B2">
            <w:pPr>
              <w:jc w:val="right"/>
              <w:rPr>
                <w:b/>
                <w:sz w:val="40"/>
                <w:szCs w:val="40"/>
              </w:rPr>
            </w:pPr>
            <w:r w:rsidRPr="00980BD7">
              <w:rPr>
                <w:b/>
                <w:sz w:val="40"/>
                <w:szCs w:val="40"/>
              </w:rPr>
              <w:t>UN/SCETDG/</w:t>
            </w:r>
            <w:r w:rsidR="00CE74ED" w:rsidRPr="00980BD7">
              <w:rPr>
                <w:b/>
                <w:sz w:val="40"/>
                <w:szCs w:val="40"/>
              </w:rPr>
              <w:t>5</w:t>
            </w:r>
            <w:r w:rsidR="00365AA6" w:rsidRPr="00980BD7">
              <w:rPr>
                <w:b/>
                <w:sz w:val="40"/>
                <w:szCs w:val="40"/>
              </w:rPr>
              <w:t>7</w:t>
            </w:r>
            <w:r w:rsidRPr="00980BD7">
              <w:rPr>
                <w:b/>
                <w:sz w:val="40"/>
                <w:szCs w:val="40"/>
              </w:rPr>
              <w:t>/INF.</w:t>
            </w:r>
            <w:r w:rsidR="007A44D6">
              <w:rPr>
                <w:b/>
                <w:sz w:val="40"/>
                <w:szCs w:val="40"/>
              </w:rPr>
              <w:t>5</w:t>
            </w:r>
          </w:p>
          <w:p w14:paraId="23600409" w14:textId="77777777" w:rsidR="000216CC" w:rsidRPr="00980BD7" w:rsidRDefault="000216CC" w:rsidP="00497711">
            <w:pPr>
              <w:jc w:val="right"/>
            </w:pPr>
          </w:p>
        </w:tc>
      </w:tr>
    </w:tbl>
    <w:p w14:paraId="2C8AD83B" w14:textId="77777777" w:rsidR="000019B8" w:rsidRPr="00980BD7"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365AA6" w14:paraId="49111E43" w14:textId="77777777" w:rsidTr="00D73803">
        <w:tc>
          <w:tcPr>
            <w:tcW w:w="9645" w:type="dxa"/>
            <w:gridSpan w:val="2"/>
            <w:tcMar>
              <w:top w:w="142" w:type="dxa"/>
              <w:left w:w="108" w:type="dxa"/>
              <w:bottom w:w="142" w:type="dxa"/>
              <w:right w:w="108" w:type="dxa"/>
            </w:tcMar>
          </w:tcPr>
          <w:p w14:paraId="659610D8" w14:textId="6298BE8D" w:rsidR="00645A0B" w:rsidRPr="00365AA6" w:rsidRDefault="00645A0B" w:rsidP="00EE2966">
            <w:pPr>
              <w:tabs>
                <w:tab w:val="right" w:pos="9214"/>
              </w:tabs>
            </w:pPr>
            <w:r w:rsidRPr="00980BD7">
              <w:rPr>
                <w:b/>
                <w:sz w:val="24"/>
                <w:szCs w:val="24"/>
              </w:rPr>
              <w:t>Committee of Experts on the Transport of Dangerous Goods</w:t>
            </w:r>
            <w:r w:rsidRPr="00980BD7">
              <w:rPr>
                <w:b/>
                <w:sz w:val="24"/>
                <w:szCs w:val="24"/>
              </w:rPr>
              <w:tab/>
            </w:r>
            <w:r w:rsidRPr="00980BD7">
              <w:rPr>
                <w:b/>
                <w:sz w:val="24"/>
                <w:szCs w:val="24"/>
              </w:rPr>
              <w:br/>
              <w:t>and on the Globally Harmonized System of Classification</w:t>
            </w:r>
            <w:r w:rsidRPr="00980BD7">
              <w:rPr>
                <w:b/>
                <w:sz w:val="24"/>
                <w:szCs w:val="24"/>
              </w:rPr>
              <w:br/>
              <w:t>and Labelling of Chemicals</w:t>
            </w:r>
            <w:r w:rsidRPr="00980BD7">
              <w:rPr>
                <w:b/>
              </w:rPr>
              <w:tab/>
            </w:r>
            <w:r w:rsidR="00184120" w:rsidRPr="00184120">
              <w:rPr>
                <w:b/>
              </w:rPr>
              <w:t>7</w:t>
            </w:r>
            <w:r w:rsidR="008C7033" w:rsidRPr="00184120">
              <w:rPr>
                <w:b/>
              </w:rPr>
              <w:t xml:space="preserve"> </w:t>
            </w:r>
            <w:r w:rsidR="007A44D6" w:rsidRPr="00184120">
              <w:rPr>
                <w:b/>
              </w:rPr>
              <w:t>April</w:t>
            </w:r>
            <w:r w:rsidR="006216A1" w:rsidRPr="00184120">
              <w:rPr>
                <w:b/>
              </w:rPr>
              <w:t xml:space="preserve"> </w:t>
            </w:r>
            <w:r w:rsidR="00365AA6" w:rsidRPr="00184120">
              <w:rPr>
                <w:b/>
              </w:rPr>
              <w:t>2020</w:t>
            </w:r>
          </w:p>
        </w:tc>
      </w:tr>
      <w:tr w:rsidR="00645A0B" w:rsidRPr="00365AA6" w14:paraId="6574E88D" w14:textId="77777777" w:rsidTr="00D73803">
        <w:tc>
          <w:tcPr>
            <w:tcW w:w="4652" w:type="dxa"/>
            <w:tcMar>
              <w:top w:w="57" w:type="dxa"/>
              <w:left w:w="108" w:type="dxa"/>
              <w:bottom w:w="0" w:type="dxa"/>
              <w:right w:w="108" w:type="dxa"/>
            </w:tcMar>
            <w:vAlign w:val="center"/>
          </w:tcPr>
          <w:p w14:paraId="30C2CA7B" w14:textId="77777777" w:rsidR="00645A0B" w:rsidRPr="00365AA6" w:rsidRDefault="00645A0B" w:rsidP="00D73803">
            <w:pPr>
              <w:spacing w:before="40"/>
              <w:rPr>
                <w:b/>
              </w:rPr>
            </w:pPr>
            <w:r w:rsidRPr="00365AA6">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365AA6" w:rsidRDefault="00645A0B" w:rsidP="00165735">
            <w:pPr>
              <w:spacing w:before="120"/>
              <w:rPr>
                <w:b/>
              </w:rPr>
            </w:pPr>
          </w:p>
        </w:tc>
      </w:tr>
      <w:tr w:rsidR="00645A0B" w:rsidRPr="00365AA6" w14:paraId="4907F537" w14:textId="77777777" w:rsidTr="00D73803">
        <w:trPr>
          <w:trHeight w:val="201"/>
        </w:trPr>
        <w:tc>
          <w:tcPr>
            <w:tcW w:w="4652" w:type="dxa"/>
            <w:tcMar>
              <w:top w:w="57" w:type="dxa"/>
              <w:left w:w="108" w:type="dxa"/>
              <w:bottom w:w="0" w:type="dxa"/>
              <w:right w:w="108" w:type="dxa"/>
            </w:tcMar>
          </w:tcPr>
          <w:p w14:paraId="510A5F4F" w14:textId="70DE4B17" w:rsidR="00645A0B" w:rsidRPr="00365AA6" w:rsidRDefault="00CE74ED" w:rsidP="005A6301">
            <w:pPr>
              <w:spacing w:before="120" w:line="240" w:lineRule="auto"/>
              <w:ind w:left="34" w:hanging="34"/>
              <w:rPr>
                <w:b/>
              </w:rPr>
            </w:pPr>
            <w:r w:rsidRPr="00365AA6">
              <w:rPr>
                <w:b/>
              </w:rPr>
              <w:t>Fifty-</w:t>
            </w:r>
            <w:r w:rsidR="00365AA6" w:rsidRPr="00365AA6">
              <w:rPr>
                <w:b/>
              </w:rPr>
              <w:t>seventh</w:t>
            </w:r>
            <w:r w:rsidRPr="00365AA6">
              <w:rPr>
                <w:b/>
              </w:rPr>
              <w:t xml:space="preserve"> session</w:t>
            </w:r>
          </w:p>
        </w:tc>
        <w:tc>
          <w:tcPr>
            <w:tcW w:w="4993" w:type="dxa"/>
            <w:tcMar>
              <w:top w:w="57" w:type="dxa"/>
              <w:left w:w="108" w:type="dxa"/>
              <w:bottom w:w="0" w:type="dxa"/>
              <w:right w:w="108" w:type="dxa"/>
            </w:tcMar>
          </w:tcPr>
          <w:p w14:paraId="15F73DBB" w14:textId="77777777" w:rsidR="00645A0B" w:rsidRPr="00365AA6" w:rsidRDefault="00645A0B" w:rsidP="00D73803">
            <w:pPr>
              <w:spacing w:line="240" w:lineRule="auto"/>
              <w:ind w:left="34" w:hanging="34"/>
              <w:rPr>
                <w:b/>
              </w:rPr>
            </w:pPr>
          </w:p>
        </w:tc>
      </w:tr>
      <w:tr w:rsidR="00645A0B" w:rsidRPr="00365AA6" w14:paraId="4C8F45BA" w14:textId="77777777" w:rsidTr="00980BD7">
        <w:trPr>
          <w:trHeight w:val="1146"/>
        </w:trPr>
        <w:tc>
          <w:tcPr>
            <w:tcW w:w="4652" w:type="dxa"/>
            <w:shd w:val="clear" w:color="auto" w:fill="auto"/>
            <w:tcMar>
              <w:top w:w="28" w:type="dxa"/>
              <w:left w:w="108" w:type="dxa"/>
              <w:bottom w:w="0" w:type="dxa"/>
              <w:right w:w="108" w:type="dxa"/>
            </w:tcMar>
          </w:tcPr>
          <w:p w14:paraId="5157275B" w14:textId="40C9291B" w:rsidR="00CE74ED" w:rsidRPr="00980BD7" w:rsidRDefault="00CE74ED" w:rsidP="00CE74ED">
            <w:pPr>
              <w:tabs>
                <w:tab w:val="left" w:pos="6361"/>
                <w:tab w:val="left" w:pos="6939"/>
              </w:tabs>
              <w:spacing w:before="40"/>
              <w:outlineLvl w:val="0"/>
              <w:rPr>
                <w:bCs/>
              </w:rPr>
            </w:pPr>
            <w:r w:rsidRPr="00980BD7">
              <w:t xml:space="preserve">Geneva, </w:t>
            </w:r>
            <w:r w:rsidR="00365AA6" w:rsidRPr="00980BD7">
              <w:t>29 June-8 July</w:t>
            </w:r>
            <w:r w:rsidRPr="00980BD7">
              <w:t xml:space="preserve"> </w:t>
            </w:r>
            <w:r w:rsidR="00365AA6" w:rsidRPr="00980BD7">
              <w:t>2020</w:t>
            </w:r>
          </w:p>
          <w:p w14:paraId="178DA8E0" w14:textId="44B26514" w:rsidR="00645A0B" w:rsidRPr="00980BD7" w:rsidRDefault="00A83451" w:rsidP="00EA48C4">
            <w:pPr>
              <w:spacing w:before="40"/>
              <w:ind w:left="34" w:hanging="34"/>
            </w:pPr>
            <w:r w:rsidRPr="00980BD7">
              <w:t xml:space="preserve">Item </w:t>
            </w:r>
            <w:r w:rsidR="00090CBF">
              <w:t>3</w:t>
            </w:r>
            <w:r w:rsidR="00EE2966" w:rsidRPr="00980BD7">
              <w:t xml:space="preserve"> </w:t>
            </w:r>
            <w:r w:rsidRPr="00980BD7">
              <w:t>of the provisional agenda</w:t>
            </w:r>
          </w:p>
          <w:p w14:paraId="3094528C" w14:textId="16CAC6DC" w:rsidR="00645A0B" w:rsidRPr="00980BD7" w:rsidRDefault="00090CBF" w:rsidP="00365AA6">
            <w:pPr>
              <w:rPr>
                <w:b/>
                <w:bCs/>
              </w:rPr>
            </w:pPr>
            <w:r>
              <w:rPr>
                <w:b/>
              </w:rPr>
              <w:t>Listing, classification and packing</w:t>
            </w:r>
          </w:p>
        </w:tc>
        <w:tc>
          <w:tcPr>
            <w:tcW w:w="4993" w:type="dxa"/>
            <w:shd w:val="clear" w:color="auto" w:fill="auto"/>
            <w:tcMar>
              <w:top w:w="28" w:type="dxa"/>
              <w:left w:w="108" w:type="dxa"/>
              <w:bottom w:w="0" w:type="dxa"/>
              <w:right w:w="108" w:type="dxa"/>
            </w:tcMar>
          </w:tcPr>
          <w:p w14:paraId="452F8F0A" w14:textId="77777777" w:rsidR="00645A0B" w:rsidRPr="00980BD7" w:rsidRDefault="00645A0B" w:rsidP="000B6AD1">
            <w:pPr>
              <w:spacing w:before="40"/>
              <w:rPr>
                <w:b/>
                <w:bCs/>
              </w:rPr>
            </w:pPr>
          </w:p>
        </w:tc>
      </w:tr>
    </w:tbl>
    <w:p w14:paraId="735D2E90" w14:textId="3E0C15D7" w:rsidR="007A44D6" w:rsidRPr="00CE33D5" w:rsidRDefault="00A44269" w:rsidP="00CE33D5">
      <w:pPr>
        <w:pStyle w:val="HChG"/>
      </w:pPr>
      <w:r w:rsidRPr="00365AA6">
        <w:rPr>
          <w:lang w:val="en-GB"/>
        </w:rPr>
        <w:tab/>
      </w:r>
      <w:r w:rsidRPr="00CE33D5">
        <w:tab/>
      </w:r>
      <w:r w:rsidR="007A44D6" w:rsidRPr="00CE33D5">
        <w:rPr>
          <w:rFonts w:eastAsia="MS Mincho"/>
        </w:rPr>
        <w:t xml:space="preserve">Request for a new </w:t>
      </w:r>
      <w:r w:rsidR="007A44D6" w:rsidRPr="00CE33D5">
        <w:t>UN number for cobalt dihydroxide powder (see ST/SG/AC.10/C.3/2020/21)</w:t>
      </w:r>
    </w:p>
    <w:p w14:paraId="58D05082" w14:textId="5A85558F" w:rsidR="007A44D6" w:rsidRPr="00CE33D5" w:rsidRDefault="007A44D6" w:rsidP="00CE33D5">
      <w:pPr>
        <w:pStyle w:val="H1G"/>
      </w:pPr>
      <w:r>
        <w:tab/>
      </w:r>
      <w:r w:rsidRPr="00CE33D5">
        <w:tab/>
        <w:t>Transmitted by the Responsible Packaging Management Association of Southern Africa (RPMASA) and International Confederation of Plastic Packaging Manufacturers (ICPP)</w:t>
      </w:r>
    </w:p>
    <w:p w14:paraId="7B8C46FA" w14:textId="4C3877C3" w:rsidR="00365AA6" w:rsidRPr="00CE33D5" w:rsidRDefault="007A44D6" w:rsidP="00CE33D5">
      <w:pPr>
        <w:pStyle w:val="SingleTxtG"/>
      </w:pPr>
      <w:r w:rsidRPr="00CE33D5">
        <w:t xml:space="preserve">This document contains the </w:t>
      </w:r>
      <w:r w:rsidR="00CE33D5" w:rsidRPr="00CE33D5">
        <w:t xml:space="preserve">notes from the teleconference of 4 March 2020 and the </w:t>
      </w:r>
      <w:r w:rsidRPr="00CE33D5">
        <w:t xml:space="preserve">list of participants in the intersessional </w:t>
      </w:r>
      <w:r w:rsidR="00CE33D5" w:rsidRPr="00CE33D5">
        <w:t>informal</w:t>
      </w:r>
      <w:r w:rsidRPr="00CE33D5">
        <w:t xml:space="preserve"> group referred to in document ST/SG/AC.10/C.3/2020/2</w:t>
      </w:r>
      <w:r w:rsidR="00CE33D5" w:rsidRPr="00CE33D5">
        <w:t>.</w:t>
      </w:r>
      <w:r w:rsidRPr="00CE33D5">
        <w:t xml:space="preserve"> </w:t>
      </w:r>
    </w:p>
    <w:p w14:paraId="7607253A" w14:textId="77777777" w:rsidR="007A44D6" w:rsidRPr="00CE33D5" w:rsidRDefault="007A44D6" w:rsidP="00CE33D5">
      <w:pPr>
        <w:pStyle w:val="SingleTxtG"/>
      </w:pPr>
      <w:r w:rsidRPr="00CE33D5">
        <w:br w:type="page"/>
      </w:r>
    </w:p>
    <w:p w14:paraId="5BE5067E" w14:textId="73E55B0E" w:rsidR="007A44D6" w:rsidRDefault="0023231C" w:rsidP="0023231C">
      <w:pPr>
        <w:pStyle w:val="HChG"/>
      </w:pPr>
      <w:r>
        <w:lastRenderedPageBreak/>
        <w:tab/>
      </w:r>
      <w:r>
        <w:tab/>
      </w:r>
      <w:r w:rsidR="007A44D6">
        <w:t xml:space="preserve">Annex </w:t>
      </w:r>
      <w:r>
        <w:rPr>
          <w:lang w:val="fr-CH"/>
        </w:rPr>
        <w:t>I</w:t>
      </w:r>
      <w:r w:rsidR="007A44D6">
        <w:t xml:space="preserve"> </w:t>
      </w:r>
    </w:p>
    <w:p w14:paraId="2FA832EB" w14:textId="62B6316C" w:rsidR="0093487F" w:rsidRPr="0023231C" w:rsidRDefault="0023231C" w:rsidP="0023231C">
      <w:pPr>
        <w:pStyle w:val="HChG"/>
      </w:pPr>
      <w:r>
        <w:tab/>
      </w:r>
      <w:r>
        <w:tab/>
      </w:r>
      <w:r w:rsidR="0093487F" w:rsidRPr="0023231C">
        <w:t>Conference call with TDG Sub-Committee experts</w:t>
      </w:r>
    </w:p>
    <w:p w14:paraId="62B62807" w14:textId="59366587" w:rsidR="0093487F" w:rsidRDefault="0023231C" w:rsidP="0023231C">
      <w:pPr>
        <w:pStyle w:val="H23G"/>
      </w:pPr>
      <w:r>
        <w:tab/>
      </w:r>
      <w:r>
        <w:tab/>
        <w:t>(</w:t>
      </w:r>
      <w:r w:rsidR="0093487F">
        <w:t>Wednesday 4</w:t>
      </w:r>
      <w:r w:rsidR="0093487F">
        <w:rPr>
          <w:vertAlign w:val="superscript"/>
        </w:rPr>
        <w:t>th</w:t>
      </w:r>
      <w:r w:rsidR="0093487F">
        <w:t xml:space="preserve"> March 2020</w:t>
      </w:r>
      <w:r>
        <w:t>)</w:t>
      </w:r>
    </w:p>
    <w:tbl>
      <w:tblPr>
        <w:tblStyle w:val="TableGrid"/>
        <w:tblW w:w="779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0"/>
        <w:gridCol w:w="3707"/>
      </w:tblGrid>
      <w:tr w:rsidR="0023231C" w:rsidRPr="0023231C" w14:paraId="65821537" w14:textId="77777777" w:rsidTr="00941FFD">
        <w:tc>
          <w:tcPr>
            <w:tcW w:w="4090" w:type="dxa"/>
          </w:tcPr>
          <w:p w14:paraId="7ED295AA" w14:textId="36C22A3D" w:rsidR="0023231C" w:rsidRPr="0023231C" w:rsidRDefault="0023231C" w:rsidP="0023231C">
            <w:pPr>
              <w:pStyle w:val="H1G"/>
            </w:pPr>
            <w:r w:rsidRPr="0023231C">
              <w:t>Introduction of participants:</w:t>
            </w:r>
          </w:p>
        </w:tc>
        <w:tc>
          <w:tcPr>
            <w:tcW w:w="3707" w:type="dxa"/>
          </w:tcPr>
          <w:p w14:paraId="6FC4A1DA" w14:textId="30C64ACD" w:rsidR="0023231C" w:rsidRPr="0023231C" w:rsidRDefault="0023231C" w:rsidP="0023231C">
            <w:pPr>
              <w:pStyle w:val="H1G"/>
            </w:pPr>
            <w:r w:rsidRPr="0023231C">
              <w:rPr>
                <w:bCs/>
              </w:rPr>
              <w:t>Apologies:</w:t>
            </w:r>
          </w:p>
        </w:tc>
      </w:tr>
      <w:tr w:rsidR="0023231C" w:rsidRPr="0023231C" w14:paraId="374FEB93" w14:textId="77777777" w:rsidTr="00941FFD">
        <w:tc>
          <w:tcPr>
            <w:tcW w:w="4090" w:type="dxa"/>
          </w:tcPr>
          <w:p w14:paraId="4A74C3E9" w14:textId="253A4CB9" w:rsidR="0023231C" w:rsidRPr="0023231C" w:rsidRDefault="0023231C" w:rsidP="0023231C">
            <w:r w:rsidRPr="0023231C">
              <w:t>*Hannes Demaré (Belgium)</w:t>
            </w:r>
          </w:p>
        </w:tc>
        <w:tc>
          <w:tcPr>
            <w:tcW w:w="3707" w:type="dxa"/>
          </w:tcPr>
          <w:p w14:paraId="7C8C8ED1" w14:textId="2BBC0E87" w:rsidR="0023231C" w:rsidRPr="0023231C" w:rsidRDefault="0023231C" w:rsidP="0023231C">
            <w:r w:rsidRPr="0023231C">
              <w:t>Debra Kirk (Australia)</w:t>
            </w:r>
          </w:p>
        </w:tc>
      </w:tr>
      <w:tr w:rsidR="0023231C" w:rsidRPr="0023231C" w14:paraId="3D465F77" w14:textId="77777777" w:rsidTr="00941FFD">
        <w:tc>
          <w:tcPr>
            <w:tcW w:w="4090" w:type="dxa"/>
          </w:tcPr>
          <w:p w14:paraId="100D45CA" w14:textId="29F73664" w:rsidR="0023231C" w:rsidRPr="0023231C" w:rsidRDefault="0023231C" w:rsidP="0023231C">
            <w:r w:rsidRPr="0023231C">
              <w:t>Sjofn Gunnarsdottir (Netherlands)</w:t>
            </w:r>
            <w:bookmarkStart w:id="0" w:name="_GoBack"/>
            <w:bookmarkEnd w:id="0"/>
          </w:p>
        </w:tc>
        <w:tc>
          <w:tcPr>
            <w:tcW w:w="3707" w:type="dxa"/>
          </w:tcPr>
          <w:p w14:paraId="683B129F" w14:textId="750DBA54" w:rsidR="0023231C" w:rsidRPr="0023231C" w:rsidRDefault="0023231C" w:rsidP="0023231C">
            <w:r w:rsidRPr="0023231C">
              <w:t>Remko Dardenne (Belgium)</w:t>
            </w:r>
          </w:p>
        </w:tc>
      </w:tr>
      <w:tr w:rsidR="0023231C" w:rsidRPr="0023231C" w14:paraId="4A814D7B" w14:textId="77777777" w:rsidTr="00941FFD">
        <w:tc>
          <w:tcPr>
            <w:tcW w:w="4090" w:type="dxa"/>
          </w:tcPr>
          <w:p w14:paraId="4FC91BD1" w14:textId="7F382F12" w:rsidR="0023231C" w:rsidRPr="0023231C" w:rsidRDefault="0023231C" w:rsidP="0023231C">
            <w:r w:rsidRPr="0023231C">
              <w:t>Madonna Radi (Canada)</w:t>
            </w:r>
          </w:p>
        </w:tc>
        <w:tc>
          <w:tcPr>
            <w:tcW w:w="3707" w:type="dxa"/>
          </w:tcPr>
          <w:p w14:paraId="713CF49E" w14:textId="51B7540D" w:rsidR="0023231C" w:rsidRPr="0023231C" w:rsidRDefault="0023231C" w:rsidP="0023231C">
            <w:r w:rsidRPr="0023231C">
              <w:t>Joachim Scheerlink (Belgium)</w:t>
            </w:r>
          </w:p>
        </w:tc>
      </w:tr>
      <w:tr w:rsidR="0023231C" w:rsidRPr="0023231C" w14:paraId="16FCE875" w14:textId="77777777" w:rsidTr="00941FFD">
        <w:tc>
          <w:tcPr>
            <w:tcW w:w="4090" w:type="dxa"/>
          </w:tcPr>
          <w:p w14:paraId="5D8639BB" w14:textId="00A19784" w:rsidR="0023231C" w:rsidRPr="0023231C" w:rsidRDefault="0023231C" w:rsidP="0023231C">
            <w:r w:rsidRPr="0023231C">
              <w:t>Natalie Cadotte (Canada)</w:t>
            </w:r>
            <w:r w:rsidRPr="0023231C">
              <w:tab/>
            </w:r>
          </w:p>
        </w:tc>
        <w:tc>
          <w:tcPr>
            <w:tcW w:w="3707" w:type="dxa"/>
          </w:tcPr>
          <w:p w14:paraId="016190CE" w14:textId="7A1B1E11" w:rsidR="0023231C" w:rsidRPr="0023231C" w:rsidRDefault="0023231C" w:rsidP="0023231C">
            <w:r w:rsidRPr="0023231C">
              <w:t>Genevieve Sansoucy (Canada)</w:t>
            </w:r>
          </w:p>
        </w:tc>
      </w:tr>
      <w:tr w:rsidR="0023231C" w:rsidRPr="0023231C" w14:paraId="3207140D" w14:textId="77777777" w:rsidTr="00941FFD">
        <w:tc>
          <w:tcPr>
            <w:tcW w:w="4090" w:type="dxa"/>
          </w:tcPr>
          <w:p w14:paraId="7F6E9E21" w14:textId="6870DE35" w:rsidR="0023231C" w:rsidRPr="0023231C" w:rsidRDefault="0023231C" w:rsidP="0023231C">
            <w:r w:rsidRPr="0023231C">
              <w:t>David Lamarche (Canada)</w:t>
            </w:r>
          </w:p>
        </w:tc>
        <w:tc>
          <w:tcPr>
            <w:tcW w:w="3707" w:type="dxa"/>
          </w:tcPr>
          <w:p w14:paraId="51B54439" w14:textId="4A2A7D7B" w:rsidR="0023231C" w:rsidRPr="0023231C" w:rsidRDefault="0023231C" w:rsidP="0023231C">
            <w:r w:rsidRPr="0023231C">
              <w:t>Claude Pfauvadel (France)</w:t>
            </w:r>
          </w:p>
        </w:tc>
      </w:tr>
      <w:tr w:rsidR="0023231C" w:rsidRPr="0023231C" w14:paraId="60FF4A2B" w14:textId="77777777" w:rsidTr="00941FFD">
        <w:tc>
          <w:tcPr>
            <w:tcW w:w="4090" w:type="dxa"/>
          </w:tcPr>
          <w:p w14:paraId="54990C4A" w14:textId="331069E2" w:rsidR="0023231C" w:rsidRPr="0023231C" w:rsidRDefault="0023231C" w:rsidP="0023231C">
            <w:r w:rsidRPr="0023231C">
              <w:t>Keith White (UK)</w:t>
            </w:r>
          </w:p>
        </w:tc>
        <w:tc>
          <w:tcPr>
            <w:tcW w:w="3707" w:type="dxa"/>
          </w:tcPr>
          <w:p w14:paraId="0E795D5C" w14:textId="234B0BC6" w:rsidR="0023231C" w:rsidRPr="0023231C" w:rsidRDefault="0023231C" w:rsidP="0023231C">
            <w:r w:rsidRPr="0023231C">
              <w:t>Erwin Sigrist (CEFIC &amp; Swiss Industry)</w:t>
            </w:r>
          </w:p>
        </w:tc>
      </w:tr>
      <w:tr w:rsidR="0023231C" w:rsidRPr="0023231C" w14:paraId="4A5524A6" w14:textId="77777777" w:rsidTr="00941FFD">
        <w:tc>
          <w:tcPr>
            <w:tcW w:w="4090" w:type="dxa"/>
          </w:tcPr>
          <w:p w14:paraId="3CCD32DB" w14:textId="5AF2E717" w:rsidR="0023231C" w:rsidRPr="0023231C" w:rsidRDefault="0023231C" w:rsidP="0023231C">
            <w:r w:rsidRPr="0023231C">
              <w:t>Kevin Leary (USA)</w:t>
            </w:r>
          </w:p>
        </w:tc>
        <w:tc>
          <w:tcPr>
            <w:tcW w:w="3707" w:type="dxa"/>
          </w:tcPr>
          <w:p w14:paraId="2724D03B" w14:textId="7D5D5BF9" w:rsidR="0023231C" w:rsidRPr="0023231C" w:rsidRDefault="0023231C" w:rsidP="0023231C">
            <w:r w:rsidRPr="0023231C">
              <w:t>Shane Kelly (USA)</w:t>
            </w:r>
          </w:p>
        </w:tc>
      </w:tr>
      <w:tr w:rsidR="0023231C" w:rsidRPr="0023231C" w14:paraId="51484140" w14:textId="77777777" w:rsidTr="00941FFD">
        <w:tc>
          <w:tcPr>
            <w:tcW w:w="4090" w:type="dxa"/>
          </w:tcPr>
          <w:p w14:paraId="6C71CE31" w14:textId="317F7126" w:rsidR="0023231C" w:rsidRPr="0023231C" w:rsidRDefault="0023231C" w:rsidP="0023231C">
            <w:r w:rsidRPr="0023231C">
              <w:t>Ben Moore (USA)</w:t>
            </w:r>
          </w:p>
        </w:tc>
        <w:tc>
          <w:tcPr>
            <w:tcW w:w="3707" w:type="dxa"/>
          </w:tcPr>
          <w:p w14:paraId="650022E9" w14:textId="57D81AB6" w:rsidR="0023231C" w:rsidRPr="0023231C" w:rsidRDefault="0023231C" w:rsidP="0023231C">
            <w:r w:rsidRPr="0023231C">
              <w:t>Tom Ferguson (COSTHA)</w:t>
            </w:r>
          </w:p>
        </w:tc>
      </w:tr>
      <w:tr w:rsidR="0023231C" w:rsidRPr="0023231C" w14:paraId="78E01FF8" w14:textId="77777777" w:rsidTr="00941FFD">
        <w:tc>
          <w:tcPr>
            <w:tcW w:w="4090" w:type="dxa"/>
          </w:tcPr>
          <w:p w14:paraId="6CAC5DE5" w14:textId="63957959" w:rsidR="0023231C" w:rsidRPr="0023231C" w:rsidRDefault="0023231C" w:rsidP="0023231C">
            <w:r w:rsidRPr="0023231C">
              <w:t>Xiaoyu Li (China)</w:t>
            </w:r>
          </w:p>
        </w:tc>
        <w:tc>
          <w:tcPr>
            <w:tcW w:w="3707" w:type="dxa"/>
          </w:tcPr>
          <w:p w14:paraId="2B9B1E24" w14:textId="323E3893" w:rsidR="0023231C" w:rsidRPr="0023231C" w:rsidRDefault="0023231C" w:rsidP="0023231C">
            <w:r w:rsidRPr="0023231C">
              <w:t>Thilo Klein (ICPP) &amp; Chris Lind (ICPP)</w:t>
            </w:r>
          </w:p>
        </w:tc>
      </w:tr>
      <w:tr w:rsidR="0023231C" w:rsidRPr="0023231C" w14:paraId="233D1BC0" w14:textId="77777777" w:rsidTr="00941FFD">
        <w:tc>
          <w:tcPr>
            <w:tcW w:w="4090" w:type="dxa"/>
          </w:tcPr>
          <w:p w14:paraId="34C5C53D" w14:textId="6F33406B" w:rsidR="0023231C" w:rsidRPr="0023231C" w:rsidRDefault="0023231C" w:rsidP="0023231C">
            <w:r w:rsidRPr="0023231C">
              <w:t>Marcel Neitsch (Germany)</w:t>
            </w:r>
          </w:p>
        </w:tc>
        <w:tc>
          <w:tcPr>
            <w:tcW w:w="3707" w:type="dxa"/>
          </w:tcPr>
          <w:p w14:paraId="222C942C" w14:textId="407AA220" w:rsidR="0023231C" w:rsidRPr="0023231C" w:rsidRDefault="0023231C" w:rsidP="0023231C">
            <w:r w:rsidRPr="0023231C">
              <w:t>Dieter Heitkamp (CEFIC)</w:t>
            </w:r>
          </w:p>
        </w:tc>
      </w:tr>
      <w:tr w:rsidR="0023231C" w:rsidRPr="0023231C" w14:paraId="23DEFF9F" w14:textId="77777777" w:rsidTr="00941FFD">
        <w:tc>
          <w:tcPr>
            <w:tcW w:w="4090" w:type="dxa"/>
          </w:tcPr>
          <w:p w14:paraId="53665AB7" w14:textId="44C4C540" w:rsidR="0023231C" w:rsidRPr="0023231C" w:rsidRDefault="0023231C" w:rsidP="0023231C">
            <w:r w:rsidRPr="0023231C">
              <w:t>Korinna Rowkowski</w:t>
            </w:r>
            <w:r w:rsidRPr="0023231C">
              <w:tab/>
              <w:t>(Germany)</w:t>
            </w:r>
          </w:p>
        </w:tc>
        <w:tc>
          <w:tcPr>
            <w:tcW w:w="3707" w:type="dxa"/>
          </w:tcPr>
          <w:p w14:paraId="18B2F147" w14:textId="7A32B356" w:rsidR="0023231C" w:rsidRPr="0023231C" w:rsidRDefault="0023231C" w:rsidP="0023231C">
            <w:r w:rsidRPr="0023231C">
              <w:t>Peter Schuurman (CEFIC)</w:t>
            </w:r>
          </w:p>
        </w:tc>
      </w:tr>
      <w:tr w:rsidR="0023231C" w:rsidRPr="0023231C" w14:paraId="21F84786" w14:textId="77777777" w:rsidTr="00941FFD">
        <w:tc>
          <w:tcPr>
            <w:tcW w:w="4090" w:type="dxa"/>
          </w:tcPr>
          <w:p w14:paraId="34507E0D" w14:textId="4CDCA7D6" w:rsidR="0023231C" w:rsidRPr="0023231C" w:rsidRDefault="0023231C" w:rsidP="0023231C">
            <w:r w:rsidRPr="0023231C">
              <w:t>Amy Parker (US Coast Guard)</w:t>
            </w:r>
          </w:p>
        </w:tc>
        <w:tc>
          <w:tcPr>
            <w:tcW w:w="3707" w:type="dxa"/>
          </w:tcPr>
          <w:p w14:paraId="0F0084EE" w14:textId="019E4B95" w:rsidR="0023231C" w:rsidRPr="0023231C" w:rsidRDefault="0023231C" w:rsidP="0023231C">
            <w:r w:rsidRPr="0023231C">
              <w:t>Bruno Rosier &amp; Jari Rama (RPMASA &amp; CI)</w:t>
            </w:r>
          </w:p>
        </w:tc>
      </w:tr>
      <w:tr w:rsidR="0023231C" w:rsidRPr="0023231C" w14:paraId="0289A4B7" w14:textId="77777777" w:rsidTr="00941FFD">
        <w:tc>
          <w:tcPr>
            <w:tcW w:w="4090" w:type="dxa"/>
          </w:tcPr>
          <w:p w14:paraId="6B1511EE" w14:textId="7580C290" w:rsidR="0023231C" w:rsidRPr="0023231C" w:rsidRDefault="0023231C" w:rsidP="0023231C">
            <w:r w:rsidRPr="0023231C">
              <w:t>Hillary Sadoff (US Coast Guard)</w:t>
            </w:r>
          </w:p>
        </w:tc>
        <w:tc>
          <w:tcPr>
            <w:tcW w:w="3707" w:type="dxa"/>
          </w:tcPr>
          <w:p w14:paraId="225DC635" w14:textId="77777777" w:rsidR="0023231C" w:rsidRPr="0023231C" w:rsidRDefault="0023231C" w:rsidP="0023231C"/>
        </w:tc>
      </w:tr>
      <w:tr w:rsidR="0023231C" w:rsidRPr="0023231C" w14:paraId="6C1A7FC9" w14:textId="77777777" w:rsidTr="00941FFD">
        <w:tc>
          <w:tcPr>
            <w:tcW w:w="4090" w:type="dxa"/>
          </w:tcPr>
          <w:p w14:paraId="49999FD3" w14:textId="0493CF82" w:rsidR="0023231C" w:rsidRPr="0023231C" w:rsidRDefault="0023231C" w:rsidP="0023231C">
            <w:r w:rsidRPr="0023231C">
              <w:t>Liz Anderson (RPMASA)</w:t>
            </w:r>
          </w:p>
        </w:tc>
        <w:tc>
          <w:tcPr>
            <w:tcW w:w="3707" w:type="dxa"/>
          </w:tcPr>
          <w:p w14:paraId="25954F93" w14:textId="77777777" w:rsidR="0023231C" w:rsidRPr="0023231C" w:rsidRDefault="0023231C" w:rsidP="0023231C"/>
        </w:tc>
      </w:tr>
      <w:tr w:rsidR="0023231C" w:rsidRPr="0023231C" w14:paraId="51BECF2C" w14:textId="77777777" w:rsidTr="00941FFD">
        <w:tc>
          <w:tcPr>
            <w:tcW w:w="4090" w:type="dxa"/>
          </w:tcPr>
          <w:p w14:paraId="201EAD84" w14:textId="2408A33F" w:rsidR="0023231C" w:rsidRPr="0023231C" w:rsidRDefault="0023231C" w:rsidP="0023231C">
            <w:r w:rsidRPr="0023231C">
              <w:t>Paul Marsh (Cobalt Institute &amp; RPMASA)</w:t>
            </w:r>
          </w:p>
          <w:p w14:paraId="27F22616" w14:textId="77777777" w:rsidR="0023231C" w:rsidRPr="0023231C" w:rsidRDefault="0023231C" w:rsidP="0023231C"/>
        </w:tc>
        <w:tc>
          <w:tcPr>
            <w:tcW w:w="3707" w:type="dxa"/>
          </w:tcPr>
          <w:p w14:paraId="0FABED64" w14:textId="77777777" w:rsidR="0023231C" w:rsidRPr="0023231C" w:rsidRDefault="0023231C" w:rsidP="0023231C"/>
        </w:tc>
      </w:tr>
    </w:tbl>
    <w:p w14:paraId="7AD3502F" w14:textId="3BE3B5EE" w:rsidR="0093487F" w:rsidRDefault="0093487F" w:rsidP="00941FFD">
      <w:pPr>
        <w:pStyle w:val="SingleTxtG"/>
      </w:pPr>
      <w:r>
        <w:t>*Hannes apologised that although he could hear all the discussion, he experienced microphone challenges &amp; could not give verbal input. He emailed comments afterwards supporting most of the discussion</w:t>
      </w:r>
      <w:r w:rsidR="0023231C">
        <w:t>.</w:t>
      </w:r>
    </w:p>
    <w:p w14:paraId="5CB03EA5" w14:textId="7DC6C856" w:rsidR="00941FFD" w:rsidRDefault="00941FFD" w:rsidP="00941FFD">
      <w:pPr>
        <w:pStyle w:val="H1G"/>
      </w:pPr>
      <w:r>
        <w:tab/>
      </w:r>
      <w:r>
        <w:tab/>
        <w:t>New UN number(s), PSN and description</w:t>
      </w:r>
    </w:p>
    <w:p w14:paraId="70601488" w14:textId="77777777" w:rsidR="00941FFD" w:rsidRPr="00941FFD" w:rsidRDefault="00941FFD" w:rsidP="00090CBF">
      <w:pPr>
        <w:pStyle w:val="ListParagraph"/>
        <w:numPr>
          <w:ilvl w:val="0"/>
          <w:numId w:val="32"/>
        </w:numPr>
        <w:spacing w:before="100" w:after="100"/>
        <w:ind w:left="1701" w:right="567" w:hanging="567"/>
        <w:rPr>
          <w:sz w:val="18"/>
          <w:szCs w:val="18"/>
        </w:rPr>
      </w:pPr>
      <w:r w:rsidRPr="00941FFD">
        <w:rPr>
          <w:sz w:val="20"/>
          <w:szCs w:val="20"/>
        </w:rPr>
        <w:t>RPMASA recapped discussions held during the December Sub-Committee meeting, where it had been agreed that a formal proposal should be put forward to the July meeting for a new UN number, or numbers specific to cobalt dihydroxide.</w:t>
      </w:r>
    </w:p>
    <w:p w14:paraId="3100A862"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One possibility was to have two new numbers:</w:t>
      </w:r>
    </w:p>
    <w:p w14:paraId="01487E90" w14:textId="4BEB944B"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UN 35XX COBALT DIHYDROXIDE POWDER, INORGANIC SOLID, [TOXIC BY INHALATION] containing &gt;10% respirable particles– Class 6.1 with PG I</w:t>
      </w:r>
    </w:p>
    <w:p w14:paraId="552C0E50" w14:textId="27A4CFC6"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UN 35XY COBALT DIHYDROXIDE POWDER MIXTURES, INORGANIC containing &gt;10% respirable particles– Class 6.1 with PG I, PG II and PG III</w:t>
      </w:r>
    </w:p>
    <w:p w14:paraId="162DEF27"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The alternative was to use a single number:</w:t>
      </w:r>
    </w:p>
    <w:p w14:paraId="7B3C732C" w14:textId="44B7967A"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UN 35XX COBALT DIHYDROXIDE POWDER, INORGANIC SOLID, and MIXTURES CONTAINING COBALT DIHYDROXIDE [TOXIC BY INHALATION] containing &gt;10% respirable particles</w:t>
      </w:r>
      <w:r>
        <w:rPr>
          <w:sz w:val="20"/>
          <w:szCs w:val="20"/>
        </w:rPr>
        <w:t xml:space="preserve"> </w:t>
      </w:r>
      <w:r w:rsidRPr="00941FFD">
        <w:rPr>
          <w:sz w:val="20"/>
          <w:szCs w:val="20"/>
        </w:rPr>
        <w:t>– Class 6.1 with PG I, PG II and PG III</w:t>
      </w:r>
    </w:p>
    <w:p w14:paraId="591B4E2D"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US experts were not convinced about the need for UN 35XY or text in the PSN referring to mixtures, as the Model Regulations allowed mixtures to be carried under the same UN number as pure material. He said that he had not seen any data for mixtures to confirm a need for a separate UN number with all 3 Packing Groups so supported UN 35XX only.</w:t>
      </w:r>
    </w:p>
    <w:p w14:paraId="07930378"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UK expert stated that there was no need to state TOXIC BY INHALATION in the PSN as replication, and no need for UN 35XY as a separate entry for mixtures.</w:t>
      </w:r>
    </w:p>
    <w:p w14:paraId="2DF8D462"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He reminded that for Transport mixtures should be tested/assessed for their properties separately and assigned the appropriate Class according to the test results.</w:t>
      </w:r>
    </w:p>
    <w:p w14:paraId="3DF87983"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lastRenderedPageBreak/>
        <w:t>CI noted that using the existing UN 3288 N.O.S. entries raised the same problem for cobalt dihydroxide mixtures classified in PG I, as FIBC would not be allowed.</w:t>
      </w:r>
    </w:p>
    <w:p w14:paraId="005A5C21"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UK expert suggested that PG I mixtures could be covered by a Special Provision.</w:t>
      </w:r>
    </w:p>
    <w:p w14:paraId="258D00AF"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Canadian expert informed that Chapter 2.0.2.5 of Model Regulations provides for use of a named UN number to be applied to mixtures, as it states that where “the mixture meets the Classification criteria of a single predominant substance, shall be assigned the UN number and Proper shipping name of the predominant substance” in this instance UN 35XX</w:t>
      </w:r>
    </w:p>
    <w:p w14:paraId="2D5FF0E0"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US experts noted that the LC50 of cobalt dihydroxide was very low, therefore even with significant “dilution” in a mixture the toxicity could still trigger classification in PG I as per 2.6.2.2.4.1, and therefore it could be expected that some mixtures would need to rely on the provisions in 2.0.2.5 to ship under UN 35XX  potentially for PGI, II and  III</w:t>
      </w:r>
    </w:p>
    <w:p w14:paraId="54A8852F"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Dutch and Canadian experts proposed to remove INORGANIC SOLID from the PSN as cobalt dihydroxide was by definition an inorganic solid.</w:t>
      </w:r>
    </w:p>
    <w:p w14:paraId="600A44AC"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Canadian and US experts suggested that there was no need to specify “containing &gt;10% respirable particles” since this was part of the classification criteria, but they were not averse to leaving this wording in the UN number description.</w:t>
      </w:r>
    </w:p>
    <w:p w14:paraId="04F96A35"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It was suggested that TOXIC BY INHALATION could be deleted from the PSN as is replicated by the use of &gt;10% respirable particles and use of SP 354.</w:t>
      </w:r>
    </w:p>
    <w:p w14:paraId="6F6C200F"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CI noted that the wording had been proposed to assist in the practical application of the UN number, as it clarified the differentiation of the respirable powder which was classified under Class 6.1 from the coarser materials and pasty materials which had previously been agreed fell outside of being respirable so would continue to be transported under UN 3077 in Class 9.</w:t>
      </w:r>
    </w:p>
    <w:p w14:paraId="2216D11E"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Netherlands expert concurred that INORGANIC SOLID and TOXIC BY INHALATION were unnecessary as a replication if &gt;10% respirable particles was included in the PSN, and questioned the inclusion of SP 354 – This material is TIH as this has previously only been used for liquids and vapours.</w:t>
      </w:r>
    </w:p>
    <w:p w14:paraId="60613481"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Canadian expert stated that this is a new situation for TIH solid / powder and believed that SP354 should be applicable to any physical form that was TOXIC by inhalation</w:t>
      </w:r>
    </w:p>
    <w:p w14:paraId="0C281315"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RPMASA summarised that one UN number would be proposed, with PSN and description:</w:t>
      </w:r>
    </w:p>
    <w:p w14:paraId="7870B46A" w14:textId="31AD9B0C" w:rsidR="00941FFD" w:rsidRPr="00941FFD" w:rsidRDefault="00941FFD" w:rsidP="00090CBF">
      <w:pPr>
        <w:pStyle w:val="ListParagraph"/>
        <w:numPr>
          <w:ilvl w:val="1"/>
          <w:numId w:val="32"/>
        </w:numPr>
        <w:spacing w:before="100" w:after="100"/>
        <w:ind w:left="2268" w:right="567" w:hanging="567"/>
        <w:rPr>
          <w:b/>
          <w:bCs/>
          <w:sz w:val="20"/>
          <w:szCs w:val="20"/>
        </w:rPr>
      </w:pPr>
      <w:r w:rsidRPr="00941FFD">
        <w:rPr>
          <w:b/>
          <w:bCs/>
          <w:sz w:val="20"/>
          <w:szCs w:val="20"/>
        </w:rPr>
        <w:t>UN 35XX COBALT DIHYDROXIDE POWDER containing &gt;10% respirable particles – Class 6.1 with PG I, PG II and PG III</w:t>
      </w:r>
    </w:p>
    <w:p w14:paraId="16C631A8" w14:textId="43792ADE" w:rsidR="00941FFD" w:rsidRPr="00941FFD" w:rsidRDefault="00941FFD" w:rsidP="00090CBF">
      <w:pPr>
        <w:pStyle w:val="H1G"/>
        <w:spacing w:before="240" w:line="240" w:lineRule="auto"/>
      </w:pPr>
      <w:r>
        <w:tab/>
      </w:r>
      <w:r>
        <w:tab/>
      </w:r>
      <w:r w:rsidRPr="00941FFD">
        <w:t>Packing Instruction, Special Packing Provision and Special Provisions</w:t>
      </w:r>
    </w:p>
    <w:p w14:paraId="4C6BCA47"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RPMASA had received feedback from a number of the Sub-Committee experts regarding wording for the proposed new SPP BX to be used for PGI under the proposed new number UN35XX:</w:t>
      </w:r>
    </w:p>
    <w:p w14:paraId="5E3BF43C"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BX – this material may be transported in Flexible IBC’s of PG 13H3 or 13H4 which have been tested and authorised for PG I and that show no loss of content, or slight discharge during drop and topple test as per the criteria in 6.5.6.9.5b) and 6.6.6.11.5. The drop, topple and righting test shall be conducted using a fine powder [of similar particle size to that to be transported].</w:t>
      </w:r>
    </w:p>
    <w:p w14:paraId="3D1597F6"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The German experts also commented that maybe an additional marking BX should be required on the FIBC as part of the certification code?</w:t>
      </w:r>
    </w:p>
    <w:p w14:paraId="00737D01"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US experts noted that SPPs were normally used as restrictions on packaging which was otherwise authorised under a Packing Instruction.</w:t>
      </w:r>
    </w:p>
    <w:p w14:paraId="698F5186"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Either way the purpose of proposing the SPP was to ensure use of only the specific FIBC’s that had been authorised as meeting PGI criteria, so they could confidently be considered safe.</w:t>
      </w:r>
    </w:p>
    <w:p w14:paraId="3A376A6E"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However, he asked if it might make more sense to use IBC07, then use an SPP to authorise the FIBC of the specific type in question?</w:t>
      </w:r>
    </w:p>
    <w:p w14:paraId="7AFAE0B7"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lastRenderedPageBreak/>
        <w:t>RPMASA reminded that FIBC08 which allows al types of FIBC’s was designated for UN3288 PGII &amp; PGII hence the proposal for IBC08 with proposed new SPP BX to specify only use of lined FIBC’s 13H3 or 4</w:t>
      </w:r>
    </w:p>
    <w:p w14:paraId="058BB5C2"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Netherlands expert stated that cobalt dihydroxide was not a “classical” toxic by inhalation (TIH) substance, thus was not sure based on precedent about classifying dusts and mists under Class 6.1.</w:t>
      </w:r>
    </w:p>
    <w:p w14:paraId="5BC88EE5"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They suggested that there were four options for specifying packaging:</w:t>
      </w:r>
    </w:p>
    <w:p w14:paraId="381EC29B" w14:textId="77777777"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IBC07 with inclusion of specific FIBC</w:t>
      </w:r>
    </w:p>
    <w:p w14:paraId="0F1C7EDE" w14:textId="77777777"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IBC08 with exclusion of all FIBC except the specific design</w:t>
      </w:r>
    </w:p>
    <w:p w14:paraId="533BB3DC" w14:textId="77777777"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IBC99 with inclusion of specific FIBC</w:t>
      </w:r>
    </w:p>
    <w:p w14:paraId="346FD504" w14:textId="77777777" w:rsidR="00941FFD" w:rsidRPr="00941FFD" w:rsidRDefault="00941FFD" w:rsidP="00090CBF">
      <w:pPr>
        <w:pStyle w:val="ListParagraph"/>
        <w:numPr>
          <w:ilvl w:val="2"/>
          <w:numId w:val="32"/>
        </w:numPr>
        <w:spacing w:before="100" w:after="100"/>
        <w:ind w:left="2694" w:right="567" w:hanging="426"/>
        <w:rPr>
          <w:sz w:val="20"/>
          <w:szCs w:val="20"/>
        </w:rPr>
      </w:pPr>
      <w:r w:rsidRPr="00941FFD">
        <w:rPr>
          <w:sz w:val="20"/>
          <w:szCs w:val="20"/>
        </w:rPr>
        <w:t>A new Packing Instruction specific to this substance – IBC10</w:t>
      </w:r>
    </w:p>
    <w:p w14:paraId="414BC8FA"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RPMASA reaffirmed that it was because of this difference in the case of cobalt dihydroxide that the US experts (Shane Kelly) had proposed considering wording in the Guiding Principles, so that the Sub-Committee would have some guidance as to how to address this unique type of case in the future.</w:t>
      </w:r>
    </w:p>
    <w:p w14:paraId="136A0673"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German expert suggested that the proposed entry would be the first time to introduce packaging via an SPP, though to do so would not go against the Guiding Principles and maybe something should be added to the Guiding Principles regarding this for future use.</w:t>
      </w:r>
    </w:p>
    <w:p w14:paraId="65862545"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Following the 4 proposed solutions, the US experts then proposed to apply IBC08, with an SPP excluding any FIBCs except the 13H3 and 13H4 in question.</w:t>
      </w:r>
    </w:p>
    <w:p w14:paraId="6650AA72"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Netherlands expert noted that the Model Regulations assigned some P number Packing Instructions for single UN numbers.</w:t>
      </w:r>
    </w:p>
    <w:p w14:paraId="3FA7C436"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US experts agreed that this could be an option, however there might well be other substances on the horizon that could be classified in Class 6.1 with PGI due to TIH by dusts.</w:t>
      </w:r>
    </w:p>
    <w:p w14:paraId="221F1B91"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Furthermore the use of a specific PI number was only to exclude the use of a packaging for other substances for which the packaging was not suitable, whereas these FIBCs were suitable for many solid substances with lower or no toxicity, therefore it was preferable to stick with IBC08 and an SPP to exclude other FIBCs.</w:t>
      </w:r>
    </w:p>
    <w:p w14:paraId="1E715C40"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Netherlands expert stated that they thought SP 354 should not be used, since this had previously only been used for TIH liquids and vapours, and if the precedent was set for assigning SP 354 to dusts then there may be the need to re-evaluate entries for lots of other substances!?</w:t>
      </w:r>
    </w:p>
    <w:p w14:paraId="7DECBD2B"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Canadian expert expressed the opinion that SP 354 was relevant to all substances classified under Class 6.1, including substances with toxic vapours as well as dusts and mists.</w:t>
      </w:r>
    </w:p>
    <w:p w14:paraId="7E22041E"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Netherlands expert then proposed to include SP 354 in square brackets, to initiate further discussion by the Sub-Committee.</w:t>
      </w:r>
    </w:p>
    <w:p w14:paraId="7A04E982"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RPMASA noted that SP 274, as used for UN 3288, was related to N.O.S. entries so would not be included.</w:t>
      </w:r>
    </w:p>
    <w:p w14:paraId="297F0EBF" w14:textId="77777777" w:rsidR="00941FFD" w:rsidRPr="00CB0187" w:rsidRDefault="00941FFD" w:rsidP="00090CBF">
      <w:pPr>
        <w:pStyle w:val="ListParagraph"/>
        <w:numPr>
          <w:ilvl w:val="0"/>
          <w:numId w:val="32"/>
        </w:numPr>
        <w:spacing w:before="100" w:after="100"/>
        <w:ind w:left="1701" w:right="567" w:hanging="567"/>
        <w:rPr>
          <w:sz w:val="20"/>
          <w:szCs w:val="20"/>
        </w:rPr>
      </w:pPr>
      <w:r w:rsidRPr="00CB0187">
        <w:rPr>
          <w:sz w:val="20"/>
          <w:szCs w:val="20"/>
        </w:rPr>
        <w:t xml:space="preserve">The Netherlands expert suggested that it was necessary to check </w:t>
      </w:r>
      <w:r w:rsidRPr="00CB0187">
        <w:rPr>
          <w:i/>
          <w:iCs/>
          <w:sz w:val="20"/>
          <w:szCs w:val="20"/>
        </w:rPr>
        <w:t>the rationale for including SP 223 in UN 3288 and other PG III entries</w:t>
      </w:r>
      <w:r w:rsidRPr="00CB0187">
        <w:rPr>
          <w:sz w:val="20"/>
          <w:szCs w:val="20"/>
        </w:rPr>
        <w:t>, since it should be self-evident that substances not meeting the classification criteria did not need to be transported as Dangerous Goods. ??</w:t>
      </w:r>
    </w:p>
    <w:p w14:paraId="0A658C3B"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RPMASA proposed that SPP B2 and B4 should be assigned to PG I in addition to BX – Australia had requested to include requirement for use of closed cargo units.</w:t>
      </w:r>
    </w:p>
    <w:p w14:paraId="74C17AEA"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Canadian expert proposed that SPP B2 and B4 should be assigned to PG II and B3 should be assigned to PG III as for UN 3288.</w:t>
      </w:r>
    </w:p>
    <w:p w14:paraId="3D9547C9"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RPMASA proposed using 0 for Limited and E0 for Excepted quantities for PG I, and would include the same LQ &amp; EQ values for PG II and III as for UN 3288.</w:t>
      </w:r>
    </w:p>
    <w:p w14:paraId="22EFCFB3"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US experts recommended including in the preamble an indication of the purpose of the PG II and III entries (such as future-proofing), since there was currently no evidence for cobalt dihydroxide materials that were classifiable in PG II or III.</w:t>
      </w:r>
    </w:p>
    <w:p w14:paraId="64FFCC29"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lastRenderedPageBreak/>
        <w:t>CI stressed that pure respirable cobalt dihydroxide would always be classifiable in PG I, as the Institute did not condone animal testing on every individual respirable consignment, and non-respirable materials were not classifiable under Class 6.1 at all.</w:t>
      </w:r>
    </w:p>
    <w:p w14:paraId="44481B55" w14:textId="77777777" w:rsidR="00941FFD" w:rsidRPr="00941FFD" w:rsidRDefault="00941FFD" w:rsidP="00090CBF">
      <w:pPr>
        <w:pStyle w:val="ListParagraph"/>
        <w:numPr>
          <w:ilvl w:val="1"/>
          <w:numId w:val="32"/>
        </w:numPr>
        <w:spacing w:before="100" w:after="100"/>
        <w:ind w:left="2268" w:right="567" w:hanging="567"/>
        <w:rPr>
          <w:sz w:val="20"/>
          <w:szCs w:val="20"/>
        </w:rPr>
      </w:pPr>
      <w:r w:rsidRPr="00941FFD">
        <w:rPr>
          <w:sz w:val="20"/>
          <w:szCs w:val="20"/>
        </w:rPr>
        <w:t>However respirable mixtures containing cobalt dihydroxide might be tested and classified into PG II or III and assigned under UN 35XX based on the Chapter 2.0.2.5Model Regulations.</w:t>
      </w:r>
    </w:p>
    <w:p w14:paraId="1D4D6EF0" w14:textId="77777777" w:rsidR="00941FFD" w:rsidRPr="00941FFD" w:rsidRDefault="00941FFD" w:rsidP="00090CBF">
      <w:pPr>
        <w:pStyle w:val="ListParagraph"/>
        <w:numPr>
          <w:ilvl w:val="0"/>
          <w:numId w:val="32"/>
        </w:numPr>
        <w:spacing w:before="100" w:after="100"/>
        <w:ind w:left="1701" w:right="567" w:hanging="567"/>
        <w:rPr>
          <w:i/>
          <w:iCs/>
          <w:sz w:val="20"/>
          <w:szCs w:val="20"/>
        </w:rPr>
      </w:pPr>
      <w:r w:rsidRPr="00941FFD">
        <w:rPr>
          <w:sz w:val="20"/>
          <w:szCs w:val="20"/>
        </w:rPr>
        <w:t xml:space="preserve">The German expert proposed to put back the reference to Model Regulations section 6.5 in the wording of the SPP. </w:t>
      </w:r>
      <w:r w:rsidRPr="00941FFD">
        <w:rPr>
          <w:i/>
          <w:iCs/>
          <w:sz w:val="20"/>
          <w:szCs w:val="20"/>
        </w:rPr>
        <w:t>Done see revised BX</w:t>
      </w:r>
    </w:p>
    <w:p w14:paraId="3EA5A59C"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The US expert noted that section 6.5 allowed a “slight discharge” in the drop and topple tests, and the wording of the SPP was designed to disallow any identifiable discharge.</w:t>
      </w:r>
    </w:p>
    <w:p w14:paraId="73CF22E4" w14:textId="3F80EC2C" w:rsidR="00941FFD" w:rsidRPr="00941FFD" w:rsidRDefault="00941FFD" w:rsidP="00090CBF">
      <w:pPr>
        <w:pStyle w:val="H1G"/>
        <w:spacing w:before="100" w:after="100" w:line="240" w:lineRule="auto"/>
      </w:pPr>
      <w:r>
        <w:tab/>
      </w:r>
      <w:r>
        <w:tab/>
      </w:r>
      <w:r w:rsidRPr="00941FFD">
        <w:t>Actions</w:t>
      </w:r>
    </w:p>
    <w:p w14:paraId="6C7A8122"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 xml:space="preserve">RPMASA would circulate an amended table to all for comments the next day, followed by notes of the discussions to circulate at the weekend. </w:t>
      </w:r>
    </w:p>
    <w:p w14:paraId="32B8DC61"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CI to follow up with Industry Members regarding composition and Classification of mixtures, and consider appropriate wording to indicate purpose of PGII and PGIII for mixtures as per US expert request</w:t>
      </w:r>
    </w:p>
    <w:p w14:paraId="78EB45C8" w14:textId="77777777" w:rsidR="00941FFD" w:rsidRPr="00941FFD" w:rsidRDefault="00941FFD" w:rsidP="00090CBF">
      <w:pPr>
        <w:pStyle w:val="ListParagraph"/>
        <w:numPr>
          <w:ilvl w:val="0"/>
          <w:numId w:val="32"/>
        </w:numPr>
        <w:spacing w:before="100" w:after="100"/>
        <w:ind w:left="1701" w:right="567" w:hanging="567"/>
        <w:rPr>
          <w:sz w:val="20"/>
          <w:szCs w:val="20"/>
        </w:rPr>
      </w:pPr>
      <w:r w:rsidRPr="00941FFD">
        <w:rPr>
          <w:sz w:val="20"/>
          <w:szCs w:val="20"/>
        </w:rPr>
        <w:t>Comments were requested from all by Thursday 12th in order to update the draft Working Document and circulate for final comments prior to submission to the Secretariat before 1 April deadline.</w:t>
      </w:r>
    </w:p>
    <w:tbl>
      <w:tblPr>
        <w:tblW w:w="0" w:type="auto"/>
        <w:tblCellMar>
          <w:left w:w="0" w:type="dxa"/>
          <w:right w:w="0" w:type="dxa"/>
        </w:tblCellMar>
        <w:tblLook w:val="04A0" w:firstRow="1" w:lastRow="0" w:firstColumn="1" w:lastColumn="0" w:noHBand="0" w:noVBand="1"/>
      </w:tblPr>
      <w:tblGrid>
        <w:gridCol w:w="498"/>
        <w:gridCol w:w="1897"/>
        <w:gridCol w:w="621"/>
        <w:gridCol w:w="544"/>
        <w:gridCol w:w="631"/>
        <w:gridCol w:w="879"/>
        <w:gridCol w:w="380"/>
        <w:gridCol w:w="438"/>
        <w:gridCol w:w="907"/>
        <w:gridCol w:w="1034"/>
        <w:gridCol w:w="951"/>
        <w:gridCol w:w="839"/>
      </w:tblGrid>
      <w:tr w:rsidR="00941FFD" w14:paraId="2C1A8981" w14:textId="77777777" w:rsidTr="00941FFD">
        <w:trPr>
          <w:trHeight w:val="195"/>
        </w:trPr>
        <w:tc>
          <w:tcPr>
            <w:tcW w:w="498" w:type="dxa"/>
            <w:vMerge w:val="restart"/>
            <w:tcBorders>
              <w:top w:val="single" w:sz="8" w:space="0" w:color="auto"/>
              <w:left w:val="single" w:sz="8" w:space="0" w:color="auto"/>
              <w:bottom w:val="single" w:sz="8" w:space="0" w:color="auto"/>
              <w:right w:val="single" w:sz="8" w:space="0" w:color="auto"/>
            </w:tcBorders>
          </w:tcPr>
          <w:p w14:paraId="79C81D48" w14:textId="77777777" w:rsidR="00941FFD" w:rsidRDefault="00941FFD" w:rsidP="00090CBF">
            <w:pPr>
              <w:jc w:val="center"/>
              <w:rPr>
                <w:b/>
                <w:bCs/>
                <w:sz w:val="18"/>
                <w:szCs w:val="18"/>
                <w:lang w:eastAsia="zh-CN"/>
              </w:rPr>
            </w:pPr>
          </w:p>
          <w:p w14:paraId="0D184DAB" w14:textId="77777777" w:rsidR="00941FFD" w:rsidRDefault="00941FFD" w:rsidP="00090CBF">
            <w:pPr>
              <w:jc w:val="center"/>
              <w:rPr>
                <w:b/>
                <w:bCs/>
                <w:sz w:val="18"/>
                <w:szCs w:val="18"/>
                <w:lang w:eastAsia="zh-CN"/>
              </w:rPr>
            </w:pPr>
          </w:p>
        </w:tc>
        <w:tc>
          <w:tcPr>
            <w:tcW w:w="1897" w:type="dxa"/>
            <w:vMerge w:val="restart"/>
            <w:tcBorders>
              <w:top w:val="single" w:sz="8" w:space="0" w:color="auto"/>
              <w:left w:val="nil"/>
              <w:bottom w:val="single" w:sz="8" w:space="0" w:color="auto"/>
              <w:right w:val="single" w:sz="8" w:space="0" w:color="auto"/>
            </w:tcBorders>
            <w:hideMark/>
          </w:tcPr>
          <w:p w14:paraId="78684BFF" w14:textId="77777777" w:rsidR="00941FFD" w:rsidRDefault="00941FFD" w:rsidP="00090CBF">
            <w:pPr>
              <w:jc w:val="center"/>
              <w:rPr>
                <w:b/>
                <w:bCs/>
                <w:sz w:val="18"/>
                <w:szCs w:val="18"/>
                <w:lang w:eastAsia="zh-CN"/>
              </w:rPr>
            </w:pPr>
            <w:r>
              <w:rPr>
                <w:b/>
                <w:bCs/>
                <w:sz w:val="18"/>
                <w:szCs w:val="18"/>
                <w:lang w:eastAsia="zh-CN"/>
              </w:rPr>
              <w:t>Name and description</w:t>
            </w:r>
          </w:p>
        </w:tc>
        <w:tc>
          <w:tcPr>
            <w:tcW w:w="621" w:type="dxa"/>
            <w:vMerge w:val="restart"/>
            <w:tcBorders>
              <w:top w:val="single" w:sz="8" w:space="0" w:color="auto"/>
              <w:left w:val="nil"/>
              <w:bottom w:val="single" w:sz="8" w:space="0" w:color="auto"/>
              <w:right w:val="single" w:sz="8" w:space="0" w:color="auto"/>
            </w:tcBorders>
            <w:hideMark/>
          </w:tcPr>
          <w:p w14:paraId="54385C4A" w14:textId="77777777" w:rsidR="00941FFD" w:rsidRDefault="00941FFD" w:rsidP="00090CBF">
            <w:pPr>
              <w:jc w:val="center"/>
              <w:rPr>
                <w:b/>
                <w:bCs/>
                <w:sz w:val="18"/>
                <w:szCs w:val="18"/>
                <w:lang w:eastAsia="zh-CN"/>
              </w:rPr>
            </w:pPr>
            <w:r>
              <w:rPr>
                <w:b/>
                <w:bCs/>
                <w:sz w:val="18"/>
                <w:szCs w:val="18"/>
                <w:lang w:eastAsia="zh-CN"/>
              </w:rPr>
              <w:t>Class</w:t>
            </w:r>
          </w:p>
          <w:p w14:paraId="11395708" w14:textId="77777777" w:rsidR="00941FFD" w:rsidRDefault="00941FFD" w:rsidP="00090CBF">
            <w:pPr>
              <w:jc w:val="center"/>
              <w:rPr>
                <w:b/>
                <w:bCs/>
                <w:sz w:val="18"/>
                <w:szCs w:val="18"/>
                <w:lang w:eastAsia="zh-CN"/>
              </w:rPr>
            </w:pPr>
            <w:r>
              <w:rPr>
                <w:b/>
                <w:bCs/>
                <w:sz w:val="18"/>
                <w:szCs w:val="18"/>
                <w:lang w:eastAsia="zh-CN"/>
              </w:rPr>
              <w:t>or division</w:t>
            </w:r>
          </w:p>
        </w:tc>
        <w:tc>
          <w:tcPr>
            <w:tcW w:w="544" w:type="dxa"/>
            <w:vMerge w:val="restart"/>
            <w:tcBorders>
              <w:top w:val="single" w:sz="8" w:space="0" w:color="auto"/>
              <w:left w:val="nil"/>
              <w:bottom w:val="single" w:sz="8" w:space="0" w:color="auto"/>
              <w:right w:val="single" w:sz="8" w:space="0" w:color="auto"/>
            </w:tcBorders>
            <w:hideMark/>
          </w:tcPr>
          <w:p w14:paraId="5FCC80B5" w14:textId="77777777" w:rsidR="00941FFD" w:rsidRDefault="00941FFD" w:rsidP="00090CBF">
            <w:pPr>
              <w:jc w:val="center"/>
              <w:rPr>
                <w:b/>
                <w:bCs/>
                <w:sz w:val="18"/>
                <w:szCs w:val="18"/>
                <w:lang w:eastAsia="zh-CN"/>
              </w:rPr>
            </w:pPr>
            <w:r>
              <w:rPr>
                <w:b/>
                <w:bCs/>
                <w:sz w:val="18"/>
                <w:szCs w:val="18"/>
                <w:lang w:eastAsia="zh-CN"/>
              </w:rPr>
              <w:t>Subsi-diary risk</w:t>
            </w:r>
          </w:p>
        </w:tc>
        <w:tc>
          <w:tcPr>
            <w:tcW w:w="631" w:type="dxa"/>
            <w:vMerge w:val="restart"/>
            <w:tcBorders>
              <w:top w:val="single" w:sz="8" w:space="0" w:color="auto"/>
              <w:left w:val="nil"/>
              <w:bottom w:val="single" w:sz="8" w:space="0" w:color="auto"/>
              <w:right w:val="single" w:sz="8" w:space="0" w:color="auto"/>
            </w:tcBorders>
            <w:hideMark/>
          </w:tcPr>
          <w:p w14:paraId="43727F70" w14:textId="77777777" w:rsidR="00941FFD" w:rsidRDefault="00941FFD" w:rsidP="00090CBF">
            <w:pPr>
              <w:jc w:val="center"/>
              <w:rPr>
                <w:b/>
                <w:bCs/>
                <w:sz w:val="18"/>
                <w:szCs w:val="18"/>
                <w:lang w:eastAsia="zh-CN"/>
              </w:rPr>
            </w:pPr>
            <w:r>
              <w:rPr>
                <w:b/>
                <w:bCs/>
                <w:sz w:val="18"/>
                <w:szCs w:val="18"/>
                <w:lang w:eastAsia="zh-CN"/>
              </w:rPr>
              <w:t>UN packing group</w:t>
            </w:r>
          </w:p>
        </w:tc>
        <w:tc>
          <w:tcPr>
            <w:tcW w:w="879" w:type="dxa"/>
            <w:vMerge w:val="restart"/>
            <w:tcBorders>
              <w:top w:val="single" w:sz="8" w:space="0" w:color="auto"/>
              <w:left w:val="nil"/>
              <w:bottom w:val="single" w:sz="8" w:space="0" w:color="auto"/>
              <w:right w:val="single" w:sz="8" w:space="0" w:color="auto"/>
            </w:tcBorders>
            <w:hideMark/>
          </w:tcPr>
          <w:p w14:paraId="1A8FC3CE" w14:textId="77777777" w:rsidR="00941FFD" w:rsidRDefault="00941FFD" w:rsidP="00090CBF">
            <w:pPr>
              <w:jc w:val="center"/>
              <w:rPr>
                <w:b/>
                <w:bCs/>
                <w:sz w:val="18"/>
                <w:szCs w:val="18"/>
                <w:lang w:eastAsia="zh-CN"/>
              </w:rPr>
            </w:pPr>
            <w:r>
              <w:rPr>
                <w:b/>
                <w:bCs/>
                <w:sz w:val="18"/>
                <w:szCs w:val="18"/>
                <w:lang w:eastAsia="zh-CN"/>
              </w:rPr>
              <w:t>Special provisions</w:t>
            </w:r>
          </w:p>
        </w:tc>
        <w:tc>
          <w:tcPr>
            <w:tcW w:w="818" w:type="dxa"/>
            <w:gridSpan w:val="2"/>
            <w:vMerge w:val="restart"/>
            <w:tcBorders>
              <w:top w:val="single" w:sz="8" w:space="0" w:color="auto"/>
              <w:left w:val="nil"/>
              <w:bottom w:val="single" w:sz="8" w:space="0" w:color="auto"/>
              <w:right w:val="single" w:sz="8" w:space="0" w:color="auto"/>
            </w:tcBorders>
            <w:hideMark/>
          </w:tcPr>
          <w:p w14:paraId="185780B1" w14:textId="77777777" w:rsidR="00941FFD" w:rsidRDefault="00941FFD" w:rsidP="00090CBF">
            <w:pPr>
              <w:jc w:val="center"/>
              <w:rPr>
                <w:b/>
                <w:bCs/>
                <w:sz w:val="18"/>
                <w:szCs w:val="18"/>
                <w:lang w:eastAsia="zh-CN"/>
              </w:rPr>
            </w:pPr>
            <w:r>
              <w:rPr>
                <w:b/>
                <w:bCs/>
                <w:sz w:val="18"/>
                <w:szCs w:val="18"/>
                <w:lang w:eastAsia="zh-CN"/>
              </w:rPr>
              <w:t>Limited &amp; excepted quantities</w:t>
            </w:r>
          </w:p>
        </w:tc>
        <w:tc>
          <w:tcPr>
            <w:tcW w:w="1941" w:type="dxa"/>
            <w:gridSpan w:val="2"/>
            <w:tcBorders>
              <w:top w:val="single" w:sz="8" w:space="0" w:color="auto"/>
              <w:left w:val="nil"/>
              <w:bottom w:val="single" w:sz="8" w:space="0" w:color="auto"/>
              <w:right w:val="single" w:sz="8" w:space="0" w:color="auto"/>
            </w:tcBorders>
            <w:hideMark/>
          </w:tcPr>
          <w:p w14:paraId="6FF0CB62" w14:textId="77777777" w:rsidR="00941FFD" w:rsidRDefault="00941FFD" w:rsidP="00090CBF">
            <w:pPr>
              <w:jc w:val="center"/>
              <w:rPr>
                <w:b/>
                <w:bCs/>
                <w:sz w:val="18"/>
                <w:szCs w:val="18"/>
                <w:lang w:eastAsia="zh-CN"/>
              </w:rPr>
            </w:pPr>
            <w:r>
              <w:rPr>
                <w:b/>
                <w:bCs/>
                <w:sz w:val="18"/>
                <w:szCs w:val="18"/>
                <w:lang w:eastAsia="zh-CN"/>
              </w:rPr>
              <w:t>Packagings and IBCs</w:t>
            </w:r>
          </w:p>
        </w:tc>
        <w:tc>
          <w:tcPr>
            <w:tcW w:w="1790" w:type="dxa"/>
            <w:gridSpan w:val="2"/>
            <w:tcBorders>
              <w:top w:val="single" w:sz="8" w:space="0" w:color="auto"/>
              <w:left w:val="nil"/>
              <w:bottom w:val="single" w:sz="8" w:space="0" w:color="auto"/>
              <w:right w:val="single" w:sz="8" w:space="0" w:color="auto"/>
            </w:tcBorders>
            <w:hideMark/>
          </w:tcPr>
          <w:p w14:paraId="03B75A94" w14:textId="3191E7C2" w:rsidR="00941FFD" w:rsidRDefault="00941FFD" w:rsidP="00090CBF">
            <w:pPr>
              <w:jc w:val="center"/>
              <w:rPr>
                <w:b/>
                <w:bCs/>
                <w:sz w:val="18"/>
                <w:szCs w:val="18"/>
                <w:lang w:eastAsia="zh-CN"/>
              </w:rPr>
            </w:pPr>
            <w:r>
              <w:rPr>
                <w:b/>
                <w:bCs/>
                <w:sz w:val="18"/>
                <w:szCs w:val="18"/>
                <w:lang w:eastAsia="zh-CN"/>
              </w:rPr>
              <w:t>Portable tanks and bulk containers</w:t>
            </w:r>
          </w:p>
        </w:tc>
      </w:tr>
      <w:tr w:rsidR="00941FFD" w14:paraId="0C64B9E7" w14:textId="77777777" w:rsidTr="00941FFD">
        <w:trPr>
          <w:trHeight w:val="19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119D403" w14:textId="77777777" w:rsidR="00941FFD" w:rsidRDefault="00941FFD" w:rsidP="00090CBF">
            <w:pPr>
              <w:jc w:val="center"/>
              <w:rPr>
                <w:b/>
                <w:bCs/>
                <w:sz w:val="18"/>
                <w:szCs w:val="18"/>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26E728C5" w14:textId="77777777" w:rsidR="00941FFD" w:rsidRDefault="00941FFD" w:rsidP="00090CBF">
            <w:pPr>
              <w:jc w:val="center"/>
              <w:rPr>
                <w:b/>
                <w:bCs/>
                <w:sz w:val="18"/>
                <w:szCs w:val="18"/>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0D13D174" w14:textId="77777777" w:rsidR="00941FFD" w:rsidRDefault="00941FFD" w:rsidP="00090CBF">
            <w:pPr>
              <w:jc w:val="center"/>
              <w:rPr>
                <w:b/>
                <w:bCs/>
                <w:sz w:val="18"/>
                <w:szCs w:val="18"/>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4C571858" w14:textId="77777777" w:rsidR="00941FFD" w:rsidRDefault="00941FFD" w:rsidP="00090CBF">
            <w:pPr>
              <w:jc w:val="center"/>
              <w:rPr>
                <w:b/>
                <w:bCs/>
                <w:sz w:val="18"/>
                <w:szCs w:val="18"/>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444DD391" w14:textId="77777777" w:rsidR="00941FFD" w:rsidRDefault="00941FFD" w:rsidP="00090CBF">
            <w:pPr>
              <w:jc w:val="center"/>
              <w:rPr>
                <w:b/>
                <w:bCs/>
                <w:sz w:val="18"/>
                <w:szCs w:val="18"/>
                <w:lang w:eastAsia="zh-CN"/>
              </w:rPr>
            </w:pPr>
          </w:p>
        </w:tc>
        <w:tc>
          <w:tcPr>
            <w:tcW w:w="0" w:type="auto"/>
            <w:vMerge/>
            <w:tcBorders>
              <w:top w:val="single" w:sz="8" w:space="0" w:color="auto"/>
              <w:left w:val="nil"/>
              <w:bottom w:val="single" w:sz="8" w:space="0" w:color="auto"/>
              <w:right w:val="single" w:sz="8" w:space="0" w:color="auto"/>
            </w:tcBorders>
            <w:vAlign w:val="center"/>
            <w:hideMark/>
          </w:tcPr>
          <w:p w14:paraId="78BA3538" w14:textId="77777777" w:rsidR="00941FFD" w:rsidRDefault="00941FFD" w:rsidP="00090CBF">
            <w:pPr>
              <w:jc w:val="center"/>
              <w:rPr>
                <w:b/>
                <w:bCs/>
                <w:sz w:val="18"/>
                <w:szCs w:val="18"/>
                <w:lang w:eastAsia="zh-CN"/>
              </w:rPr>
            </w:pPr>
          </w:p>
        </w:tc>
        <w:tc>
          <w:tcPr>
            <w:tcW w:w="0" w:type="auto"/>
            <w:gridSpan w:val="2"/>
            <w:vMerge/>
            <w:tcBorders>
              <w:top w:val="single" w:sz="8" w:space="0" w:color="auto"/>
              <w:left w:val="nil"/>
              <w:bottom w:val="single" w:sz="8" w:space="0" w:color="auto"/>
              <w:right w:val="single" w:sz="8" w:space="0" w:color="auto"/>
            </w:tcBorders>
            <w:vAlign w:val="center"/>
            <w:hideMark/>
          </w:tcPr>
          <w:p w14:paraId="1A98937E" w14:textId="77777777" w:rsidR="00941FFD" w:rsidRDefault="00941FFD" w:rsidP="00090CBF">
            <w:pPr>
              <w:jc w:val="center"/>
              <w:rPr>
                <w:b/>
                <w:bCs/>
                <w:sz w:val="18"/>
                <w:szCs w:val="18"/>
                <w:lang w:eastAsia="zh-CN"/>
              </w:rPr>
            </w:pPr>
          </w:p>
        </w:tc>
        <w:tc>
          <w:tcPr>
            <w:tcW w:w="907" w:type="dxa"/>
            <w:tcBorders>
              <w:top w:val="nil"/>
              <w:left w:val="nil"/>
              <w:bottom w:val="single" w:sz="8" w:space="0" w:color="auto"/>
              <w:right w:val="single" w:sz="8" w:space="0" w:color="auto"/>
            </w:tcBorders>
            <w:hideMark/>
          </w:tcPr>
          <w:p w14:paraId="6A5EFCD9" w14:textId="77777777" w:rsidR="00941FFD" w:rsidRDefault="00941FFD" w:rsidP="00090CBF">
            <w:pPr>
              <w:jc w:val="center"/>
              <w:rPr>
                <w:b/>
                <w:bCs/>
                <w:sz w:val="18"/>
                <w:szCs w:val="18"/>
                <w:lang w:eastAsia="zh-CN"/>
              </w:rPr>
            </w:pPr>
            <w:r>
              <w:rPr>
                <w:b/>
                <w:bCs/>
                <w:sz w:val="18"/>
                <w:szCs w:val="18"/>
                <w:lang w:eastAsia="zh-CN"/>
              </w:rPr>
              <w:t>Packing instruction</w:t>
            </w:r>
          </w:p>
        </w:tc>
        <w:tc>
          <w:tcPr>
            <w:tcW w:w="1034" w:type="dxa"/>
            <w:tcBorders>
              <w:top w:val="nil"/>
              <w:left w:val="nil"/>
              <w:bottom w:val="single" w:sz="8" w:space="0" w:color="auto"/>
              <w:right w:val="single" w:sz="8" w:space="0" w:color="auto"/>
            </w:tcBorders>
            <w:hideMark/>
          </w:tcPr>
          <w:p w14:paraId="5916F3E3" w14:textId="77777777" w:rsidR="00941FFD" w:rsidRDefault="00941FFD" w:rsidP="00090CBF">
            <w:pPr>
              <w:jc w:val="center"/>
              <w:rPr>
                <w:b/>
                <w:bCs/>
                <w:sz w:val="18"/>
                <w:szCs w:val="18"/>
                <w:lang w:eastAsia="zh-CN"/>
              </w:rPr>
            </w:pPr>
            <w:r>
              <w:rPr>
                <w:b/>
                <w:bCs/>
                <w:sz w:val="18"/>
                <w:szCs w:val="18"/>
                <w:lang w:eastAsia="zh-CN"/>
              </w:rPr>
              <w:t>Special packing provisions</w:t>
            </w:r>
          </w:p>
        </w:tc>
        <w:tc>
          <w:tcPr>
            <w:tcW w:w="951" w:type="dxa"/>
            <w:tcBorders>
              <w:top w:val="nil"/>
              <w:left w:val="nil"/>
              <w:bottom w:val="single" w:sz="8" w:space="0" w:color="auto"/>
              <w:right w:val="single" w:sz="8" w:space="0" w:color="auto"/>
            </w:tcBorders>
            <w:hideMark/>
          </w:tcPr>
          <w:p w14:paraId="60972A3F" w14:textId="77777777" w:rsidR="00941FFD" w:rsidRDefault="00941FFD" w:rsidP="00090CBF">
            <w:pPr>
              <w:jc w:val="center"/>
              <w:rPr>
                <w:b/>
                <w:bCs/>
                <w:sz w:val="18"/>
                <w:szCs w:val="18"/>
                <w:lang w:eastAsia="zh-CN"/>
              </w:rPr>
            </w:pPr>
            <w:r>
              <w:rPr>
                <w:b/>
                <w:bCs/>
                <w:sz w:val="18"/>
                <w:szCs w:val="18"/>
                <w:lang w:eastAsia="zh-CN"/>
              </w:rPr>
              <w:t>Instructions</w:t>
            </w:r>
          </w:p>
        </w:tc>
        <w:tc>
          <w:tcPr>
            <w:tcW w:w="839" w:type="dxa"/>
            <w:tcBorders>
              <w:top w:val="nil"/>
              <w:left w:val="nil"/>
              <w:bottom w:val="single" w:sz="8" w:space="0" w:color="auto"/>
              <w:right w:val="single" w:sz="8" w:space="0" w:color="auto"/>
            </w:tcBorders>
            <w:hideMark/>
          </w:tcPr>
          <w:p w14:paraId="223CAA79" w14:textId="77777777" w:rsidR="00941FFD" w:rsidRDefault="00941FFD" w:rsidP="00090CBF">
            <w:pPr>
              <w:jc w:val="center"/>
              <w:rPr>
                <w:b/>
                <w:bCs/>
                <w:sz w:val="18"/>
                <w:szCs w:val="18"/>
                <w:lang w:eastAsia="zh-CN"/>
              </w:rPr>
            </w:pPr>
            <w:r>
              <w:rPr>
                <w:b/>
                <w:bCs/>
                <w:sz w:val="18"/>
                <w:szCs w:val="18"/>
                <w:lang w:eastAsia="zh-CN"/>
              </w:rPr>
              <w:t>Special provisions</w:t>
            </w:r>
          </w:p>
        </w:tc>
      </w:tr>
      <w:tr w:rsidR="00941FFD" w14:paraId="0C85BA13" w14:textId="77777777" w:rsidTr="00941FFD">
        <w:tc>
          <w:tcPr>
            <w:tcW w:w="498" w:type="dxa"/>
            <w:tcBorders>
              <w:top w:val="nil"/>
              <w:left w:val="single" w:sz="8" w:space="0" w:color="auto"/>
              <w:bottom w:val="single" w:sz="8" w:space="0" w:color="auto"/>
              <w:right w:val="single" w:sz="8" w:space="0" w:color="auto"/>
            </w:tcBorders>
            <w:hideMark/>
          </w:tcPr>
          <w:p w14:paraId="0F3C9382" w14:textId="77777777" w:rsidR="00941FFD" w:rsidRDefault="00941FFD">
            <w:pPr>
              <w:jc w:val="both"/>
              <w:rPr>
                <w:sz w:val="18"/>
                <w:szCs w:val="18"/>
                <w:lang w:eastAsia="zh-CN"/>
              </w:rPr>
            </w:pPr>
            <w:r>
              <w:rPr>
                <w:sz w:val="18"/>
                <w:szCs w:val="18"/>
                <w:lang w:eastAsia="zh-CN"/>
              </w:rPr>
              <w:t>35XX</w:t>
            </w:r>
          </w:p>
        </w:tc>
        <w:tc>
          <w:tcPr>
            <w:tcW w:w="1897" w:type="dxa"/>
            <w:tcBorders>
              <w:top w:val="nil"/>
              <w:left w:val="nil"/>
              <w:bottom w:val="single" w:sz="8" w:space="0" w:color="auto"/>
              <w:right w:val="single" w:sz="8" w:space="0" w:color="auto"/>
            </w:tcBorders>
            <w:hideMark/>
          </w:tcPr>
          <w:p w14:paraId="21F3ABBC" w14:textId="77777777" w:rsidR="00941FFD" w:rsidRDefault="00941FFD">
            <w:pPr>
              <w:rPr>
                <w:lang w:eastAsia="zh-CN"/>
              </w:rPr>
            </w:pPr>
            <w:r>
              <w:rPr>
                <w:lang w:eastAsia="zh-CN"/>
              </w:rPr>
              <w:t>COBALT DIHYDROXIDE POWDER, [containing &gt; than 10% respirable particles]</w:t>
            </w:r>
          </w:p>
        </w:tc>
        <w:tc>
          <w:tcPr>
            <w:tcW w:w="621" w:type="dxa"/>
            <w:tcBorders>
              <w:top w:val="nil"/>
              <w:left w:val="nil"/>
              <w:bottom w:val="single" w:sz="8" w:space="0" w:color="auto"/>
              <w:right w:val="single" w:sz="8" w:space="0" w:color="auto"/>
            </w:tcBorders>
            <w:hideMark/>
          </w:tcPr>
          <w:p w14:paraId="1C10060B" w14:textId="77777777" w:rsidR="00941FFD" w:rsidRDefault="00941FFD">
            <w:pPr>
              <w:jc w:val="center"/>
              <w:rPr>
                <w:sz w:val="18"/>
                <w:szCs w:val="18"/>
                <w:lang w:eastAsia="zh-CN"/>
              </w:rPr>
            </w:pPr>
            <w:r>
              <w:rPr>
                <w:sz w:val="18"/>
                <w:szCs w:val="18"/>
                <w:lang w:eastAsia="zh-CN"/>
              </w:rPr>
              <w:t>6.1</w:t>
            </w:r>
          </w:p>
        </w:tc>
        <w:tc>
          <w:tcPr>
            <w:tcW w:w="544" w:type="dxa"/>
            <w:tcBorders>
              <w:top w:val="nil"/>
              <w:left w:val="nil"/>
              <w:bottom w:val="single" w:sz="8" w:space="0" w:color="auto"/>
              <w:right w:val="single" w:sz="8" w:space="0" w:color="auto"/>
            </w:tcBorders>
          </w:tcPr>
          <w:p w14:paraId="2DC4970F" w14:textId="77777777" w:rsidR="00941FFD" w:rsidRDefault="00941FFD">
            <w:pPr>
              <w:jc w:val="center"/>
              <w:rPr>
                <w:sz w:val="18"/>
                <w:szCs w:val="18"/>
                <w:highlight w:val="yellow"/>
                <w:lang w:eastAsia="zh-CN"/>
              </w:rPr>
            </w:pPr>
          </w:p>
        </w:tc>
        <w:tc>
          <w:tcPr>
            <w:tcW w:w="631" w:type="dxa"/>
            <w:tcBorders>
              <w:top w:val="nil"/>
              <w:left w:val="nil"/>
              <w:bottom w:val="single" w:sz="8" w:space="0" w:color="auto"/>
              <w:right w:val="single" w:sz="8" w:space="0" w:color="auto"/>
            </w:tcBorders>
            <w:hideMark/>
          </w:tcPr>
          <w:p w14:paraId="69E3E3BA" w14:textId="77777777" w:rsidR="00941FFD" w:rsidRDefault="00941FFD">
            <w:pPr>
              <w:jc w:val="center"/>
              <w:rPr>
                <w:sz w:val="18"/>
                <w:szCs w:val="18"/>
                <w:highlight w:val="yellow"/>
                <w:lang w:eastAsia="zh-CN"/>
              </w:rPr>
            </w:pPr>
            <w:r>
              <w:rPr>
                <w:sz w:val="18"/>
                <w:szCs w:val="18"/>
                <w:lang w:eastAsia="zh-CN"/>
              </w:rPr>
              <w:t>I</w:t>
            </w:r>
          </w:p>
        </w:tc>
        <w:tc>
          <w:tcPr>
            <w:tcW w:w="879" w:type="dxa"/>
            <w:tcBorders>
              <w:top w:val="nil"/>
              <w:left w:val="nil"/>
              <w:bottom w:val="single" w:sz="8" w:space="0" w:color="auto"/>
              <w:right w:val="single" w:sz="8" w:space="0" w:color="auto"/>
            </w:tcBorders>
            <w:hideMark/>
          </w:tcPr>
          <w:p w14:paraId="66A44922" w14:textId="77777777" w:rsidR="00941FFD" w:rsidRDefault="00941FFD">
            <w:pPr>
              <w:rPr>
                <w:sz w:val="18"/>
                <w:szCs w:val="18"/>
                <w:lang w:eastAsia="zh-CN"/>
              </w:rPr>
            </w:pPr>
            <w:r>
              <w:rPr>
                <w:sz w:val="18"/>
                <w:szCs w:val="18"/>
                <w:lang w:eastAsia="zh-CN"/>
              </w:rPr>
              <w:t>  [ 354]</w:t>
            </w:r>
          </w:p>
        </w:tc>
        <w:tc>
          <w:tcPr>
            <w:tcW w:w="380" w:type="dxa"/>
            <w:tcBorders>
              <w:top w:val="nil"/>
              <w:left w:val="nil"/>
              <w:bottom w:val="single" w:sz="8" w:space="0" w:color="auto"/>
              <w:right w:val="single" w:sz="8" w:space="0" w:color="auto"/>
            </w:tcBorders>
            <w:hideMark/>
          </w:tcPr>
          <w:p w14:paraId="47969324" w14:textId="77777777" w:rsidR="00941FFD" w:rsidRDefault="00941FFD">
            <w:pPr>
              <w:jc w:val="center"/>
              <w:rPr>
                <w:sz w:val="18"/>
                <w:szCs w:val="18"/>
                <w:lang w:eastAsia="zh-CN"/>
              </w:rPr>
            </w:pPr>
            <w:r>
              <w:rPr>
                <w:sz w:val="18"/>
                <w:szCs w:val="18"/>
                <w:lang w:eastAsia="zh-CN"/>
              </w:rPr>
              <w:t>0</w:t>
            </w:r>
          </w:p>
        </w:tc>
        <w:tc>
          <w:tcPr>
            <w:tcW w:w="438" w:type="dxa"/>
            <w:tcBorders>
              <w:top w:val="nil"/>
              <w:left w:val="nil"/>
              <w:bottom w:val="single" w:sz="8" w:space="0" w:color="auto"/>
              <w:right w:val="single" w:sz="8" w:space="0" w:color="auto"/>
            </w:tcBorders>
            <w:hideMark/>
          </w:tcPr>
          <w:p w14:paraId="7697943B" w14:textId="77777777" w:rsidR="00941FFD" w:rsidRDefault="00941FFD">
            <w:pPr>
              <w:jc w:val="center"/>
              <w:rPr>
                <w:sz w:val="18"/>
                <w:szCs w:val="18"/>
                <w:lang w:eastAsia="zh-CN"/>
              </w:rPr>
            </w:pPr>
            <w:r>
              <w:rPr>
                <w:sz w:val="18"/>
                <w:szCs w:val="18"/>
                <w:lang w:eastAsia="zh-CN"/>
              </w:rPr>
              <w:t>E0</w:t>
            </w:r>
          </w:p>
        </w:tc>
        <w:tc>
          <w:tcPr>
            <w:tcW w:w="907" w:type="dxa"/>
            <w:tcBorders>
              <w:top w:val="nil"/>
              <w:left w:val="nil"/>
              <w:bottom w:val="single" w:sz="8" w:space="0" w:color="auto"/>
              <w:right w:val="single" w:sz="8" w:space="0" w:color="auto"/>
            </w:tcBorders>
            <w:hideMark/>
          </w:tcPr>
          <w:p w14:paraId="301E9891" w14:textId="77777777" w:rsidR="00941FFD" w:rsidRDefault="00941FFD">
            <w:pPr>
              <w:jc w:val="center"/>
              <w:rPr>
                <w:sz w:val="18"/>
                <w:szCs w:val="18"/>
                <w:lang w:eastAsia="zh-CN"/>
              </w:rPr>
            </w:pPr>
            <w:r>
              <w:rPr>
                <w:sz w:val="18"/>
                <w:szCs w:val="18"/>
                <w:lang w:eastAsia="zh-CN"/>
              </w:rPr>
              <w:t>P002</w:t>
            </w:r>
          </w:p>
          <w:p w14:paraId="20CFB357" w14:textId="77777777" w:rsidR="00941FFD" w:rsidRDefault="00941FFD">
            <w:pPr>
              <w:jc w:val="center"/>
              <w:rPr>
                <w:sz w:val="18"/>
                <w:szCs w:val="18"/>
                <w:lang w:eastAsia="zh-CN"/>
              </w:rPr>
            </w:pPr>
            <w:r>
              <w:rPr>
                <w:sz w:val="18"/>
                <w:szCs w:val="18"/>
                <w:lang w:eastAsia="zh-CN"/>
              </w:rPr>
              <w:t>IBC08</w:t>
            </w:r>
          </w:p>
          <w:p w14:paraId="5B1FE114" w14:textId="77777777" w:rsidR="00941FFD" w:rsidRDefault="00941FFD">
            <w:pPr>
              <w:jc w:val="center"/>
              <w:rPr>
                <w:i/>
                <w:iCs/>
                <w:sz w:val="18"/>
                <w:szCs w:val="18"/>
                <w:lang w:eastAsia="zh-CN"/>
              </w:rPr>
            </w:pPr>
            <w:r>
              <w:rPr>
                <w:i/>
                <w:iCs/>
                <w:sz w:val="18"/>
                <w:szCs w:val="18"/>
                <w:lang w:eastAsia="zh-CN"/>
              </w:rPr>
              <w:t>Alternate IBC10</w:t>
            </w:r>
          </w:p>
        </w:tc>
        <w:tc>
          <w:tcPr>
            <w:tcW w:w="1034" w:type="dxa"/>
            <w:tcBorders>
              <w:top w:val="nil"/>
              <w:left w:val="nil"/>
              <w:bottom w:val="single" w:sz="8" w:space="0" w:color="auto"/>
              <w:right w:val="single" w:sz="8" w:space="0" w:color="auto"/>
            </w:tcBorders>
            <w:hideMark/>
          </w:tcPr>
          <w:p w14:paraId="710A9940" w14:textId="77777777" w:rsidR="00941FFD" w:rsidRDefault="00941FFD">
            <w:pPr>
              <w:rPr>
                <w:sz w:val="18"/>
                <w:szCs w:val="18"/>
                <w:lang w:eastAsia="zh-CN"/>
              </w:rPr>
            </w:pPr>
            <w:r>
              <w:rPr>
                <w:sz w:val="18"/>
                <w:szCs w:val="18"/>
                <w:lang w:eastAsia="zh-CN"/>
              </w:rPr>
              <w:t>     BX</w:t>
            </w:r>
          </w:p>
          <w:p w14:paraId="3EA6160D" w14:textId="77777777" w:rsidR="00941FFD" w:rsidRDefault="00941FFD">
            <w:pPr>
              <w:rPr>
                <w:sz w:val="18"/>
                <w:szCs w:val="18"/>
                <w:lang w:eastAsia="zh-CN"/>
              </w:rPr>
            </w:pPr>
            <w:r>
              <w:rPr>
                <w:sz w:val="18"/>
                <w:szCs w:val="18"/>
                <w:lang w:eastAsia="zh-CN"/>
              </w:rPr>
              <w:t xml:space="preserve">     B2 </w:t>
            </w:r>
          </w:p>
          <w:p w14:paraId="04A8B67C" w14:textId="77777777" w:rsidR="00941FFD" w:rsidRDefault="00941FFD">
            <w:pPr>
              <w:rPr>
                <w:sz w:val="18"/>
                <w:szCs w:val="18"/>
                <w:lang w:eastAsia="zh-CN"/>
              </w:rPr>
            </w:pPr>
            <w:r>
              <w:rPr>
                <w:sz w:val="18"/>
                <w:szCs w:val="18"/>
                <w:lang w:eastAsia="zh-CN"/>
              </w:rPr>
              <w:t>     B4</w:t>
            </w:r>
          </w:p>
        </w:tc>
        <w:tc>
          <w:tcPr>
            <w:tcW w:w="951" w:type="dxa"/>
            <w:tcBorders>
              <w:top w:val="nil"/>
              <w:left w:val="nil"/>
              <w:bottom w:val="single" w:sz="8" w:space="0" w:color="auto"/>
              <w:right w:val="single" w:sz="8" w:space="0" w:color="auto"/>
            </w:tcBorders>
            <w:hideMark/>
          </w:tcPr>
          <w:p w14:paraId="576D6AA4" w14:textId="77777777" w:rsidR="00941FFD" w:rsidRDefault="00941FFD">
            <w:pPr>
              <w:jc w:val="center"/>
              <w:rPr>
                <w:sz w:val="18"/>
                <w:szCs w:val="18"/>
                <w:lang w:eastAsia="zh-CN"/>
              </w:rPr>
            </w:pPr>
            <w:r>
              <w:rPr>
                <w:sz w:val="18"/>
                <w:szCs w:val="18"/>
                <w:lang w:eastAsia="zh-CN"/>
              </w:rPr>
              <w:t>T6</w:t>
            </w:r>
          </w:p>
        </w:tc>
        <w:tc>
          <w:tcPr>
            <w:tcW w:w="839" w:type="dxa"/>
            <w:tcBorders>
              <w:top w:val="nil"/>
              <w:left w:val="nil"/>
              <w:bottom w:val="single" w:sz="8" w:space="0" w:color="auto"/>
              <w:right w:val="single" w:sz="8" w:space="0" w:color="auto"/>
            </w:tcBorders>
            <w:hideMark/>
          </w:tcPr>
          <w:p w14:paraId="1BA10D3E" w14:textId="77777777" w:rsidR="00941FFD" w:rsidRDefault="00941FFD">
            <w:pPr>
              <w:jc w:val="center"/>
              <w:rPr>
                <w:sz w:val="18"/>
                <w:szCs w:val="18"/>
                <w:lang w:eastAsia="zh-CN"/>
              </w:rPr>
            </w:pPr>
            <w:r>
              <w:rPr>
                <w:sz w:val="18"/>
                <w:szCs w:val="18"/>
                <w:lang w:eastAsia="zh-CN"/>
              </w:rPr>
              <w:t>TP33</w:t>
            </w:r>
          </w:p>
        </w:tc>
      </w:tr>
      <w:tr w:rsidR="00941FFD" w14:paraId="6272AAD7" w14:textId="77777777" w:rsidTr="00941FFD">
        <w:trPr>
          <w:trHeight w:val="834"/>
        </w:trPr>
        <w:tc>
          <w:tcPr>
            <w:tcW w:w="498" w:type="dxa"/>
            <w:tcBorders>
              <w:top w:val="nil"/>
              <w:left w:val="single" w:sz="8" w:space="0" w:color="auto"/>
              <w:bottom w:val="single" w:sz="8" w:space="0" w:color="auto"/>
              <w:right w:val="single" w:sz="8" w:space="0" w:color="auto"/>
            </w:tcBorders>
            <w:hideMark/>
          </w:tcPr>
          <w:p w14:paraId="01402760" w14:textId="77777777" w:rsidR="00941FFD" w:rsidRDefault="00941FFD">
            <w:pPr>
              <w:jc w:val="both"/>
              <w:rPr>
                <w:sz w:val="18"/>
                <w:szCs w:val="18"/>
                <w:lang w:eastAsia="zh-CN"/>
              </w:rPr>
            </w:pPr>
            <w:r>
              <w:rPr>
                <w:sz w:val="18"/>
                <w:szCs w:val="18"/>
                <w:lang w:eastAsia="zh-CN"/>
              </w:rPr>
              <w:t>35XX</w:t>
            </w:r>
          </w:p>
        </w:tc>
        <w:tc>
          <w:tcPr>
            <w:tcW w:w="1897" w:type="dxa"/>
            <w:tcBorders>
              <w:top w:val="nil"/>
              <w:left w:val="nil"/>
              <w:bottom w:val="single" w:sz="8" w:space="0" w:color="auto"/>
              <w:right w:val="single" w:sz="8" w:space="0" w:color="auto"/>
            </w:tcBorders>
            <w:hideMark/>
          </w:tcPr>
          <w:p w14:paraId="15333165" w14:textId="77777777" w:rsidR="00941FFD" w:rsidRDefault="00941FFD">
            <w:pPr>
              <w:rPr>
                <w:lang w:eastAsia="zh-CN"/>
              </w:rPr>
            </w:pPr>
            <w:r>
              <w:rPr>
                <w:rFonts w:ascii="Calibri" w:hAnsi="Calibri" w:cs="Calibri"/>
                <w:lang w:eastAsia="zh-CN"/>
              </w:rPr>
              <w:t>COBALT DIHYDROXIDE POWDER, [</w:t>
            </w:r>
            <w:r>
              <w:rPr>
                <w:lang w:eastAsia="zh-CN"/>
              </w:rPr>
              <w:t>containing &gt; than 10% respirable particles]</w:t>
            </w:r>
          </w:p>
        </w:tc>
        <w:tc>
          <w:tcPr>
            <w:tcW w:w="621" w:type="dxa"/>
            <w:tcBorders>
              <w:top w:val="nil"/>
              <w:left w:val="nil"/>
              <w:bottom w:val="single" w:sz="8" w:space="0" w:color="auto"/>
              <w:right w:val="single" w:sz="8" w:space="0" w:color="auto"/>
            </w:tcBorders>
            <w:hideMark/>
          </w:tcPr>
          <w:p w14:paraId="67FAA6EA" w14:textId="77777777" w:rsidR="00941FFD" w:rsidRDefault="00941FFD">
            <w:pPr>
              <w:jc w:val="center"/>
              <w:rPr>
                <w:sz w:val="18"/>
                <w:szCs w:val="18"/>
                <w:lang w:eastAsia="zh-CN"/>
              </w:rPr>
            </w:pPr>
            <w:r>
              <w:rPr>
                <w:sz w:val="18"/>
                <w:szCs w:val="18"/>
                <w:lang w:eastAsia="zh-CN"/>
              </w:rPr>
              <w:t>6.1</w:t>
            </w:r>
          </w:p>
        </w:tc>
        <w:tc>
          <w:tcPr>
            <w:tcW w:w="544" w:type="dxa"/>
            <w:tcBorders>
              <w:top w:val="nil"/>
              <w:left w:val="nil"/>
              <w:bottom w:val="single" w:sz="8" w:space="0" w:color="auto"/>
              <w:right w:val="single" w:sz="8" w:space="0" w:color="auto"/>
            </w:tcBorders>
          </w:tcPr>
          <w:p w14:paraId="15E23F55" w14:textId="77777777" w:rsidR="00941FFD" w:rsidRDefault="00941FFD">
            <w:pPr>
              <w:jc w:val="center"/>
              <w:rPr>
                <w:sz w:val="18"/>
                <w:szCs w:val="18"/>
                <w:highlight w:val="yellow"/>
                <w:lang w:eastAsia="zh-CN"/>
              </w:rPr>
            </w:pPr>
          </w:p>
        </w:tc>
        <w:tc>
          <w:tcPr>
            <w:tcW w:w="631" w:type="dxa"/>
            <w:tcBorders>
              <w:top w:val="nil"/>
              <w:left w:val="nil"/>
              <w:bottom w:val="single" w:sz="8" w:space="0" w:color="auto"/>
              <w:right w:val="single" w:sz="8" w:space="0" w:color="auto"/>
            </w:tcBorders>
            <w:hideMark/>
          </w:tcPr>
          <w:p w14:paraId="23A45348" w14:textId="77777777" w:rsidR="00941FFD" w:rsidRDefault="00941FFD">
            <w:pPr>
              <w:jc w:val="center"/>
              <w:rPr>
                <w:sz w:val="18"/>
                <w:szCs w:val="18"/>
                <w:highlight w:val="yellow"/>
                <w:lang w:eastAsia="zh-CN"/>
              </w:rPr>
            </w:pPr>
            <w:r>
              <w:rPr>
                <w:sz w:val="18"/>
                <w:szCs w:val="18"/>
                <w:lang w:eastAsia="zh-CN"/>
              </w:rPr>
              <w:t>II</w:t>
            </w:r>
          </w:p>
        </w:tc>
        <w:tc>
          <w:tcPr>
            <w:tcW w:w="879" w:type="dxa"/>
            <w:tcBorders>
              <w:top w:val="nil"/>
              <w:left w:val="nil"/>
              <w:bottom w:val="single" w:sz="8" w:space="0" w:color="auto"/>
              <w:right w:val="single" w:sz="8" w:space="0" w:color="auto"/>
            </w:tcBorders>
            <w:hideMark/>
          </w:tcPr>
          <w:p w14:paraId="721BBBDB" w14:textId="7865DE6D" w:rsidR="00941FFD" w:rsidRDefault="00941FFD">
            <w:pPr>
              <w:rPr>
                <w:sz w:val="18"/>
                <w:szCs w:val="18"/>
                <w:lang w:eastAsia="zh-CN"/>
              </w:rPr>
            </w:pPr>
            <w:r>
              <w:rPr>
                <w:sz w:val="18"/>
                <w:szCs w:val="18"/>
                <w:lang w:eastAsia="zh-CN"/>
              </w:rPr>
              <w:t xml:space="preserve">  [ 354]</w:t>
            </w:r>
          </w:p>
        </w:tc>
        <w:tc>
          <w:tcPr>
            <w:tcW w:w="380" w:type="dxa"/>
            <w:tcBorders>
              <w:top w:val="nil"/>
              <w:left w:val="nil"/>
              <w:bottom w:val="single" w:sz="8" w:space="0" w:color="auto"/>
              <w:right w:val="single" w:sz="8" w:space="0" w:color="auto"/>
            </w:tcBorders>
            <w:hideMark/>
          </w:tcPr>
          <w:p w14:paraId="2D02C46F" w14:textId="77777777" w:rsidR="00941FFD" w:rsidRDefault="00941FFD">
            <w:pPr>
              <w:jc w:val="center"/>
              <w:rPr>
                <w:sz w:val="18"/>
                <w:szCs w:val="18"/>
                <w:lang w:eastAsia="zh-CN"/>
              </w:rPr>
            </w:pPr>
            <w:r>
              <w:rPr>
                <w:sz w:val="18"/>
                <w:szCs w:val="18"/>
                <w:lang w:eastAsia="zh-CN"/>
              </w:rPr>
              <w:t>500g</w:t>
            </w:r>
          </w:p>
        </w:tc>
        <w:tc>
          <w:tcPr>
            <w:tcW w:w="438" w:type="dxa"/>
            <w:tcBorders>
              <w:top w:val="nil"/>
              <w:left w:val="nil"/>
              <w:bottom w:val="single" w:sz="8" w:space="0" w:color="auto"/>
              <w:right w:val="single" w:sz="8" w:space="0" w:color="auto"/>
            </w:tcBorders>
            <w:hideMark/>
          </w:tcPr>
          <w:p w14:paraId="5E36A42C" w14:textId="77777777" w:rsidR="00941FFD" w:rsidRDefault="00941FFD">
            <w:pPr>
              <w:jc w:val="center"/>
              <w:rPr>
                <w:sz w:val="18"/>
                <w:szCs w:val="18"/>
                <w:highlight w:val="yellow"/>
                <w:lang w:eastAsia="zh-CN"/>
              </w:rPr>
            </w:pPr>
            <w:r>
              <w:rPr>
                <w:sz w:val="18"/>
                <w:szCs w:val="18"/>
                <w:lang w:eastAsia="zh-CN"/>
              </w:rPr>
              <w:t>E4</w:t>
            </w:r>
          </w:p>
        </w:tc>
        <w:tc>
          <w:tcPr>
            <w:tcW w:w="907" w:type="dxa"/>
            <w:tcBorders>
              <w:top w:val="nil"/>
              <w:left w:val="nil"/>
              <w:bottom w:val="single" w:sz="8" w:space="0" w:color="auto"/>
              <w:right w:val="single" w:sz="8" w:space="0" w:color="auto"/>
            </w:tcBorders>
            <w:hideMark/>
          </w:tcPr>
          <w:p w14:paraId="7145219E" w14:textId="77777777" w:rsidR="00941FFD" w:rsidRDefault="00941FFD">
            <w:pPr>
              <w:jc w:val="center"/>
              <w:rPr>
                <w:sz w:val="18"/>
                <w:szCs w:val="18"/>
                <w:lang w:eastAsia="zh-CN"/>
              </w:rPr>
            </w:pPr>
            <w:r>
              <w:rPr>
                <w:sz w:val="18"/>
                <w:szCs w:val="18"/>
                <w:lang w:eastAsia="zh-CN"/>
              </w:rPr>
              <w:t>P002</w:t>
            </w:r>
          </w:p>
          <w:p w14:paraId="0427B159" w14:textId="77777777" w:rsidR="00941FFD" w:rsidRDefault="00941FFD">
            <w:pPr>
              <w:jc w:val="center"/>
              <w:rPr>
                <w:sz w:val="18"/>
                <w:szCs w:val="18"/>
                <w:highlight w:val="yellow"/>
                <w:lang w:eastAsia="zh-CN"/>
              </w:rPr>
            </w:pPr>
            <w:r>
              <w:rPr>
                <w:sz w:val="18"/>
                <w:szCs w:val="18"/>
                <w:lang w:eastAsia="zh-CN"/>
              </w:rPr>
              <w:t>IBC08</w:t>
            </w:r>
          </w:p>
        </w:tc>
        <w:tc>
          <w:tcPr>
            <w:tcW w:w="1034" w:type="dxa"/>
            <w:tcBorders>
              <w:top w:val="nil"/>
              <w:left w:val="nil"/>
              <w:bottom w:val="single" w:sz="8" w:space="0" w:color="auto"/>
              <w:right w:val="single" w:sz="8" w:space="0" w:color="auto"/>
            </w:tcBorders>
            <w:hideMark/>
          </w:tcPr>
          <w:p w14:paraId="01CB5C0F" w14:textId="77777777" w:rsidR="00941FFD" w:rsidRDefault="00941FFD">
            <w:pPr>
              <w:jc w:val="center"/>
              <w:rPr>
                <w:sz w:val="18"/>
                <w:szCs w:val="18"/>
                <w:highlight w:val="yellow"/>
                <w:lang w:eastAsia="zh-CN"/>
              </w:rPr>
            </w:pPr>
            <w:r>
              <w:rPr>
                <w:sz w:val="18"/>
                <w:szCs w:val="18"/>
                <w:lang w:eastAsia="zh-CN"/>
              </w:rPr>
              <w:t>B4</w:t>
            </w:r>
          </w:p>
        </w:tc>
        <w:tc>
          <w:tcPr>
            <w:tcW w:w="951" w:type="dxa"/>
            <w:tcBorders>
              <w:top w:val="nil"/>
              <w:left w:val="nil"/>
              <w:bottom w:val="single" w:sz="8" w:space="0" w:color="auto"/>
              <w:right w:val="single" w:sz="8" w:space="0" w:color="auto"/>
            </w:tcBorders>
            <w:hideMark/>
          </w:tcPr>
          <w:p w14:paraId="71974BD1" w14:textId="77777777" w:rsidR="00941FFD" w:rsidRDefault="00941FFD">
            <w:pPr>
              <w:jc w:val="center"/>
              <w:rPr>
                <w:sz w:val="18"/>
                <w:szCs w:val="18"/>
                <w:highlight w:val="yellow"/>
                <w:lang w:eastAsia="zh-CN"/>
              </w:rPr>
            </w:pPr>
            <w:r>
              <w:rPr>
                <w:sz w:val="18"/>
                <w:szCs w:val="18"/>
                <w:lang w:eastAsia="zh-CN"/>
              </w:rPr>
              <w:t>T3</w:t>
            </w:r>
          </w:p>
        </w:tc>
        <w:tc>
          <w:tcPr>
            <w:tcW w:w="839" w:type="dxa"/>
            <w:tcBorders>
              <w:top w:val="nil"/>
              <w:left w:val="nil"/>
              <w:bottom w:val="single" w:sz="8" w:space="0" w:color="auto"/>
              <w:right w:val="single" w:sz="8" w:space="0" w:color="auto"/>
            </w:tcBorders>
            <w:hideMark/>
          </w:tcPr>
          <w:p w14:paraId="54447CC0" w14:textId="77777777" w:rsidR="00941FFD" w:rsidRDefault="00941FFD">
            <w:pPr>
              <w:jc w:val="center"/>
              <w:rPr>
                <w:sz w:val="18"/>
                <w:szCs w:val="18"/>
                <w:highlight w:val="yellow"/>
                <w:lang w:eastAsia="zh-CN"/>
              </w:rPr>
            </w:pPr>
            <w:r>
              <w:rPr>
                <w:sz w:val="18"/>
                <w:szCs w:val="18"/>
                <w:lang w:eastAsia="zh-CN"/>
              </w:rPr>
              <w:t>TP33</w:t>
            </w:r>
          </w:p>
        </w:tc>
      </w:tr>
      <w:tr w:rsidR="00941FFD" w14:paraId="00149B7E" w14:textId="77777777" w:rsidTr="00941FFD">
        <w:trPr>
          <w:trHeight w:val="834"/>
        </w:trPr>
        <w:tc>
          <w:tcPr>
            <w:tcW w:w="498" w:type="dxa"/>
            <w:tcBorders>
              <w:top w:val="nil"/>
              <w:left w:val="single" w:sz="8" w:space="0" w:color="auto"/>
              <w:bottom w:val="single" w:sz="8" w:space="0" w:color="auto"/>
              <w:right w:val="single" w:sz="8" w:space="0" w:color="auto"/>
            </w:tcBorders>
            <w:hideMark/>
          </w:tcPr>
          <w:p w14:paraId="6410D2D2" w14:textId="77777777" w:rsidR="00941FFD" w:rsidRDefault="00941FFD">
            <w:pPr>
              <w:jc w:val="both"/>
              <w:rPr>
                <w:sz w:val="18"/>
                <w:szCs w:val="18"/>
                <w:lang w:eastAsia="zh-CN"/>
              </w:rPr>
            </w:pPr>
            <w:r>
              <w:rPr>
                <w:sz w:val="18"/>
                <w:szCs w:val="18"/>
                <w:lang w:eastAsia="zh-CN"/>
              </w:rPr>
              <w:t>35XX</w:t>
            </w:r>
          </w:p>
        </w:tc>
        <w:tc>
          <w:tcPr>
            <w:tcW w:w="1897" w:type="dxa"/>
            <w:tcBorders>
              <w:top w:val="nil"/>
              <w:left w:val="nil"/>
              <w:bottom w:val="single" w:sz="8" w:space="0" w:color="auto"/>
              <w:right w:val="single" w:sz="8" w:space="0" w:color="auto"/>
            </w:tcBorders>
            <w:hideMark/>
          </w:tcPr>
          <w:p w14:paraId="74749E86" w14:textId="77777777" w:rsidR="00941FFD" w:rsidRDefault="00941FFD">
            <w:pPr>
              <w:rPr>
                <w:lang w:eastAsia="zh-CN"/>
              </w:rPr>
            </w:pPr>
            <w:r>
              <w:rPr>
                <w:rFonts w:ascii="Calibri" w:hAnsi="Calibri" w:cs="Calibri"/>
                <w:lang w:eastAsia="zh-CN"/>
              </w:rPr>
              <w:t>COBALT DIHYDROXIDE POWDER, {</w:t>
            </w:r>
            <w:r>
              <w:rPr>
                <w:lang w:eastAsia="zh-CN"/>
              </w:rPr>
              <w:t>containing &gt; than 10% respirable particles}</w:t>
            </w:r>
          </w:p>
        </w:tc>
        <w:tc>
          <w:tcPr>
            <w:tcW w:w="621" w:type="dxa"/>
            <w:tcBorders>
              <w:top w:val="nil"/>
              <w:left w:val="nil"/>
              <w:bottom w:val="single" w:sz="8" w:space="0" w:color="auto"/>
              <w:right w:val="single" w:sz="8" w:space="0" w:color="auto"/>
            </w:tcBorders>
            <w:hideMark/>
          </w:tcPr>
          <w:p w14:paraId="38F26B86" w14:textId="77777777" w:rsidR="00941FFD" w:rsidRDefault="00941FFD">
            <w:pPr>
              <w:jc w:val="center"/>
              <w:rPr>
                <w:sz w:val="18"/>
                <w:szCs w:val="18"/>
                <w:lang w:eastAsia="zh-CN"/>
              </w:rPr>
            </w:pPr>
            <w:r>
              <w:rPr>
                <w:sz w:val="18"/>
                <w:szCs w:val="18"/>
                <w:lang w:eastAsia="zh-CN"/>
              </w:rPr>
              <w:t>6.1</w:t>
            </w:r>
          </w:p>
        </w:tc>
        <w:tc>
          <w:tcPr>
            <w:tcW w:w="544" w:type="dxa"/>
            <w:tcBorders>
              <w:top w:val="nil"/>
              <w:left w:val="nil"/>
              <w:bottom w:val="single" w:sz="8" w:space="0" w:color="auto"/>
              <w:right w:val="single" w:sz="8" w:space="0" w:color="auto"/>
            </w:tcBorders>
          </w:tcPr>
          <w:p w14:paraId="4713BC6F" w14:textId="77777777" w:rsidR="00941FFD" w:rsidRDefault="00941FFD">
            <w:pPr>
              <w:jc w:val="center"/>
              <w:rPr>
                <w:sz w:val="18"/>
                <w:szCs w:val="18"/>
                <w:highlight w:val="yellow"/>
                <w:lang w:eastAsia="zh-CN"/>
              </w:rPr>
            </w:pPr>
          </w:p>
        </w:tc>
        <w:tc>
          <w:tcPr>
            <w:tcW w:w="631" w:type="dxa"/>
            <w:tcBorders>
              <w:top w:val="nil"/>
              <w:left w:val="nil"/>
              <w:bottom w:val="single" w:sz="8" w:space="0" w:color="auto"/>
              <w:right w:val="single" w:sz="8" w:space="0" w:color="auto"/>
            </w:tcBorders>
            <w:hideMark/>
          </w:tcPr>
          <w:p w14:paraId="5B30D679" w14:textId="77777777" w:rsidR="00941FFD" w:rsidRDefault="00941FFD">
            <w:pPr>
              <w:jc w:val="center"/>
              <w:rPr>
                <w:sz w:val="18"/>
                <w:szCs w:val="18"/>
                <w:lang w:eastAsia="zh-CN"/>
              </w:rPr>
            </w:pPr>
            <w:r>
              <w:rPr>
                <w:sz w:val="18"/>
                <w:szCs w:val="18"/>
                <w:lang w:eastAsia="zh-CN"/>
              </w:rPr>
              <w:t>III</w:t>
            </w:r>
          </w:p>
        </w:tc>
        <w:tc>
          <w:tcPr>
            <w:tcW w:w="879" w:type="dxa"/>
            <w:tcBorders>
              <w:top w:val="nil"/>
              <w:left w:val="nil"/>
              <w:bottom w:val="single" w:sz="8" w:space="0" w:color="auto"/>
              <w:right w:val="single" w:sz="8" w:space="0" w:color="auto"/>
            </w:tcBorders>
            <w:hideMark/>
          </w:tcPr>
          <w:p w14:paraId="7BA0CC3A" w14:textId="77777777" w:rsidR="00941FFD" w:rsidRDefault="00941FFD">
            <w:pPr>
              <w:jc w:val="center"/>
              <w:rPr>
                <w:sz w:val="18"/>
                <w:szCs w:val="18"/>
                <w:lang w:eastAsia="zh-CN"/>
              </w:rPr>
            </w:pPr>
            <w:r>
              <w:rPr>
                <w:sz w:val="18"/>
                <w:szCs w:val="18"/>
                <w:lang w:eastAsia="zh-CN"/>
              </w:rPr>
              <w:t>223</w:t>
            </w:r>
          </w:p>
        </w:tc>
        <w:tc>
          <w:tcPr>
            <w:tcW w:w="380" w:type="dxa"/>
            <w:tcBorders>
              <w:top w:val="nil"/>
              <w:left w:val="nil"/>
              <w:bottom w:val="single" w:sz="8" w:space="0" w:color="auto"/>
              <w:right w:val="single" w:sz="8" w:space="0" w:color="auto"/>
            </w:tcBorders>
            <w:hideMark/>
          </w:tcPr>
          <w:p w14:paraId="62C7B8F7" w14:textId="77777777" w:rsidR="00941FFD" w:rsidRDefault="00941FFD">
            <w:pPr>
              <w:jc w:val="center"/>
              <w:rPr>
                <w:sz w:val="18"/>
                <w:szCs w:val="18"/>
                <w:highlight w:val="yellow"/>
                <w:lang w:eastAsia="zh-CN"/>
              </w:rPr>
            </w:pPr>
            <w:r>
              <w:rPr>
                <w:sz w:val="18"/>
                <w:szCs w:val="18"/>
                <w:lang w:eastAsia="zh-CN"/>
              </w:rPr>
              <w:t>5kg</w:t>
            </w:r>
          </w:p>
        </w:tc>
        <w:tc>
          <w:tcPr>
            <w:tcW w:w="438" w:type="dxa"/>
            <w:tcBorders>
              <w:top w:val="nil"/>
              <w:left w:val="nil"/>
              <w:bottom w:val="single" w:sz="8" w:space="0" w:color="auto"/>
              <w:right w:val="single" w:sz="8" w:space="0" w:color="auto"/>
            </w:tcBorders>
            <w:hideMark/>
          </w:tcPr>
          <w:p w14:paraId="230FCB27" w14:textId="77777777" w:rsidR="00941FFD" w:rsidRDefault="00941FFD">
            <w:pPr>
              <w:jc w:val="center"/>
              <w:rPr>
                <w:sz w:val="18"/>
                <w:szCs w:val="18"/>
                <w:highlight w:val="yellow"/>
                <w:lang w:eastAsia="zh-CN"/>
              </w:rPr>
            </w:pPr>
            <w:r>
              <w:rPr>
                <w:sz w:val="18"/>
                <w:szCs w:val="18"/>
                <w:lang w:eastAsia="zh-CN"/>
              </w:rPr>
              <w:t>E1</w:t>
            </w:r>
          </w:p>
        </w:tc>
        <w:tc>
          <w:tcPr>
            <w:tcW w:w="907" w:type="dxa"/>
            <w:tcBorders>
              <w:top w:val="nil"/>
              <w:left w:val="nil"/>
              <w:bottom w:val="single" w:sz="8" w:space="0" w:color="auto"/>
              <w:right w:val="single" w:sz="8" w:space="0" w:color="auto"/>
            </w:tcBorders>
            <w:hideMark/>
          </w:tcPr>
          <w:p w14:paraId="2FF14E77" w14:textId="77777777" w:rsidR="00941FFD" w:rsidRDefault="00941FFD">
            <w:pPr>
              <w:jc w:val="center"/>
              <w:rPr>
                <w:sz w:val="18"/>
                <w:szCs w:val="18"/>
                <w:lang w:eastAsia="zh-CN"/>
              </w:rPr>
            </w:pPr>
            <w:r>
              <w:rPr>
                <w:sz w:val="18"/>
                <w:szCs w:val="18"/>
                <w:lang w:eastAsia="zh-CN"/>
              </w:rPr>
              <w:t>P002</w:t>
            </w:r>
          </w:p>
          <w:p w14:paraId="575C0704" w14:textId="77777777" w:rsidR="00941FFD" w:rsidRDefault="00941FFD">
            <w:pPr>
              <w:jc w:val="center"/>
              <w:rPr>
                <w:sz w:val="18"/>
                <w:szCs w:val="18"/>
                <w:highlight w:val="yellow"/>
                <w:lang w:eastAsia="zh-CN"/>
              </w:rPr>
            </w:pPr>
            <w:r>
              <w:rPr>
                <w:sz w:val="18"/>
                <w:szCs w:val="18"/>
                <w:lang w:eastAsia="zh-CN"/>
              </w:rPr>
              <w:t>IBC08</w:t>
            </w:r>
          </w:p>
        </w:tc>
        <w:tc>
          <w:tcPr>
            <w:tcW w:w="1034" w:type="dxa"/>
            <w:tcBorders>
              <w:top w:val="nil"/>
              <w:left w:val="nil"/>
              <w:bottom w:val="single" w:sz="8" w:space="0" w:color="auto"/>
              <w:right w:val="single" w:sz="8" w:space="0" w:color="auto"/>
            </w:tcBorders>
            <w:hideMark/>
          </w:tcPr>
          <w:p w14:paraId="008611DA" w14:textId="77777777" w:rsidR="00941FFD" w:rsidRDefault="00941FFD">
            <w:pPr>
              <w:jc w:val="center"/>
              <w:rPr>
                <w:sz w:val="18"/>
                <w:szCs w:val="18"/>
                <w:highlight w:val="yellow"/>
                <w:lang w:eastAsia="zh-CN"/>
              </w:rPr>
            </w:pPr>
            <w:r>
              <w:rPr>
                <w:sz w:val="18"/>
                <w:szCs w:val="18"/>
                <w:lang w:eastAsia="zh-CN"/>
              </w:rPr>
              <w:t>B4</w:t>
            </w:r>
          </w:p>
        </w:tc>
        <w:tc>
          <w:tcPr>
            <w:tcW w:w="951" w:type="dxa"/>
            <w:tcBorders>
              <w:top w:val="nil"/>
              <w:left w:val="nil"/>
              <w:bottom w:val="single" w:sz="8" w:space="0" w:color="auto"/>
              <w:right w:val="single" w:sz="8" w:space="0" w:color="auto"/>
            </w:tcBorders>
            <w:hideMark/>
          </w:tcPr>
          <w:p w14:paraId="3267932A" w14:textId="77777777" w:rsidR="00941FFD" w:rsidRDefault="00941FFD">
            <w:pPr>
              <w:jc w:val="center"/>
              <w:rPr>
                <w:sz w:val="18"/>
                <w:szCs w:val="18"/>
                <w:highlight w:val="yellow"/>
                <w:lang w:eastAsia="zh-CN"/>
              </w:rPr>
            </w:pPr>
            <w:r>
              <w:rPr>
                <w:sz w:val="18"/>
                <w:szCs w:val="18"/>
                <w:lang w:eastAsia="zh-CN"/>
              </w:rPr>
              <w:t>T1</w:t>
            </w:r>
          </w:p>
        </w:tc>
        <w:tc>
          <w:tcPr>
            <w:tcW w:w="839" w:type="dxa"/>
            <w:tcBorders>
              <w:top w:val="nil"/>
              <w:left w:val="nil"/>
              <w:bottom w:val="single" w:sz="8" w:space="0" w:color="auto"/>
              <w:right w:val="single" w:sz="8" w:space="0" w:color="auto"/>
            </w:tcBorders>
            <w:hideMark/>
          </w:tcPr>
          <w:p w14:paraId="4A858A39" w14:textId="77777777" w:rsidR="00941FFD" w:rsidRDefault="00941FFD">
            <w:pPr>
              <w:jc w:val="center"/>
              <w:rPr>
                <w:sz w:val="18"/>
                <w:szCs w:val="18"/>
                <w:highlight w:val="yellow"/>
                <w:lang w:eastAsia="zh-CN"/>
              </w:rPr>
            </w:pPr>
            <w:r>
              <w:rPr>
                <w:sz w:val="18"/>
                <w:szCs w:val="18"/>
                <w:lang w:eastAsia="zh-CN"/>
              </w:rPr>
              <w:t>TP33</w:t>
            </w:r>
          </w:p>
        </w:tc>
      </w:tr>
    </w:tbl>
    <w:p w14:paraId="119D992D" w14:textId="77777777" w:rsidR="00941FFD" w:rsidRPr="00941FFD" w:rsidRDefault="00941FFD" w:rsidP="00090CBF">
      <w:pPr>
        <w:pStyle w:val="SingleTxtG"/>
        <w:spacing w:before="120"/>
        <w:ind w:right="567"/>
      </w:pPr>
      <w:r w:rsidRPr="00090CBF">
        <w:rPr>
          <w:b/>
          <w:bCs/>
        </w:rPr>
        <w:t xml:space="preserve">BX </w:t>
      </w:r>
      <w:r w:rsidRPr="00941FFD">
        <w:t>This material may be transported in Flexible IBC’s of 13H3 or 13H4 which have been tested and authorised for PGI and that show no loss of content, or slight discharge during the drop and topple test as per the criteria in 6.5.6.9.5 b) and 6.5.6.11.5. The drop, topple and righting test shall be conducted using a fine powder of similar particle size to that to be transported.</w:t>
      </w:r>
    </w:p>
    <w:p w14:paraId="660A0F97" w14:textId="2523BE05" w:rsidR="00941FFD" w:rsidRPr="00941FFD" w:rsidRDefault="00941FFD" w:rsidP="00090CBF">
      <w:pPr>
        <w:pStyle w:val="H1G"/>
      </w:pPr>
      <w:r>
        <w:lastRenderedPageBreak/>
        <w:tab/>
      </w:r>
      <w:r>
        <w:tab/>
      </w:r>
      <w:r w:rsidRPr="00941FFD">
        <w:t>Proposal for Alternate PI (this approach favoured by several experts including Belgium)</w:t>
      </w:r>
    </w:p>
    <w:p w14:paraId="2B04EF32" w14:textId="654E83DA" w:rsidR="00941FFD" w:rsidRDefault="00941FFD" w:rsidP="00090CBF">
      <w:pPr>
        <w:pStyle w:val="H23G"/>
        <w:rPr>
          <w:rFonts w:cstheme="minorBidi"/>
        </w:rPr>
      </w:pPr>
      <w:r>
        <w:tab/>
      </w:r>
      <w:r>
        <w:tab/>
        <w:t>IBC10</w:t>
      </w:r>
    </w:p>
    <w:p w14:paraId="775914BF" w14:textId="77777777" w:rsidR="00941FFD" w:rsidRDefault="00941FFD" w:rsidP="00090CBF">
      <w:pPr>
        <w:pStyle w:val="SingleTxtG"/>
        <w:keepNext/>
        <w:keepLines/>
        <w:ind w:right="425"/>
        <w:rPr>
          <w:sz w:val="22"/>
          <w:szCs w:val="22"/>
        </w:rPr>
      </w:pPr>
      <w:r>
        <w:t>Only Flexible IBC’s of 13h3 or 13H4 which have been approved by the Competent Authority for PGI as per criteria 6.5.6.9.5.b) and 6.5.6.11.5 may be used (see 4.1.3.7).</w:t>
      </w:r>
    </w:p>
    <w:p w14:paraId="2F7DDD72" w14:textId="77777777" w:rsidR="00941FFD" w:rsidRDefault="00941FFD" w:rsidP="00090CBF">
      <w:pPr>
        <w:pStyle w:val="SingleTxtG"/>
        <w:keepNext/>
        <w:keepLines/>
        <w:ind w:right="425"/>
      </w:pPr>
      <w:r>
        <w:rPr>
          <w:b/>
          <w:bCs/>
        </w:rPr>
        <w:t>BX</w:t>
      </w:r>
      <w:r>
        <w:t xml:space="preserve"> as above</w:t>
      </w:r>
    </w:p>
    <w:p w14:paraId="0AA53436" w14:textId="77777777" w:rsidR="00941FFD" w:rsidRDefault="00941FFD" w:rsidP="00941FFD">
      <w:pPr>
        <w:pStyle w:val="SingleTxtG"/>
        <w:ind w:right="425"/>
      </w:pPr>
      <w:r>
        <w:rPr>
          <w:b/>
          <w:bCs/>
        </w:rPr>
        <w:t xml:space="preserve">B2 </w:t>
      </w:r>
      <w:r>
        <w:t>For solid substances in IBC’s other than metal or rigid plastics IBC’s the IBC’s shall be transported in closed cargo transport units.</w:t>
      </w:r>
    </w:p>
    <w:p w14:paraId="7ED0AE44" w14:textId="77777777" w:rsidR="00941FFD" w:rsidRDefault="00941FFD" w:rsidP="00941FFD">
      <w:pPr>
        <w:pStyle w:val="SingleTxtG"/>
        <w:ind w:right="425"/>
      </w:pPr>
      <w:r>
        <w:rPr>
          <w:b/>
          <w:bCs/>
        </w:rPr>
        <w:t xml:space="preserve">B4 </w:t>
      </w:r>
      <w:r>
        <w:t xml:space="preserve">Flexible IBC’s shall be sift-proof and water resistant or shall be fitted with a sift-proof and water-resistant liner. </w:t>
      </w:r>
    </w:p>
    <w:p w14:paraId="26BA5ED1" w14:textId="77777777" w:rsidR="00941FFD" w:rsidRDefault="00941FFD" w:rsidP="00941FFD">
      <w:pPr>
        <w:pStyle w:val="SingleTxtG"/>
        <w:ind w:right="425"/>
      </w:pPr>
    </w:p>
    <w:p w14:paraId="56D431FF" w14:textId="77777777" w:rsidR="00941FFD" w:rsidRDefault="00941FFD" w:rsidP="00941FFD">
      <w:pPr>
        <w:pStyle w:val="SingleTxtG"/>
        <w:ind w:right="425"/>
      </w:pPr>
      <w:r>
        <w:t xml:space="preserve">Liz Anderson </w:t>
      </w:r>
    </w:p>
    <w:p w14:paraId="258ED4B6" w14:textId="77777777" w:rsidR="00941FFD" w:rsidRDefault="00941FFD" w:rsidP="00941FFD">
      <w:pPr>
        <w:pStyle w:val="SingleTxtG"/>
        <w:ind w:right="425"/>
      </w:pPr>
      <w:r>
        <w:t xml:space="preserve">7 March 2020 </w:t>
      </w:r>
    </w:p>
    <w:p w14:paraId="7383121F" w14:textId="0C53CDE9" w:rsidR="00941FFD" w:rsidRDefault="00941FFD">
      <w:pPr>
        <w:suppressAutoHyphens w:val="0"/>
        <w:spacing w:line="240" w:lineRule="auto"/>
        <w:rPr>
          <w:b/>
          <w:bCs/>
          <w:lang w:val="x-none"/>
        </w:rPr>
      </w:pPr>
      <w:r>
        <w:rPr>
          <w:b/>
          <w:bCs/>
        </w:rPr>
        <w:br w:type="page"/>
      </w:r>
    </w:p>
    <w:p w14:paraId="4B0016AC" w14:textId="5D72A2F8" w:rsidR="00941FFD" w:rsidRDefault="00941FFD" w:rsidP="00090CBF">
      <w:pPr>
        <w:pStyle w:val="HChG"/>
        <w:spacing w:after="160"/>
      </w:pPr>
      <w:r>
        <w:lastRenderedPageBreak/>
        <w:tab/>
      </w:r>
      <w:r>
        <w:tab/>
        <w:t xml:space="preserve">Annex </w:t>
      </w:r>
      <w:r>
        <w:rPr>
          <w:lang w:val="fr-CH"/>
        </w:rPr>
        <w:t>II</w:t>
      </w:r>
      <w:r>
        <w:t xml:space="preserve"> </w:t>
      </w:r>
    </w:p>
    <w:p w14:paraId="595B72BA" w14:textId="248C331F" w:rsidR="00090CBF" w:rsidRPr="00090CBF" w:rsidRDefault="00090CBF" w:rsidP="00090CBF">
      <w:pPr>
        <w:pStyle w:val="HChG"/>
        <w:spacing w:after="200"/>
      </w:pPr>
      <w:r>
        <w:tab/>
      </w:r>
      <w:r>
        <w:tab/>
      </w:r>
      <w:r w:rsidRPr="00090CBF">
        <w:t xml:space="preserve">List of </w:t>
      </w:r>
      <w:r>
        <w:rPr>
          <w:lang w:val="fr-CH"/>
        </w:rPr>
        <w:t>p</w:t>
      </w:r>
      <w:r w:rsidRPr="00090CBF">
        <w:t xml:space="preserve">articipants in the COBALT DIHYDROXIDE </w:t>
      </w:r>
      <w:r>
        <w:rPr>
          <w:lang w:val="fr-CH"/>
        </w:rPr>
        <w:t>i</w:t>
      </w:r>
      <w:r w:rsidRPr="00090CBF">
        <w:t xml:space="preserve">ntersessional </w:t>
      </w:r>
      <w:r>
        <w:rPr>
          <w:lang w:val="fr-CH"/>
        </w:rPr>
        <w:t>informal working</w:t>
      </w:r>
      <w:r w:rsidRPr="00090CBF">
        <w:t xml:space="preserve"> </w:t>
      </w:r>
      <w:r>
        <w:rPr>
          <w:lang w:val="fr-CH"/>
        </w:rPr>
        <w:t>g</w:t>
      </w:r>
      <w:r w:rsidRPr="00090CBF">
        <w:t>roup</w:t>
      </w:r>
    </w:p>
    <w:tbl>
      <w:tblPr>
        <w:tblStyle w:val="TableGrid"/>
        <w:tblW w:w="8504" w:type="dxa"/>
        <w:tblInd w:w="1134" w:type="dxa"/>
        <w:tblLook w:val="04A0" w:firstRow="1" w:lastRow="0" w:firstColumn="1" w:lastColumn="0" w:noHBand="0" w:noVBand="1"/>
      </w:tblPr>
      <w:tblGrid>
        <w:gridCol w:w="2010"/>
        <w:gridCol w:w="2199"/>
        <w:gridCol w:w="4295"/>
      </w:tblGrid>
      <w:tr w:rsidR="00090CBF" w:rsidRPr="00090CBF" w14:paraId="2EE6191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44D1F24" w14:textId="77777777" w:rsidR="00090CBF" w:rsidRPr="00090CBF" w:rsidRDefault="00090CBF">
            <w:pPr>
              <w:spacing w:line="240" w:lineRule="auto"/>
              <w:jc w:val="center"/>
              <w:rPr>
                <w:rFonts w:asciiTheme="majorBidi" w:hAnsiTheme="majorBidi" w:cstheme="majorBidi"/>
                <w:b/>
                <w:bCs/>
              </w:rPr>
            </w:pPr>
            <w:r w:rsidRPr="00090CBF">
              <w:rPr>
                <w:rFonts w:asciiTheme="majorBidi" w:hAnsiTheme="majorBidi" w:cstheme="majorBidi"/>
                <w:b/>
                <w:bCs/>
              </w:rPr>
              <w:t>NAME</w:t>
            </w:r>
          </w:p>
        </w:tc>
        <w:tc>
          <w:tcPr>
            <w:tcW w:w="2199" w:type="dxa"/>
            <w:tcBorders>
              <w:top w:val="single" w:sz="4" w:space="0" w:color="auto"/>
              <w:left w:val="single" w:sz="4" w:space="0" w:color="auto"/>
              <w:bottom w:val="single" w:sz="4" w:space="0" w:color="auto"/>
              <w:right w:val="single" w:sz="4" w:space="0" w:color="auto"/>
            </w:tcBorders>
            <w:hideMark/>
          </w:tcPr>
          <w:p w14:paraId="3DB06C30" w14:textId="77777777" w:rsidR="00090CBF" w:rsidRPr="00090CBF" w:rsidRDefault="00090CBF">
            <w:pPr>
              <w:spacing w:line="240" w:lineRule="auto"/>
              <w:jc w:val="center"/>
              <w:rPr>
                <w:rFonts w:asciiTheme="majorBidi" w:hAnsiTheme="majorBidi" w:cstheme="majorBidi"/>
                <w:b/>
                <w:bCs/>
              </w:rPr>
            </w:pPr>
            <w:r w:rsidRPr="00090CBF">
              <w:rPr>
                <w:rFonts w:asciiTheme="majorBidi" w:hAnsiTheme="majorBidi" w:cstheme="majorBidi"/>
                <w:b/>
                <w:bCs/>
              </w:rPr>
              <w:t>DELEGATION</w:t>
            </w:r>
          </w:p>
        </w:tc>
        <w:tc>
          <w:tcPr>
            <w:tcW w:w="4295" w:type="dxa"/>
            <w:tcBorders>
              <w:top w:val="single" w:sz="4" w:space="0" w:color="auto"/>
              <w:left w:val="single" w:sz="4" w:space="0" w:color="auto"/>
              <w:bottom w:val="single" w:sz="4" w:space="0" w:color="auto"/>
              <w:right w:val="single" w:sz="4" w:space="0" w:color="auto"/>
            </w:tcBorders>
            <w:hideMark/>
          </w:tcPr>
          <w:p w14:paraId="34334B8C" w14:textId="77777777" w:rsidR="00090CBF" w:rsidRPr="00090CBF" w:rsidRDefault="00090CBF">
            <w:pPr>
              <w:spacing w:line="240" w:lineRule="auto"/>
              <w:jc w:val="center"/>
              <w:rPr>
                <w:rFonts w:asciiTheme="majorBidi" w:hAnsiTheme="majorBidi" w:cstheme="majorBidi"/>
                <w:b/>
                <w:bCs/>
              </w:rPr>
            </w:pPr>
            <w:r w:rsidRPr="00090CBF">
              <w:rPr>
                <w:rFonts w:asciiTheme="majorBidi" w:hAnsiTheme="majorBidi" w:cstheme="majorBidi"/>
                <w:b/>
                <w:bCs/>
              </w:rPr>
              <w:t>EMAIL ADDRESS</w:t>
            </w:r>
          </w:p>
        </w:tc>
      </w:tr>
      <w:tr w:rsidR="00090CBF" w:rsidRPr="00090CBF" w14:paraId="7133FB66"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C5D8263"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Liz Anderson</w:t>
            </w:r>
          </w:p>
        </w:tc>
        <w:tc>
          <w:tcPr>
            <w:tcW w:w="2199" w:type="dxa"/>
            <w:tcBorders>
              <w:top w:val="single" w:sz="4" w:space="0" w:color="auto"/>
              <w:left w:val="single" w:sz="4" w:space="0" w:color="auto"/>
              <w:bottom w:val="single" w:sz="4" w:space="0" w:color="auto"/>
              <w:right w:val="single" w:sz="4" w:space="0" w:color="auto"/>
            </w:tcBorders>
            <w:hideMark/>
          </w:tcPr>
          <w:p w14:paraId="3A5FF38C"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RPMASA</w:t>
            </w:r>
          </w:p>
        </w:tc>
        <w:tc>
          <w:tcPr>
            <w:tcW w:w="4295" w:type="dxa"/>
            <w:tcBorders>
              <w:top w:val="single" w:sz="4" w:space="0" w:color="auto"/>
              <w:left w:val="single" w:sz="4" w:space="0" w:color="auto"/>
              <w:bottom w:val="single" w:sz="4" w:space="0" w:color="auto"/>
              <w:right w:val="single" w:sz="4" w:space="0" w:color="auto"/>
            </w:tcBorders>
            <w:hideMark/>
          </w:tcPr>
          <w:p w14:paraId="0E0F04B3" w14:textId="77777777" w:rsidR="00090CBF" w:rsidRPr="00090CBF" w:rsidRDefault="00184120">
            <w:pPr>
              <w:spacing w:line="240" w:lineRule="auto"/>
              <w:rPr>
                <w:rFonts w:asciiTheme="majorBidi" w:hAnsiTheme="majorBidi" w:cstheme="majorBidi"/>
              </w:rPr>
            </w:pPr>
            <w:hyperlink r:id="rId8" w:history="1">
              <w:r w:rsidR="00090CBF" w:rsidRPr="00090CBF">
                <w:rPr>
                  <w:rStyle w:val="Hyperlink"/>
                  <w:rFonts w:asciiTheme="majorBidi" w:hAnsiTheme="majorBidi" w:cstheme="majorBidi"/>
                </w:rPr>
                <w:t>liz@rpmasa.org.za</w:t>
              </w:r>
            </w:hyperlink>
          </w:p>
        </w:tc>
      </w:tr>
      <w:tr w:rsidR="00090CBF" w:rsidRPr="00090CBF" w14:paraId="4A47851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724076FB"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Paul Marsh</w:t>
            </w:r>
          </w:p>
        </w:tc>
        <w:tc>
          <w:tcPr>
            <w:tcW w:w="2199" w:type="dxa"/>
            <w:tcBorders>
              <w:top w:val="single" w:sz="4" w:space="0" w:color="auto"/>
              <w:left w:val="single" w:sz="4" w:space="0" w:color="auto"/>
              <w:bottom w:val="single" w:sz="4" w:space="0" w:color="auto"/>
              <w:right w:val="single" w:sz="4" w:space="0" w:color="auto"/>
            </w:tcBorders>
            <w:hideMark/>
          </w:tcPr>
          <w:p w14:paraId="2E217000"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RPMASA / Cobalt Institute</w:t>
            </w:r>
          </w:p>
        </w:tc>
        <w:tc>
          <w:tcPr>
            <w:tcW w:w="4295" w:type="dxa"/>
            <w:tcBorders>
              <w:top w:val="single" w:sz="4" w:space="0" w:color="auto"/>
              <w:left w:val="single" w:sz="4" w:space="0" w:color="auto"/>
              <w:bottom w:val="single" w:sz="4" w:space="0" w:color="auto"/>
              <w:right w:val="single" w:sz="4" w:space="0" w:color="auto"/>
            </w:tcBorders>
            <w:hideMark/>
          </w:tcPr>
          <w:p w14:paraId="53D26A5E" w14:textId="77777777" w:rsidR="00090CBF" w:rsidRPr="00090CBF" w:rsidRDefault="00184120">
            <w:pPr>
              <w:spacing w:line="240" w:lineRule="auto"/>
              <w:rPr>
                <w:rFonts w:asciiTheme="majorBidi" w:hAnsiTheme="majorBidi" w:cstheme="majorBidi"/>
              </w:rPr>
            </w:pPr>
            <w:hyperlink r:id="rId9" w:history="1">
              <w:r w:rsidR="00090CBF" w:rsidRPr="00090CBF">
                <w:rPr>
                  <w:rStyle w:val="Hyperlink"/>
                  <w:rFonts w:asciiTheme="majorBidi" w:hAnsiTheme="majorBidi" w:cstheme="majorBidi"/>
                </w:rPr>
                <w:t>PMarsh@cobaltinstitute.org</w:t>
              </w:r>
            </w:hyperlink>
          </w:p>
        </w:tc>
      </w:tr>
      <w:tr w:rsidR="00090CBF" w:rsidRPr="00090CBF" w14:paraId="13DBB05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34C9C79B"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Bruno Rosier</w:t>
            </w:r>
          </w:p>
        </w:tc>
        <w:tc>
          <w:tcPr>
            <w:tcW w:w="2199" w:type="dxa"/>
            <w:tcBorders>
              <w:top w:val="single" w:sz="4" w:space="0" w:color="auto"/>
              <w:left w:val="single" w:sz="4" w:space="0" w:color="auto"/>
              <w:bottom w:val="single" w:sz="4" w:space="0" w:color="auto"/>
              <w:right w:val="single" w:sz="4" w:space="0" w:color="auto"/>
            </w:tcBorders>
            <w:hideMark/>
          </w:tcPr>
          <w:p w14:paraId="3BFB4FA3"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RPMASA / Umicore</w:t>
            </w:r>
          </w:p>
        </w:tc>
        <w:tc>
          <w:tcPr>
            <w:tcW w:w="4295" w:type="dxa"/>
            <w:tcBorders>
              <w:top w:val="single" w:sz="4" w:space="0" w:color="auto"/>
              <w:left w:val="single" w:sz="4" w:space="0" w:color="auto"/>
              <w:bottom w:val="single" w:sz="4" w:space="0" w:color="auto"/>
              <w:right w:val="single" w:sz="4" w:space="0" w:color="auto"/>
            </w:tcBorders>
            <w:hideMark/>
          </w:tcPr>
          <w:p w14:paraId="332B0140" w14:textId="77777777" w:rsidR="00090CBF" w:rsidRPr="00090CBF" w:rsidRDefault="00184120">
            <w:pPr>
              <w:spacing w:line="240" w:lineRule="auto"/>
              <w:rPr>
                <w:rFonts w:asciiTheme="majorBidi" w:hAnsiTheme="majorBidi" w:cstheme="majorBidi"/>
              </w:rPr>
            </w:pPr>
            <w:hyperlink r:id="rId10" w:history="1">
              <w:r w:rsidR="00090CBF" w:rsidRPr="00090CBF">
                <w:rPr>
                  <w:rStyle w:val="Hyperlink"/>
                  <w:rFonts w:asciiTheme="majorBidi" w:hAnsiTheme="majorBidi" w:cstheme="majorBidi"/>
                </w:rPr>
                <w:t>Bruno.Rosier@eu.umicore.com</w:t>
              </w:r>
            </w:hyperlink>
          </w:p>
        </w:tc>
      </w:tr>
      <w:tr w:rsidR="00090CBF" w:rsidRPr="00090CBF" w14:paraId="75A4D2FB"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6E08ED5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Jari Rauma</w:t>
            </w:r>
          </w:p>
        </w:tc>
        <w:tc>
          <w:tcPr>
            <w:tcW w:w="2199" w:type="dxa"/>
            <w:tcBorders>
              <w:top w:val="single" w:sz="4" w:space="0" w:color="auto"/>
              <w:left w:val="single" w:sz="4" w:space="0" w:color="auto"/>
              <w:bottom w:val="single" w:sz="4" w:space="0" w:color="auto"/>
              <w:right w:val="single" w:sz="4" w:space="0" w:color="auto"/>
            </w:tcBorders>
            <w:hideMark/>
          </w:tcPr>
          <w:p w14:paraId="67872156"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RPMASA / Freeport</w:t>
            </w:r>
          </w:p>
        </w:tc>
        <w:tc>
          <w:tcPr>
            <w:tcW w:w="4295" w:type="dxa"/>
            <w:tcBorders>
              <w:top w:val="single" w:sz="4" w:space="0" w:color="auto"/>
              <w:left w:val="single" w:sz="4" w:space="0" w:color="auto"/>
              <w:bottom w:val="single" w:sz="4" w:space="0" w:color="auto"/>
              <w:right w:val="single" w:sz="4" w:space="0" w:color="auto"/>
            </w:tcBorders>
            <w:hideMark/>
          </w:tcPr>
          <w:p w14:paraId="4616D98D" w14:textId="77777777" w:rsidR="00090CBF" w:rsidRPr="00090CBF" w:rsidRDefault="00184120">
            <w:pPr>
              <w:spacing w:line="240" w:lineRule="auto"/>
              <w:rPr>
                <w:rFonts w:asciiTheme="majorBidi" w:hAnsiTheme="majorBidi" w:cstheme="majorBidi"/>
              </w:rPr>
            </w:pPr>
            <w:hyperlink r:id="rId11" w:history="1">
              <w:r w:rsidR="00090CBF" w:rsidRPr="00090CBF">
                <w:rPr>
                  <w:rStyle w:val="Hyperlink"/>
                  <w:rFonts w:asciiTheme="majorBidi" w:hAnsiTheme="majorBidi" w:cstheme="majorBidi"/>
                </w:rPr>
                <w:t>Jrauma@fmi.com</w:t>
              </w:r>
            </w:hyperlink>
            <w:r w:rsidR="00090CBF" w:rsidRPr="00090CBF">
              <w:rPr>
                <w:rFonts w:asciiTheme="majorBidi" w:hAnsiTheme="majorBidi" w:cstheme="majorBidi"/>
              </w:rPr>
              <w:t xml:space="preserve">    </w:t>
            </w:r>
          </w:p>
        </w:tc>
      </w:tr>
      <w:tr w:rsidR="00090CBF" w:rsidRPr="00090CBF" w14:paraId="765FD50A"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F3EE27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Miina Gronlund</w:t>
            </w:r>
          </w:p>
        </w:tc>
        <w:tc>
          <w:tcPr>
            <w:tcW w:w="2199" w:type="dxa"/>
            <w:tcBorders>
              <w:top w:val="single" w:sz="4" w:space="0" w:color="auto"/>
              <w:left w:val="single" w:sz="4" w:space="0" w:color="auto"/>
              <w:bottom w:val="single" w:sz="4" w:space="0" w:color="auto"/>
              <w:right w:val="single" w:sz="4" w:space="0" w:color="auto"/>
            </w:tcBorders>
            <w:hideMark/>
          </w:tcPr>
          <w:p w14:paraId="3A81DB3F"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Finland </w:t>
            </w:r>
          </w:p>
        </w:tc>
        <w:tc>
          <w:tcPr>
            <w:tcW w:w="4295" w:type="dxa"/>
            <w:tcBorders>
              <w:top w:val="single" w:sz="4" w:space="0" w:color="auto"/>
              <w:left w:val="single" w:sz="4" w:space="0" w:color="auto"/>
              <w:bottom w:val="single" w:sz="4" w:space="0" w:color="auto"/>
              <w:right w:val="single" w:sz="4" w:space="0" w:color="auto"/>
            </w:tcBorders>
            <w:hideMark/>
          </w:tcPr>
          <w:p w14:paraId="22C4E3B1" w14:textId="77777777" w:rsidR="00090CBF" w:rsidRPr="00090CBF" w:rsidRDefault="00184120">
            <w:pPr>
              <w:spacing w:line="240" w:lineRule="auto"/>
              <w:rPr>
                <w:rFonts w:asciiTheme="majorBidi" w:hAnsiTheme="majorBidi" w:cstheme="majorBidi"/>
              </w:rPr>
            </w:pPr>
            <w:hyperlink r:id="rId12" w:history="1">
              <w:r w:rsidR="00090CBF" w:rsidRPr="00090CBF">
                <w:rPr>
                  <w:rStyle w:val="Hyperlink"/>
                  <w:rFonts w:asciiTheme="majorBidi" w:hAnsiTheme="majorBidi" w:cstheme="majorBidi"/>
                </w:rPr>
                <w:t>Miina.gronlund@traficom.fi</w:t>
              </w:r>
            </w:hyperlink>
            <w:r w:rsidR="00090CBF" w:rsidRPr="00090CBF">
              <w:rPr>
                <w:rFonts w:asciiTheme="majorBidi" w:hAnsiTheme="majorBidi" w:cstheme="majorBidi"/>
              </w:rPr>
              <w:t xml:space="preserve"> </w:t>
            </w:r>
          </w:p>
        </w:tc>
      </w:tr>
      <w:tr w:rsidR="00090CBF" w:rsidRPr="00090CBF" w14:paraId="4D97B48A"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57CD55F"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Torben Knoess</w:t>
            </w:r>
          </w:p>
        </w:tc>
        <w:tc>
          <w:tcPr>
            <w:tcW w:w="2199" w:type="dxa"/>
            <w:tcBorders>
              <w:top w:val="single" w:sz="4" w:space="0" w:color="auto"/>
              <w:left w:val="single" w:sz="4" w:space="0" w:color="auto"/>
              <w:bottom w:val="single" w:sz="4" w:space="0" w:color="auto"/>
              <w:right w:val="single" w:sz="4" w:space="0" w:color="auto"/>
            </w:tcBorders>
            <w:hideMark/>
          </w:tcPr>
          <w:p w14:paraId="3112775A"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ICPP</w:t>
            </w:r>
          </w:p>
        </w:tc>
        <w:tc>
          <w:tcPr>
            <w:tcW w:w="4295" w:type="dxa"/>
            <w:tcBorders>
              <w:top w:val="single" w:sz="4" w:space="0" w:color="auto"/>
              <w:left w:val="single" w:sz="4" w:space="0" w:color="auto"/>
              <w:bottom w:val="single" w:sz="4" w:space="0" w:color="auto"/>
              <w:right w:val="single" w:sz="4" w:space="0" w:color="auto"/>
            </w:tcBorders>
            <w:hideMark/>
          </w:tcPr>
          <w:p w14:paraId="2C79895E" w14:textId="77777777" w:rsidR="00090CBF" w:rsidRPr="00090CBF" w:rsidRDefault="00184120">
            <w:pPr>
              <w:spacing w:line="240" w:lineRule="auto"/>
              <w:rPr>
                <w:rFonts w:asciiTheme="majorBidi" w:hAnsiTheme="majorBidi" w:cstheme="majorBidi"/>
              </w:rPr>
            </w:pPr>
            <w:hyperlink r:id="rId13" w:history="1">
              <w:r w:rsidR="00090CBF" w:rsidRPr="00090CBF">
                <w:rPr>
                  <w:rStyle w:val="Hyperlink"/>
                  <w:rFonts w:asciiTheme="majorBidi" w:hAnsiTheme="majorBidi" w:cstheme="majorBidi"/>
                  <w:lang w:val="en-US"/>
                </w:rPr>
                <w:t>t.knoess@kunststoffverpackungen.de</w:t>
              </w:r>
            </w:hyperlink>
          </w:p>
        </w:tc>
      </w:tr>
      <w:tr w:rsidR="00090CBF" w:rsidRPr="00090CBF" w14:paraId="315BD009"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FF5E05B"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Kevin Leary </w:t>
            </w:r>
          </w:p>
        </w:tc>
        <w:tc>
          <w:tcPr>
            <w:tcW w:w="2199" w:type="dxa"/>
            <w:tcBorders>
              <w:top w:val="single" w:sz="4" w:space="0" w:color="auto"/>
              <w:left w:val="single" w:sz="4" w:space="0" w:color="auto"/>
              <w:bottom w:val="single" w:sz="4" w:space="0" w:color="auto"/>
              <w:right w:val="single" w:sz="4" w:space="0" w:color="auto"/>
            </w:tcBorders>
            <w:hideMark/>
          </w:tcPr>
          <w:p w14:paraId="26ACF52D"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USA</w:t>
            </w:r>
          </w:p>
        </w:tc>
        <w:tc>
          <w:tcPr>
            <w:tcW w:w="4295" w:type="dxa"/>
            <w:tcBorders>
              <w:top w:val="single" w:sz="4" w:space="0" w:color="auto"/>
              <w:left w:val="single" w:sz="4" w:space="0" w:color="auto"/>
              <w:bottom w:val="single" w:sz="4" w:space="0" w:color="auto"/>
              <w:right w:val="single" w:sz="4" w:space="0" w:color="auto"/>
            </w:tcBorders>
            <w:hideMark/>
          </w:tcPr>
          <w:p w14:paraId="54468B53" w14:textId="77777777" w:rsidR="00090CBF" w:rsidRPr="00090CBF" w:rsidRDefault="00184120">
            <w:pPr>
              <w:spacing w:line="240" w:lineRule="auto"/>
              <w:rPr>
                <w:rFonts w:asciiTheme="majorBidi" w:hAnsiTheme="majorBidi" w:cstheme="majorBidi"/>
              </w:rPr>
            </w:pPr>
            <w:hyperlink r:id="rId14" w:history="1">
              <w:r w:rsidR="00090CBF" w:rsidRPr="00090CBF">
                <w:rPr>
                  <w:rStyle w:val="Hyperlink"/>
                  <w:rFonts w:asciiTheme="majorBidi" w:hAnsiTheme="majorBidi" w:cstheme="majorBidi"/>
                </w:rPr>
                <w:t>Kevin.Leary@dot.gov</w:t>
              </w:r>
            </w:hyperlink>
            <w:r w:rsidR="00090CBF" w:rsidRPr="00090CBF">
              <w:rPr>
                <w:rFonts w:asciiTheme="majorBidi" w:hAnsiTheme="majorBidi" w:cstheme="majorBidi"/>
              </w:rPr>
              <w:t xml:space="preserve"> </w:t>
            </w:r>
          </w:p>
        </w:tc>
      </w:tr>
      <w:tr w:rsidR="00090CBF" w:rsidRPr="00090CBF" w14:paraId="37F0ACC0"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A48BDCA"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Claude Chanson</w:t>
            </w:r>
          </w:p>
        </w:tc>
        <w:tc>
          <w:tcPr>
            <w:tcW w:w="2199" w:type="dxa"/>
            <w:tcBorders>
              <w:top w:val="single" w:sz="4" w:space="0" w:color="auto"/>
              <w:left w:val="single" w:sz="4" w:space="0" w:color="auto"/>
              <w:bottom w:val="single" w:sz="4" w:space="0" w:color="auto"/>
              <w:right w:val="single" w:sz="4" w:space="0" w:color="auto"/>
            </w:tcBorders>
            <w:hideMark/>
          </w:tcPr>
          <w:p w14:paraId="43A5C407"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Recharge</w:t>
            </w:r>
          </w:p>
        </w:tc>
        <w:tc>
          <w:tcPr>
            <w:tcW w:w="4295" w:type="dxa"/>
            <w:tcBorders>
              <w:top w:val="single" w:sz="4" w:space="0" w:color="auto"/>
              <w:left w:val="single" w:sz="4" w:space="0" w:color="auto"/>
              <w:bottom w:val="single" w:sz="4" w:space="0" w:color="auto"/>
              <w:right w:val="single" w:sz="4" w:space="0" w:color="auto"/>
            </w:tcBorders>
            <w:hideMark/>
          </w:tcPr>
          <w:p w14:paraId="495E0B9F" w14:textId="77777777" w:rsidR="00090CBF" w:rsidRPr="00090CBF" w:rsidRDefault="00184120">
            <w:pPr>
              <w:spacing w:line="240" w:lineRule="auto"/>
              <w:rPr>
                <w:rFonts w:asciiTheme="majorBidi" w:hAnsiTheme="majorBidi" w:cstheme="majorBidi"/>
              </w:rPr>
            </w:pPr>
            <w:hyperlink r:id="rId15" w:history="1">
              <w:r w:rsidR="00090CBF" w:rsidRPr="00090CBF">
                <w:rPr>
                  <w:rStyle w:val="Hyperlink"/>
                  <w:rFonts w:asciiTheme="majorBidi" w:hAnsiTheme="majorBidi" w:cstheme="majorBidi"/>
                </w:rPr>
                <w:t>cchanson@rechargebatteries.org</w:t>
              </w:r>
            </w:hyperlink>
            <w:r w:rsidR="00090CBF" w:rsidRPr="00090CBF">
              <w:rPr>
                <w:rFonts w:asciiTheme="majorBidi" w:hAnsiTheme="majorBidi" w:cstheme="majorBidi"/>
              </w:rPr>
              <w:t xml:space="preserve"> </w:t>
            </w:r>
          </w:p>
        </w:tc>
      </w:tr>
      <w:tr w:rsidR="00090CBF" w:rsidRPr="00090CBF" w14:paraId="7EC4DD29"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720215C"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Shane Kelly</w:t>
            </w:r>
          </w:p>
        </w:tc>
        <w:tc>
          <w:tcPr>
            <w:tcW w:w="2199" w:type="dxa"/>
            <w:tcBorders>
              <w:top w:val="single" w:sz="4" w:space="0" w:color="auto"/>
              <w:left w:val="single" w:sz="4" w:space="0" w:color="auto"/>
              <w:bottom w:val="single" w:sz="4" w:space="0" w:color="auto"/>
              <w:right w:val="single" w:sz="4" w:space="0" w:color="auto"/>
            </w:tcBorders>
            <w:hideMark/>
          </w:tcPr>
          <w:p w14:paraId="16AC9792"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USA</w:t>
            </w:r>
          </w:p>
        </w:tc>
        <w:tc>
          <w:tcPr>
            <w:tcW w:w="4295" w:type="dxa"/>
            <w:tcBorders>
              <w:top w:val="single" w:sz="4" w:space="0" w:color="auto"/>
              <w:left w:val="single" w:sz="4" w:space="0" w:color="auto"/>
              <w:bottom w:val="single" w:sz="4" w:space="0" w:color="auto"/>
              <w:right w:val="single" w:sz="4" w:space="0" w:color="auto"/>
            </w:tcBorders>
            <w:hideMark/>
          </w:tcPr>
          <w:p w14:paraId="763F8B03" w14:textId="77777777" w:rsidR="00090CBF" w:rsidRPr="00090CBF" w:rsidRDefault="00184120">
            <w:pPr>
              <w:spacing w:line="240" w:lineRule="auto"/>
              <w:rPr>
                <w:rFonts w:asciiTheme="majorBidi" w:hAnsiTheme="majorBidi" w:cstheme="majorBidi"/>
              </w:rPr>
            </w:pPr>
            <w:hyperlink r:id="rId16" w:history="1">
              <w:r w:rsidR="00090CBF" w:rsidRPr="00090CBF">
                <w:rPr>
                  <w:rStyle w:val="Hyperlink"/>
                  <w:rFonts w:asciiTheme="majorBidi" w:hAnsiTheme="majorBidi" w:cstheme="majorBidi"/>
                  <w:lang w:val="en-US"/>
                </w:rPr>
                <w:t>shane.kelley@dot.gov</w:t>
              </w:r>
            </w:hyperlink>
          </w:p>
        </w:tc>
      </w:tr>
      <w:tr w:rsidR="00090CBF" w:rsidRPr="00090CBF" w14:paraId="77DFC6F6"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61655D76"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Tom Ferguson</w:t>
            </w:r>
          </w:p>
        </w:tc>
        <w:tc>
          <w:tcPr>
            <w:tcW w:w="2199" w:type="dxa"/>
            <w:tcBorders>
              <w:top w:val="single" w:sz="4" w:space="0" w:color="auto"/>
              <w:left w:val="single" w:sz="4" w:space="0" w:color="auto"/>
              <w:bottom w:val="single" w:sz="4" w:space="0" w:color="auto"/>
              <w:right w:val="single" w:sz="4" w:space="0" w:color="auto"/>
            </w:tcBorders>
            <w:hideMark/>
          </w:tcPr>
          <w:p w14:paraId="08BF638B"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COSTHA</w:t>
            </w:r>
          </w:p>
        </w:tc>
        <w:tc>
          <w:tcPr>
            <w:tcW w:w="4295" w:type="dxa"/>
            <w:tcBorders>
              <w:top w:val="single" w:sz="4" w:space="0" w:color="auto"/>
              <w:left w:val="single" w:sz="4" w:space="0" w:color="auto"/>
              <w:bottom w:val="single" w:sz="4" w:space="0" w:color="auto"/>
              <w:right w:val="single" w:sz="4" w:space="0" w:color="auto"/>
            </w:tcBorders>
            <w:hideMark/>
          </w:tcPr>
          <w:p w14:paraId="315A7FA6" w14:textId="77777777" w:rsidR="00090CBF" w:rsidRPr="00090CBF" w:rsidRDefault="00184120">
            <w:pPr>
              <w:spacing w:line="240" w:lineRule="auto"/>
              <w:rPr>
                <w:rFonts w:asciiTheme="majorBidi" w:hAnsiTheme="majorBidi" w:cstheme="majorBidi"/>
                <w:lang w:val="en-US"/>
              </w:rPr>
            </w:pPr>
            <w:hyperlink r:id="rId17" w:history="1">
              <w:r w:rsidR="00090CBF" w:rsidRPr="00090CBF">
                <w:rPr>
                  <w:rStyle w:val="Hyperlink"/>
                  <w:rFonts w:asciiTheme="majorBidi" w:hAnsiTheme="majorBidi" w:cstheme="majorBidi"/>
                </w:rPr>
                <w:t>tom</w:t>
              </w:r>
              <w:r w:rsidR="00090CBF" w:rsidRPr="00090CBF">
                <w:rPr>
                  <w:rStyle w:val="Hyperlink"/>
                  <w:rFonts w:asciiTheme="majorBidi" w:hAnsiTheme="majorBidi" w:cstheme="majorBidi"/>
                  <w:lang w:val="en-US"/>
                </w:rPr>
                <w:t>@costha.com</w:t>
              </w:r>
            </w:hyperlink>
          </w:p>
        </w:tc>
      </w:tr>
      <w:tr w:rsidR="00090CBF" w:rsidRPr="00090CBF" w14:paraId="71C58B9C"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EE0CC64"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 xml:space="preserve">Angeles Marcos  </w:t>
            </w:r>
          </w:p>
        </w:tc>
        <w:tc>
          <w:tcPr>
            <w:tcW w:w="2199" w:type="dxa"/>
            <w:tcBorders>
              <w:top w:val="single" w:sz="4" w:space="0" w:color="auto"/>
              <w:left w:val="single" w:sz="4" w:space="0" w:color="auto"/>
              <w:bottom w:val="single" w:sz="4" w:space="0" w:color="auto"/>
              <w:right w:val="single" w:sz="4" w:space="0" w:color="auto"/>
            </w:tcBorders>
            <w:hideMark/>
          </w:tcPr>
          <w:p w14:paraId="710E106F"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Spain </w:t>
            </w:r>
          </w:p>
        </w:tc>
        <w:tc>
          <w:tcPr>
            <w:tcW w:w="4295" w:type="dxa"/>
            <w:tcBorders>
              <w:top w:val="single" w:sz="4" w:space="0" w:color="auto"/>
              <w:left w:val="single" w:sz="4" w:space="0" w:color="auto"/>
              <w:bottom w:val="single" w:sz="4" w:space="0" w:color="auto"/>
              <w:right w:val="single" w:sz="4" w:space="0" w:color="auto"/>
            </w:tcBorders>
            <w:hideMark/>
          </w:tcPr>
          <w:p w14:paraId="4399790C" w14:textId="77777777" w:rsidR="00090CBF" w:rsidRPr="00090CBF" w:rsidRDefault="00184120">
            <w:pPr>
              <w:spacing w:line="240" w:lineRule="auto"/>
              <w:rPr>
                <w:rFonts w:asciiTheme="majorBidi" w:hAnsiTheme="majorBidi" w:cstheme="majorBidi"/>
                <w:lang w:val="en-US"/>
              </w:rPr>
            </w:pPr>
            <w:hyperlink r:id="rId18" w:history="1">
              <w:r w:rsidR="00090CBF" w:rsidRPr="00090CBF">
                <w:rPr>
                  <w:rStyle w:val="Hyperlink"/>
                  <w:rFonts w:asciiTheme="majorBidi" w:hAnsiTheme="majorBidi" w:cstheme="majorBidi"/>
                </w:rPr>
                <w:t>amarcosf@fomento.es</w:t>
              </w:r>
            </w:hyperlink>
            <w:r w:rsidR="00090CBF" w:rsidRPr="00090CBF">
              <w:rPr>
                <w:rFonts w:asciiTheme="majorBidi" w:hAnsiTheme="majorBidi" w:cstheme="majorBidi"/>
              </w:rPr>
              <w:t xml:space="preserve"> </w:t>
            </w:r>
          </w:p>
        </w:tc>
      </w:tr>
      <w:tr w:rsidR="00090CBF" w:rsidRPr="00090CBF" w14:paraId="45D75F5D"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289E019"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Genevieve  Sansoucy</w:t>
            </w:r>
          </w:p>
        </w:tc>
        <w:tc>
          <w:tcPr>
            <w:tcW w:w="2199" w:type="dxa"/>
            <w:tcBorders>
              <w:top w:val="single" w:sz="4" w:space="0" w:color="auto"/>
              <w:left w:val="single" w:sz="4" w:space="0" w:color="auto"/>
              <w:bottom w:val="single" w:sz="4" w:space="0" w:color="auto"/>
              <w:right w:val="single" w:sz="4" w:space="0" w:color="auto"/>
            </w:tcBorders>
            <w:hideMark/>
          </w:tcPr>
          <w:p w14:paraId="3E6705CF"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Canada</w:t>
            </w:r>
          </w:p>
        </w:tc>
        <w:tc>
          <w:tcPr>
            <w:tcW w:w="4295" w:type="dxa"/>
            <w:tcBorders>
              <w:top w:val="single" w:sz="4" w:space="0" w:color="auto"/>
              <w:left w:val="single" w:sz="4" w:space="0" w:color="auto"/>
              <w:bottom w:val="single" w:sz="4" w:space="0" w:color="auto"/>
              <w:right w:val="single" w:sz="4" w:space="0" w:color="auto"/>
            </w:tcBorders>
            <w:hideMark/>
          </w:tcPr>
          <w:p w14:paraId="1156B12A" w14:textId="77777777" w:rsidR="00090CBF" w:rsidRPr="00090CBF" w:rsidRDefault="00184120">
            <w:pPr>
              <w:spacing w:line="240" w:lineRule="auto"/>
              <w:rPr>
                <w:rFonts w:asciiTheme="majorBidi" w:hAnsiTheme="majorBidi" w:cstheme="majorBidi"/>
                <w:lang w:val="en-US"/>
              </w:rPr>
            </w:pPr>
            <w:hyperlink r:id="rId19" w:history="1">
              <w:r w:rsidR="00090CBF" w:rsidRPr="00090CBF">
                <w:rPr>
                  <w:rStyle w:val="Hyperlink"/>
                  <w:rFonts w:asciiTheme="majorBidi" w:hAnsiTheme="majorBidi" w:cstheme="majorBidi"/>
                  <w:lang w:val="en-US"/>
                </w:rPr>
                <w:t>genevieve.sansoucy@tc.gc.ca</w:t>
              </w:r>
            </w:hyperlink>
            <w:r w:rsidR="00090CBF" w:rsidRPr="00090CBF">
              <w:rPr>
                <w:rFonts w:asciiTheme="majorBidi" w:hAnsiTheme="majorBidi" w:cstheme="majorBidi"/>
                <w:lang w:val="en-US"/>
              </w:rPr>
              <w:t xml:space="preserve"> </w:t>
            </w:r>
          </w:p>
        </w:tc>
      </w:tr>
      <w:tr w:rsidR="00090CBF" w:rsidRPr="00090CBF" w14:paraId="02B111BC"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72725B15"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France Bernier</w:t>
            </w:r>
          </w:p>
        </w:tc>
        <w:tc>
          <w:tcPr>
            <w:tcW w:w="2199" w:type="dxa"/>
            <w:tcBorders>
              <w:top w:val="single" w:sz="4" w:space="0" w:color="auto"/>
              <w:left w:val="single" w:sz="4" w:space="0" w:color="auto"/>
              <w:bottom w:val="single" w:sz="4" w:space="0" w:color="auto"/>
              <w:right w:val="single" w:sz="4" w:space="0" w:color="auto"/>
            </w:tcBorders>
            <w:hideMark/>
          </w:tcPr>
          <w:p w14:paraId="281D2ED7"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Canada</w:t>
            </w:r>
          </w:p>
        </w:tc>
        <w:tc>
          <w:tcPr>
            <w:tcW w:w="4295" w:type="dxa"/>
            <w:tcBorders>
              <w:top w:val="single" w:sz="4" w:space="0" w:color="auto"/>
              <w:left w:val="single" w:sz="4" w:space="0" w:color="auto"/>
              <w:bottom w:val="single" w:sz="4" w:space="0" w:color="auto"/>
              <w:right w:val="single" w:sz="4" w:space="0" w:color="auto"/>
            </w:tcBorders>
            <w:hideMark/>
          </w:tcPr>
          <w:p w14:paraId="029AAB7A" w14:textId="77777777" w:rsidR="00090CBF" w:rsidRPr="00090CBF" w:rsidRDefault="00184120">
            <w:pPr>
              <w:spacing w:line="240" w:lineRule="auto"/>
              <w:rPr>
                <w:rFonts w:asciiTheme="majorBidi" w:hAnsiTheme="majorBidi" w:cstheme="majorBidi"/>
                <w:lang w:val="en-US"/>
              </w:rPr>
            </w:pPr>
            <w:hyperlink r:id="rId20" w:history="1">
              <w:r w:rsidR="00090CBF" w:rsidRPr="00090CBF">
                <w:rPr>
                  <w:rStyle w:val="Hyperlink"/>
                  <w:rFonts w:asciiTheme="majorBidi" w:hAnsiTheme="majorBidi" w:cstheme="majorBidi"/>
                  <w:lang w:val="en-US"/>
                </w:rPr>
                <w:t>france.bernier@tc.gc.ca</w:t>
              </w:r>
            </w:hyperlink>
          </w:p>
        </w:tc>
      </w:tr>
      <w:tr w:rsidR="00090CBF" w:rsidRPr="00090CBF" w14:paraId="09B98371"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E02056E"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 xml:space="preserve">Madona Radi </w:t>
            </w:r>
          </w:p>
        </w:tc>
        <w:tc>
          <w:tcPr>
            <w:tcW w:w="2199" w:type="dxa"/>
            <w:tcBorders>
              <w:top w:val="single" w:sz="4" w:space="0" w:color="auto"/>
              <w:left w:val="single" w:sz="4" w:space="0" w:color="auto"/>
              <w:bottom w:val="single" w:sz="4" w:space="0" w:color="auto"/>
              <w:right w:val="single" w:sz="4" w:space="0" w:color="auto"/>
            </w:tcBorders>
            <w:hideMark/>
          </w:tcPr>
          <w:p w14:paraId="0E973D47"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Canada </w:t>
            </w:r>
          </w:p>
        </w:tc>
        <w:tc>
          <w:tcPr>
            <w:tcW w:w="4295" w:type="dxa"/>
            <w:tcBorders>
              <w:top w:val="single" w:sz="4" w:space="0" w:color="auto"/>
              <w:left w:val="single" w:sz="4" w:space="0" w:color="auto"/>
              <w:bottom w:val="single" w:sz="4" w:space="0" w:color="auto"/>
              <w:right w:val="single" w:sz="4" w:space="0" w:color="auto"/>
            </w:tcBorders>
            <w:hideMark/>
          </w:tcPr>
          <w:p w14:paraId="5B168357" w14:textId="77777777" w:rsidR="00090CBF" w:rsidRPr="00090CBF" w:rsidRDefault="00184120">
            <w:pPr>
              <w:spacing w:line="240" w:lineRule="auto"/>
              <w:rPr>
                <w:rFonts w:asciiTheme="majorBidi" w:hAnsiTheme="majorBidi" w:cstheme="majorBidi"/>
              </w:rPr>
            </w:pPr>
            <w:hyperlink r:id="rId21" w:history="1">
              <w:r w:rsidR="00090CBF" w:rsidRPr="00090CBF">
                <w:rPr>
                  <w:rStyle w:val="Hyperlink"/>
                  <w:rFonts w:asciiTheme="majorBidi" w:hAnsiTheme="majorBidi" w:cstheme="majorBidi"/>
                </w:rPr>
                <w:t>Madona.Radi@tc.gc.ca</w:t>
              </w:r>
            </w:hyperlink>
            <w:r w:rsidR="00090CBF" w:rsidRPr="00090CBF">
              <w:rPr>
                <w:rFonts w:asciiTheme="majorBidi" w:hAnsiTheme="majorBidi" w:cstheme="majorBidi"/>
              </w:rPr>
              <w:t xml:space="preserve"> </w:t>
            </w:r>
          </w:p>
        </w:tc>
      </w:tr>
      <w:tr w:rsidR="00090CBF" w:rsidRPr="00090CBF" w14:paraId="03AA180D"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CF4299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Keith White</w:t>
            </w:r>
          </w:p>
        </w:tc>
        <w:tc>
          <w:tcPr>
            <w:tcW w:w="2199" w:type="dxa"/>
            <w:tcBorders>
              <w:top w:val="single" w:sz="4" w:space="0" w:color="auto"/>
              <w:left w:val="single" w:sz="4" w:space="0" w:color="auto"/>
              <w:bottom w:val="single" w:sz="4" w:space="0" w:color="auto"/>
              <w:right w:val="single" w:sz="4" w:space="0" w:color="auto"/>
            </w:tcBorders>
            <w:hideMark/>
          </w:tcPr>
          <w:p w14:paraId="2DEB7D43"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UK</w:t>
            </w:r>
          </w:p>
        </w:tc>
        <w:tc>
          <w:tcPr>
            <w:tcW w:w="4295" w:type="dxa"/>
            <w:tcBorders>
              <w:top w:val="single" w:sz="4" w:space="0" w:color="auto"/>
              <w:left w:val="single" w:sz="4" w:space="0" w:color="auto"/>
              <w:bottom w:val="single" w:sz="4" w:space="0" w:color="auto"/>
              <w:right w:val="single" w:sz="4" w:space="0" w:color="auto"/>
            </w:tcBorders>
            <w:hideMark/>
          </w:tcPr>
          <w:p w14:paraId="3E314829" w14:textId="77777777" w:rsidR="00090CBF" w:rsidRPr="00090CBF" w:rsidRDefault="00184120">
            <w:pPr>
              <w:spacing w:line="240" w:lineRule="auto"/>
              <w:rPr>
                <w:rFonts w:asciiTheme="majorBidi" w:hAnsiTheme="majorBidi" w:cstheme="majorBidi"/>
                <w:lang w:val="en-US"/>
              </w:rPr>
            </w:pPr>
            <w:hyperlink r:id="rId22" w:history="1">
              <w:r w:rsidR="00090CBF" w:rsidRPr="00090CBF">
                <w:rPr>
                  <w:rStyle w:val="Hyperlink"/>
                  <w:rFonts w:asciiTheme="majorBidi" w:hAnsiTheme="majorBidi" w:cstheme="majorBidi"/>
                  <w:lang w:val="en-US"/>
                </w:rPr>
                <w:t>Keith.white@vca.gov.uk</w:t>
              </w:r>
            </w:hyperlink>
          </w:p>
        </w:tc>
      </w:tr>
      <w:tr w:rsidR="00090CBF" w:rsidRPr="00090CBF" w14:paraId="562EADDC"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F696551"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 xml:space="preserve">Victor Trapani </w:t>
            </w:r>
          </w:p>
        </w:tc>
        <w:tc>
          <w:tcPr>
            <w:tcW w:w="2199" w:type="dxa"/>
            <w:tcBorders>
              <w:top w:val="single" w:sz="4" w:space="0" w:color="auto"/>
              <w:left w:val="single" w:sz="4" w:space="0" w:color="auto"/>
              <w:bottom w:val="single" w:sz="4" w:space="0" w:color="auto"/>
              <w:right w:val="single" w:sz="4" w:space="0" w:color="auto"/>
            </w:tcBorders>
            <w:hideMark/>
          </w:tcPr>
          <w:p w14:paraId="7960AFE9"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CEFIC</w:t>
            </w:r>
          </w:p>
        </w:tc>
        <w:tc>
          <w:tcPr>
            <w:tcW w:w="4295" w:type="dxa"/>
            <w:tcBorders>
              <w:top w:val="single" w:sz="4" w:space="0" w:color="auto"/>
              <w:left w:val="single" w:sz="4" w:space="0" w:color="auto"/>
              <w:bottom w:val="single" w:sz="4" w:space="0" w:color="auto"/>
              <w:right w:val="single" w:sz="4" w:space="0" w:color="auto"/>
            </w:tcBorders>
            <w:hideMark/>
          </w:tcPr>
          <w:p w14:paraId="0D497589" w14:textId="77777777" w:rsidR="00090CBF" w:rsidRPr="00090CBF" w:rsidRDefault="00184120">
            <w:pPr>
              <w:spacing w:line="240" w:lineRule="auto"/>
              <w:rPr>
                <w:rFonts w:asciiTheme="majorBidi" w:hAnsiTheme="majorBidi" w:cstheme="majorBidi"/>
                <w:lang w:val="en-US"/>
              </w:rPr>
            </w:pPr>
            <w:hyperlink r:id="rId23" w:history="1">
              <w:r w:rsidR="00090CBF" w:rsidRPr="00090CBF">
                <w:rPr>
                  <w:rStyle w:val="Hyperlink"/>
                  <w:rFonts w:asciiTheme="majorBidi" w:hAnsiTheme="majorBidi" w:cstheme="majorBidi"/>
                  <w:lang w:val="en-US"/>
                </w:rPr>
                <w:t>vtr@cefic.be</w:t>
              </w:r>
            </w:hyperlink>
            <w:r w:rsidR="00090CBF" w:rsidRPr="00090CBF">
              <w:rPr>
                <w:rFonts w:asciiTheme="majorBidi" w:hAnsiTheme="majorBidi" w:cstheme="majorBidi"/>
                <w:lang w:val="en-US"/>
              </w:rPr>
              <w:t xml:space="preserve"> </w:t>
            </w:r>
          </w:p>
        </w:tc>
      </w:tr>
      <w:tr w:rsidR="00090CBF" w:rsidRPr="00090CBF" w14:paraId="60F7D04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7D0A763"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Debra Kirk</w:t>
            </w:r>
          </w:p>
        </w:tc>
        <w:tc>
          <w:tcPr>
            <w:tcW w:w="2199" w:type="dxa"/>
            <w:tcBorders>
              <w:top w:val="single" w:sz="4" w:space="0" w:color="auto"/>
              <w:left w:val="single" w:sz="4" w:space="0" w:color="auto"/>
              <w:bottom w:val="single" w:sz="4" w:space="0" w:color="auto"/>
              <w:right w:val="single" w:sz="4" w:space="0" w:color="auto"/>
            </w:tcBorders>
            <w:hideMark/>
          </w:tcPr>
          <w:p w14:paraId="7AB27254"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Australia</w:t>
            </w:r>
          </w:p>
        </w:tc>
        <w:tc>
          <w:tcPr>
            <w:tcW w:w="4295" w:type="dxa"/>
            <w:tcBorders>
              <w:top w:val="single" w:sz="4" w:space="0" w:color="auto"/>
              <w:left w:val="single" w:sz="4" w:space="0" w:color="auto"/>
              <w:bottom w:val="single" w:sz="4" w:space="0" w:color="auto"/>
              <w:right w:val="single" w:sz="4" w:space="0" w:color="auto"/>
            </w:tcBorders>
            <w:hideMark/>
          </w:tcPr>
          <w:p w14:paraId="2AD8F9E7" w14:textId="77777777" w:rsidR="00090CBF" w:rsidRPr="00090CBF" w:rsidRDefault="00184120">
            <w:pPr>
              <w:spacing w:line="240" w:lineRule="auto"/>
              <w:rPr>
                <w:rFonts w:asciiTheme="majorBidi" w:hAnsiTheme="majorBidi" w:cstheme="majorBidi"/>
                <w:lang w:val="en-US"/>
              </w:rPr>
            </w:pPr>
            <w:hyperlink r:id="rId24" w:history="1">
              <w:r w:rsidR="00090CBF" w:rsidRPr="00090CBF">
                <w:rPr>
                  <w:rStyle w:val="Hyperlink"/>
                  <w:rFonts w:asciiTheme="majorBidi" w:hAnsiTheme="majorBidi" w:cstheme="majorBidi"/>
                  <w:lang w:val="en-US"/>
                </w:rPr>
                <w:t>dkirk@ntc.gov.au</w:t>
              </w:r>
            </w:hyperlink>
            <w:r w:rsidR="00090CBF" w:rsidRPr="00090CBF">
              <w:rPr>
                <w:rFonts w:asciiTheme="majorBidi" w:hAnsiTheme="majorBidi" w:cstheme="majorBidi"/>
                <w:lang w:val="en-US"/>
              </w:rPr>
              <w:t xml:space="preserve"> </w:t>
            </w:r>
          </w:p>
        </w:tc>
      </w:tr>
      <w:tr w:rsidR="00090CBF" w:rsidRPr="00090CBF" w14:paraId="5D7EF6DC"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1DFE514B"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Elias Huber</w:t>
            </w:r>
          </w:p>
        </w:tc>
        <w:tc>
          <w:tcPr>
            <w:tcW w:w="2199" w:type="dxa"/>
            <w:tcBorders>
              <w:top w:val="single" w:sz="4" w:space="0" w:color="auto"/>
              <w:left w:val="single" w:sz="4" w:space="0" w:color="auto"/>
              <w:bottom w:val="single" w:sz="4" w:space="0" w:color="auto"/>
              <w:right w:val="single" w:sz="4" w:space="0" w:color="auto"/>
            </w:tcBorders>
            <w:hideMark/>
          </w:tcPr>
          <w:p w14:paraId="40817CB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Austria</w:t>
            </w:r>
          </w:p>
        </w:tc>
        <w:tc>
          <w:tcPr>
            <w:tcW w:w="4295" w:type="dxa"/>
            <w:tcBorders>
              <w:top w:val="single" w:sz="4" w:space="0" w:color="auto"/>
              <w:left w:val="single" w:sz="4" w:space="0" w:color="auto"/>
              <w:bottom w:val="single" w:sz="4" w:space="0" w:color="auto"/>
              <w:right w:val="single" w:sz="4" w:space="0" w:color="auto"/>
            </w:tcBorders>
            <w:hideMark/>
          </w:tcPr>
          <w:p w14:paraId="429B5E57" w14:textId="77777777" w:rsidR="00090CBF" w:rsidRPr="00090CBF" w:rsidRDefault="00184120">
            <w:pPr>
              <w:spacing w:line="240" w:lineRule="auto"/>
              <w:rPr>
                <w:rFonts w:asciiTheme="majorBidi" w:hAnsiTheme="majorBidi" w:cstheme="majorBidi"/>
                <w:lang w:val="en-US"/>
              </w:rPr>
            </w:pPr>
            <w:hyperlink r:id="rId25" w:history="1">
              <w:r w:rsidR="00090CBF" w:rsidRPr="00090CBF">
                <w:rPr>
                  <w:rStyle w:val="Hyperlink"/>
                  <w:rFonts w:asciiTheme="majorBidi" w:hAnsiTheme="majorBidi" w:cstheme="majorBidi"/>
                </w:rPr>
                <w:t>elias.huber</w:t>
              </w:r>
              <w:r w:rsidR="00090CBF" w:rsidRPr="00090CBF">
                <w:rPr>
                  <w:rStyle w:val="Hyperlink"/>
                  <w:rFonts w:asciiTheme="majorBidi" w:hAnsiTheme="majorBidi" w:cstheme="majorBidi"/>
                  <w:lang w:val="en-US"/>
                </w:rPr>
                <w:t>@bmvit.gv.at</w:t>
              </w:r>
            </w:hyperlink>
          </w:p>
        </w:tc>
      </w:tr>
      <w:tr w:rsidR="00090CBF" w:rsidRPr="00090CBF" w14:paraId="3D4A1F34"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6AD14C28"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Remko Dardenne</w:t>
            </w:r>
          </w:p>
        </w:tc>
        <w:tc>
          <w:tcPr>
            <w:tcW w:w="2199" w:type="dxa"/>
            <w:tcBorders>
              <w:top w:val="single" w:sz="4" w:space="0" w:color="auto"/>
              <w:left w:val="single" w:sz="4" w:space="0" w:color="auto"/>
              <w:bottom w:val="single" w:sz="4" w:space="0" w:color="auto"/>
              <w:right w:val="single" w:sz="4" w:space="0" w:color="auto"/>
            </w:tcBorders>
            <w:hideMark/>
          </w:tcPr>
          <w:p w14:paraId="7A638C7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Belgium </w:t>
            </w:r>
          </w:p>
        </w:tc>
        <w:tc>
          <w:tcPr>
            <w:tcW w:w="4295" w:type="dxa"/>
            <w:tcBorders>
              <w:top w:val="single" w:sz="4" w:space="0" w:color="auto"/>
              <w:left w:val="single" w:sz="4" w:space="0" w:color="auto"/>
              <w:bottom w:val="single" w:sz="4" w:space="0" w:color="auto"/>
              <w:right w:val="single" w:sz="4" w:space="0" w:color="auto"/>
            </w:tcBorders>
            <w:hideMark/>
          </w:tcPr>
          <w:p w14:paraId="5811C89D" w14:textId="77777777" w:rsidR="00090CBF" w:rsidRPr="00090CBF" w:rsidRDefault="00184120">
            <w:pPr>
              <w:spacing w:line="240" w:lineRule="auto"/>
              <w:rPr>
                <w:rFonts w:asciiTheme="majorBidi" w:hAnsiTheme="majorBidi" w:cstheme="majorBidi"/>
                <w:lang w:val="en-US"/>
              </w:rPr>
            </w:pPr>
            <w:hyperlink r:id="rId26" w:history="1">
              <w:r w:rsidR="00090CBF" w:rsidRPr="00090CBF">
                <w:rPr>
                  <w:rStyle w:val="Hyperlink"/>
                  <w:rFonts w:asciiTheme="majorBidi" w:hAnsiTheme="majorBidi" w:cstheme="majorBidi"/>
                  <w:lang w:val="en-US"/>
                </w:rPr>
                <w:t>Remko.dardenne@mobilit.fgov.be</w:t>
              </w:r>
            </w:hyperlink>
            <w:r w:rsidR="00090CBF" w:rsidRPr="00090CBF">
              <w:rPr>
                <w:rFonts w:asciiTheme="majorBidi" w:hAnsiTheme="majorBidi" w:cstheme="majorBidi"/>
                <w:lang w:val="en-US"/>
              </w:rPr>
              <w:t xml:space="preserve"> </w:t>
            </w:r>
          </w:p>
        </w:tc>
      </w:tr>
      <w:tr w:rsidR="00090CBF" w:rsidRPr="00090CBF" w14:paraId="369261AF"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F9BE482"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Hannes Demare</w:t>
            </w:r>
          </w:p>
        </w:tc>
        <w:tc>
          <w:tcPr>
            <w:tcW w:w="2199" w:type="dxa"/>
            <w:tcBorders>
              <w:top w:val="single" w:sz="4" w:space="0" w:color="auto"/>
              <w:left w:val="single" w:sz="4" w:space="0" w:color="auto"/>
              <w:bottom w:val="single" w:sz="4" w:space="0" w:color="auto"/>
              <w:right w:val="single" w:sz="4" w:space="0" w:color="auto"/>
            </w:tcBorders>
            <w:hideMark/>
          </w:tcPr>
          <w:p w14:paraId="7A9A282A"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Belgium</w:t>
            </w:r>
          </w:p>
        </w:tc>
        <w:tc>
          <w:tcPr>
            <w:tcW w:w="4295" w:type="dxa"/>
            <w:tcBorders>
              <w:top w:val="single" w:sz="4" w:space="0" w:color="auto"/>
              <w:left w:val="single" w:sz="4" w:space="0" w:color="auto"/>
              <w:bottom w:val="single" w:sz="4" w:space="0" w:color="auto"/>
              <w:right w:val="single" w:sz="4" w:space="0" w:color="auto"/>
            </w:tcBorders>
            <w:hideMark/>
          </w:tcPr>
          <w:p w14:paraId="0703C467" w14:textId="77777777" w:rsidR="00090CBF" w:rsidRPr="00090CBF" w:rsidRDefault="00184120">
            <w:pPr>
              <w:spacing w:line="240" w:lineRule="auto"/>
              <w:rPr>
                <w:rFonts w:asciiTheme="majorBidi" w:hAnsiTheme="majorBidi" w:cstheme="majorBidi"/>
              </w:rPr>
            </w:pPr>
            <w:hyperlink r:id="rId27" w:history="1">
              <w:r w:rsidR="00090CBF" w:rsidRPr="00090CBF">
                <w:rPr>
                  <w:rStyle w:val="Hyperlink"/>
                  <w:rFonts w:asciiTheme="majorBidi" w:hAnsiTheme="majorBidi" w:cstheme="majorBidi"/>
                  <w:lang w:val="en-US"/>
                </w:rPr>
                <w:t>hannes.demare@mobilit.fgov.be</w:t>
              </w:r>
            </w:hyperlink>
          </w:p>
        </w:tc>
      </w:tr>
      <w:tr w:rsidR="00090CBF" w:rsidRPr="00090CBF" w14:paraId="105C87CB"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8BA4E3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Fan Bin </w:t>
            </w:r>
          </w:p>
        </w:tc>
        <w:tc>
          <w:tcPr>
            <w:tcW w:w="2199" w:type="dxa"/>
            <w:tcBorders>
              <w:top w:val="single" w:sz="4" w:space="0" w:color="auto"/>
              <w:left w:val="single" w:sz="4" w:space="0" w:color="auto"/>
              <w:bottom w:val="single" w:sz="4" w:space="0" w:color="auto"/>
              <w:right w:val="single" w:sz="4" w:space="0" w:color="auto"/>
            </w:tcBorders>
            <w:hideMark/>
          </w:tcPr>
          <w:p w14:paraId="0E5867EF"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China</w:t>
            </w:r>
          </w:p>
        </w:tc>
        <w:tc>
          <w:tcPr>
            <w:tcW w:w="4295" w:type="dxa"/>
            <w:tcBorders>
              <w:top w:val="single" w:sz="4" w:space="0" w:color="auto"/>
              <w:left w:val="single" w:sz="4" w:space="0" w:color="auto"/>
              <w:bottom w:val="single" w:sz="4" w:space="0" w:color="auto"/>
              <w:right w:val="single" w:sz="4" w:space="0" w:color="auto"/>
            </w:tcBorders>
            <w:hideMark/>
          </w:tcPr>
          <w:p w14:paraId="7097F345" w14:textId="77777777" w:rsidR="00090CBF" w:rsidRPr="00090CBF" w:rsidRDefault="00184120">
            <w:pPr>
              <w:spacing w:line="240" w:lineRule="auto"/>
              <w:rPr>
                <w:rFonts w:asciiTheme="majorBidi" w:hAnsiTheme="majorBidi" w:cstheme="majorBidi"/>
                <w:lang w:val="en-US"/>
              </w:rPr>
            </w:pPr>
            <w:hyperlink r:id="rId28" w:history="1">
              <w:r w:rsidR="00090CBF" w:rsidRPr="00090CBF">
                <w:rPr>
                  <w:rStyle w:val="Hyperlink"/>
                  <w:rFonts w:asciiTheme="majorBidi" w:hAnsiTheme="majorBidi" w:cstheme="majorBidi"/>
                  <w:lang w:val="en-US"/>
                </w:rPr>
                <w:t>fb@ghs.cn</w:t>
              </w:r>
            </w:hyperlink>
            <w:r w:rsidR="00090CBF" w:rsidRPr="00090CBF">
              <w:rPr>
                <w:rFonts w:asciiTheme="majorBidi" w:hAnsiTheme="majorBidi" w:cstheme="majorBidi"/>
                <w:lang w:val="en-US"/>
              </w:rPr>
              <w:t xml:space="preserve"> </w:t>
            </w:r>
          </w:p>
        </w:tc>
      </w:tr>
      <w:tr w:rsidR="00090CBF" w:rsidRPr="00090CBF" w14:paraId="618F358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8D2359C"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Li Xiaoyu</w:t>
            </w:r>
          </w:p>
        </w:tc>
        <w:tc>
          <w:tcPr>
            <w:tcW w:w="2199" w:type="dxa"/>
            <w:tcBorders>
              <w:top w:val="single" w:sz="4" w:space="0" w:color="auto"/>
              <w:left w:val="single" w:sz="4" w:space="0" w:color="auto"/>
              <w:bottom w:val="single" w:sz="4" w:space="0" w:color="auto"/>
              <w:right w:val="single" w:sz="4" w:space="0" w:color="auto"/>
            </w:tcBorders>
            <w:hideMark/>
          </w:tcPr>
          <w:p w14:paraId="435F8AB9"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China</w:t>
            </w:r>
          </w:p>
        </w:tc>
        <w:tc>
          <w:tcPr>
            <w:tcW w:w="4295" w:type="dxa"/>
            <w:tcBorders>
              <w:top w:val="single" w:sz="4" w:space="0" w:color="auto"/>
              <w:left w:val="single" w:sz="4" w:space="0" w:color="auto"/>
              <w:bottom w:val="single" w:sz="4" w:space="0" w:color="auto"/>
              <w:right w:val="single" w:sz="4" w:space="0" w:color="auto"/>
            </w:tcBorders>
            <w:hideMark/>
          </w:tcPr>
          <w:p w14:paraId="4359A802" w14:textId="77777777" w:rsidR="00090CBF" w:rsidRPr="00090CBF" w:rsidRDefault="00184120">
            <w:pPr>
              <w:spacing w:line="240" w:lineRule="auto"/>
              <w:rPr>
                <w:rFonts w:asciiTheme="majorBidi" w:hAnsiTheme="majorBidi" w:cstheme="majorBidi"/>
                <w:lang w:val="en-US"/>
              </w:rPr>
            </w:pPr>
            <w:hyperlink r:id="rId29" w:history="1">
              <w:r w:rsidR="00090CBF" w:rsidRPr="00090CBF">
                <w:rPr>
                  <w:rStyle w:val="Hyperlink"/>
                  <w:rFonts w:asciiTheme="majorBidi" w:hAnsiTheme="majorBidi" w:cstheme="majorBidi"/>
                  <w:lang w:val="en-US"/>
                </w:rPr>
                <w:t>lxy@ghs.cn</w:t>
              </w:r>
            </w:hyperlink>
          </w:p>
        </w:tc>
      </w:tr>
      <w:tr w:rsidR="00090CBF" w:rsidRPr="00090CBF" w14:paraId="7D03E764"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E059652"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 xml:space="preserve">Aaron Wiener </w:t>
            </w:r>
          </w:p>
        </w:tc>
        <w:tc>
          <w:tcPr>
            <w:tcW w:w="2199" w:type="dxa"/>
            <w:tcBorders>
              <w:top w:val="single" w:sz="4" w:space="0" w:color="auto"/>
              <w:left w:val="single" w:sz="4" w:space="0" w:color="auto"/>
              <w:bottom w:val="single" w:sz="4" w:space="0" w:color="auto"/>
              <w:right w:val="single" w:sz="4" w:space="0" w:color="auto"/>
            </w:tcBorders>
            <w:hideMark/>
          </w:tcPr>
          <w:p w14:paraId="4764A18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USA</w:t>
            </w:r>
          </w:p>
        </w:tc>
        <w:tc>
          <w:tcPr>
            <w:tcW w:w="4295" w:type="dxa"/>
            <w:tcBorders>
              <w:top w:val="single" w:sz="4" w:space="0" w:color="auto"/>
              <w:left w:val="single" w:sz="4" w:space="0" w:color="auto"/>
              <w:bottom w:val="single" w:sz="4" w:space="0" w:color="auto"/>
              <w:right w:val="single" w:sz="4" w:space="0" w:color="auto"/>
            </w:tcBorders>
            <w:hideMark/>
          </w:tcPr>
          <w:p w14:paraId="7A968F49" w14:textId="77777777" w:rsidR="00090CBF" w:rsidRPr="00090CBF" w:rsidRDefault="00184120">
            <w:pPr>
              <w:spacing w:line="240" w:lineRule="auto"/>
              <w:rPr>
                <w:rFonts w:asciiTheme="majorBidi" w:hAnsiTheme="majorBidi" w:cstheme="majorBidi"/>
                <w:lang w:val="en-US"/>
              </w:rPr>
            </w:pPr>
            <w:hyperlink r:id="rId30" w:history="1">
              <w:r w:rsidR="00090CBF" w:rsidRPr="00090CBF">
                <w:rPr>
                  <w:rStyle w:val="Hyperlink"/>
                  <w:rFonts w:asciiTheme="majorBidi" w:hAnsiTheme="majorBidi" w:cstheme="majorBidi"/>
                </w:rPr>
                <w:t>aaron.wiener</w:t>
              </w:r>
              <w:r w:rsidR="00090CBF" w:rsidRPr="00090CBF">
                <w:rPr>
                  <w:rStyle w:val="Hyperlink"/>
                  <w:rFonts w:asciiTheme="majorBidi" w:hAnsiTheme="majorBidi" w:cstheme="majorBidi"/>
                  <w:lang w:val="en-US"/>
                </w:rPr>
                <w:t>@dot.gov</w:t>
              </w:r>
            </w:hyperlink>
          </w:p>
        </w:tc>
      </w:tr>
      <w:tr w:rsidR="00090CBF" w:rsidRPr="00090CBF" w14:paraId="1FD04ADB"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19D0DB8B"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Thilo Klein</w:t>
            </w:r>
          </w:p>
        </w:tc>
        <w:tc>
          <w:tcPr>
            <w:tcW w:w="2199" w:type="dxa"/>
            <w:tcBorders>
              <w:top w:val="single" w:sz="4" w:space="0" w:color="auto"/>
              <w:left w:val="single" w:sz="4" w:space="0" w:color="auto"/>
              <w:bottom w:val="single" w:sz="4" w:space="0" w:color="auto"/>
              <w:right w:val="single" w:sz="4" w:space="0" w:color="auto"/>
            </w:tcBorders>
            <w:hideMark/>
          </w:tcPr>
          <w:p w14:paraId="7C8332D7"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ICPP</w:t>
            </w:r>
          </w:p>
        </w:tc>
        <w:tc>
          <w:tcPr>
            <w:tcW w:w="4295" w:type="dxa"/>
            <w:tcBorders>
              <w:top w:val="single" w:sz="4" w:space="0" w:color="auto"/>
              <w:left w:val="single" w:sz="4" w:space="0" w:color="auto"/>
              <w:bottom w:val="single" w:sz="4" w:space="0" w:color="auto"/>
              <w:right w:val="single" w:sz="4" w:space="0" w:color="auto"/>
            </w:tcBorders>
            <w:hideMark/>
          </w:tcPr>
          <w:p w14:paraId="50427005" w14:textId="77777777" w:rsidR="00090CBF" w:rsidRPr="00090CBF" w:rsidRDefault="00184120">
            <w:pPr>
              <w:spacing w:line="240" w:lineRule="auto"/>
              <w:rPr>
                <w:rFonts w:asciiTheme="majorBidi" w:hAnsiTheme="majorBidi" w:cstheme="majorBidi"/>
              </w:rPr>
            </w:pPr>
            <w:hyperlink r:id="rId31" w:history="1">
              <w:r w:rsidR="00090CBF" w:rsidRPr="00090CBF">
                <w:rPr>
                  <w:rStyle w:val="Hyperlink"/>
                  <w:rFonts w:asciiTheme="majorBidi" w:hAnsiTheme="majorBidi" w:cstheme="majorBidi"/>
                  <w:lang w:val="en-US"/>
                </w:rPr>
                <w:t>thilo.klein@schuetz.net</w:t>
              </w:r>
            </w:hyperlink>
          </w:p>
        </w:tc>
      </w:tr>
      <w:tr w:rsidR="00090CBF" w:rsidRPr="00090CBF" w14:paraId="1A107EC3"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14D481A3"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Chris Lind</w:t>
            </w:r>
          </w:p>
        </w:tc>
        <w:tc>
          <w:tcPr>
            <w:tcW w:w="2199" w:type="dxa"/>
            <w:tcBorders>
              <w:top w:val="single" w:sz="4" w:space="0" w:color="auto"/>
              <w:left w:val="single" w:sz="4" w:space="0" w:color="auto"/>
              <w:bottom w:val="single" w:sz="4" w:space="0" w:color="auto"/>
              <w:right w:val="single" w:sz="4" w:space="0" w:color="auto"/>
            </w:tcBorders>
            <w:hideMark/>
          </w:tcPr>
          <w:p w14:paraId="377E0808"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ICCP /IFDI</w:t>
            </w:r>
          </w:p>
        </w:tc>
        <w:tc>
          <w:tcPr>
            <w:tcW w:w="4295" w:type="dxa"/>
            <w:tcBorders>
              <w:top w:val="single" w:sz="4" w:space="0" w:color="auto"/>
              <w:left w:val="single" w:sz="4" w:space="0" w:color="auto"/>
              <w:bottom w:val="single" w:sz="4" w:space="0" w:color="auto"/>
              <w:right w:val="single" w:sz="4" w:space="0" w:color="auto"/>
            </w:tcBorders>
            <w:hideMark/>
          </w:tcPr>
          <w:p w14:paraId="7906EF1F" w14:textId="77777777" w:rsidR="00090CBF" w:rsidRPr="00090CBF" w:rsidRDefault="00184120">
            <w:pPr>
              <w:spacing w:line="240" w:lineRule="auto"/>
              <w:rPr>
                <w:rFonts w:asciiTheme="majorBidi" w:hAnsiTheme="majorBidi" w:cstheme="majorBidi"/>
                <w:lang w:val="en-US"/>
              </w:rPr>
            </w:pPr>
            <w:hyperlink r:id="rId32" w:history="1">
              <w:r w:rsidR="00090CBF" w:rsidRPr="00090CBF">
                <w:rPr>
                  <w:rStyle w:val="Hyperlink"/>
                  <w:rFonts w:asciiTheme="majorBidi" w:hAnsiTheme="majorBidi" w:cstheme="majorBidi"/>
                  <w:lang w:val="en-US"/>
                </w:rPr>
                <w:t>cbl53@mac.com</w:t>
              </w:r>
            </w:hyperlink>
          </w:p>
        </w:tc>
      </w:tr>
      <w:tr w:rsidR="00090CBF" w:rsidRPr="00090CBF" w14:paraId="2AB1840D"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05DBB41E"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 xml:space="preserve">Marcel Neitsch </w:t>
            </w:r>
          </w:p>
        </w:tc>
        <w:tc>
          <w:tcPr>
            <w:tcW w:w="2199" w:type="dxa"/>
            <w:tcBorders>
              <w:top w:val="single" w:sz="4" w:space="0" w:color="auto"/>
              <w:left w:val="single" w:sz="4" w:space="0" w:color="auto"/>
              <w:bottom w:val="single" w:sz="4" w:space="0" w:color="auto"/>
              <w:right w:val="single" w:sz="4" w:space="0" w:color="auto"/>
            </w:tcBorders>
            <w:hideMark/>
          </w:tcPr>
          <w:p w14:paraId="58999BF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Germany </w:t>
            </w:r>
          </w:p>
        </w:tc>
        <w:tc>
          <w:tcPr>
            <w:tcW w:w="4295" w:type="dxa"/>
            <w:tcBorders>
              <w:top w:val="single" w:sz="4" w:space="0" w:color="auto"/>
              <w:left w:val="single" w:sz="4" w:space="0" w:color="auto"/>
              <w:bottom w:val="single" w:sz="4" w:space="0" w:color="auto"/>
              <w:right w:val="single" w:sz="4" w:space="0" w:color="auto"/>
            </w:tcBorders>
            <w:hideMark/>
          </w:tcPr>
          <w:p w14:paraId="180248DA" w14:textId="77777777" w:rsidR="00090CBF" w:rsidRPr="00090CBF" w:rsidRDefault="00184120">
            <w:pPr>
              <w:spacing w:line="240" w:lineRule="auto"/>
              <w:rPr>
                <w:rFonts w:asciiTheme="majorBidi" w:hAnsiTheme="majorBidi" w:cstheme="majorBidi"/>
                <w:lang w:val="en-US"/>
              </w:rPr>
            </w:pPr>
            <w:hyperlink r:id="rId33" w:history="1">
              <w:r w:rsidR="00090CBF" w:rsidRPr="00090CBF">
                <w:rPr>
                  <w:rStyle w:val="Hyperlink"/>
                  <w:rFonts w:asciiTheme="majorBidi" w:hAnsiTheme="majorBidi" w:cstheme="majorBidi"/>
                </w:rPr>
                <w:t>Marcel.neitsh@bam.de</w:t>
              </w:r>
            </w:hyperlink>
            <w:r w:rsidR="00090CBF" w:rsidRPr="00090CBF">
              <w:rPr>
                <w:rFonts w:asciiTheme="majorBidi" w:hAnsiTheme="majorBidi" w:cstheme="majorBidi"/>
              </w:rPr>
              <w:t xml:space="preserve"> </w:t>
            </w:r>
          </w:p>
        </w:tc>
      </w:tr>
      <w:tr w:rsidR="00090CBF" w:rsidRPr="00090CBF" w14:paraId="4BFAC2F2"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7723AAAE"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Korinna Rawkoski</w:t>
            </w:r>
          </w:p>
        </w:tc>
        <w:tc>
          <w:tcPr>
            <w:tcW w:w="2199" w:type="dxa"/>
            <w:tcBorders>
              <w:top w:val="single" w:sz="4" w:space="0" w:color="auto"/>
              <w:left w:val="single" w:sz="4" w:space="0" w:color="auto"/>
              <w:bottom w:val="single" w:sz="4" w:space="0" w:color="auto"/>
              <w:right w:val="single" w:sz="4" w:space="0" w:color="auto"/>
            </w:tcBorders>
            <w:hideMark/>
          </w:tcPr>
          <w:p w14:paraId="2E57CBC0"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Germany</w:t>
            </w:r>
          </w:p>
        </w:tc>
        <w:tc>
          <w:tcPr>
            <w:tcW w:w="4295" w:type="dxa"/>
            <w:tcBorders>
              <w:top w:val="single" w:sz="4" w:space="0" w:color="auto"/>
              <w:left w:val="single" w:sz="4" w:space="0" w:color="auto"/>
              <w:bottom w:val="single" w:sz="4" w:space="0" w:color="auto"/>
              <w:right w:val="single" w:sz="4" w:space="0" w:color="auto"/>
            </w:tcBorders>
            <w:hideMark/>
          </w:tcPr>
          <w:p w14:paraId="79304602" w14:textId="77777777" w:rsidR="00090CBF" w:rsidRPr="00090CBF" w:rsidRDefault="00184120">
            <w:pPr>
              <w:spacing w:line="240" w:lineRule="auto"/>
              <w:rPr>
                <w:rFonts w:asciiTheme="majorBidi" w:hAnsiTheme="majorBidi" w:cstheme="majorBidi"/>
              </w:rPr>
            </w:pPr>
            <w:hyperlink r:id="rId34" w:history="1">
              <w:r w:rsidR="00090CBF" w:rsidRPr="00090CBF">
                <w:rPr>
                  <w:rStyle w:val="Hyperlink"/>
                  <w:rFonts w:asciiTheme="majorBidi" w:hAnsiTheme="majorBidi" w:cstheme="majorBidi"/>
                </w:rPr>
                <w:t>Korinna.Rakowski@bmvi.bund.de</w:t>
              </w:r>
            </w:hyperlink>
            <w:r w:rsidR="00090CBF" w:rsidRPr="00090CBF">
              <w:rPr>
                <w:rFonts w:asciiTheme="majorBidi" w:hAnsiTheme="majorBidi" w:cstheme="majorBidi"/>
              </w:rPr>
              <w:t xml:space="preserve"> </w:t>
            </w:r>
          </w:p>
        </w:tc>
      </w:tr>
      <w:tr w:rsidR="00090CBF" w:rsidRPr="00090CBF" w14:paraId="79D511A1"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6E15A07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Dieter Heitkamp</w:t>
            </w:r>
          </w:p>
        </w:tc>
        <w:tc>
          <w:tcPr>
            <w:tcW w:w="2199" w:type="dxa"/>
            <w:tcBorders>
              <w:top w:val="single" w:sz="4" w:space="0" w:color="auto"/>
              <w:left w:val="single" w:sz="4" w:space="0" w:color="auto"/>
              <w:bottom w:val="single" w:sz="4" w:space="0" w:color="auto"/>
              <w:right w:val="single" w:sz="4" w:space="0" w:color="auto"/>
            </w:tcBorders>
            <w:hideMark/>
          </w:tcPr>
          <w:p w14:paraId="4EB909C8"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CEFIC</w:t>
            </w:r>
          </w:p>
        </w:tc>
        <w:tc>
          <w:tcPr>
            <w:tcW w:w="4295" w:type="dxa"/>
            <w:tcBorders>
              <w:top w:val="single" w:sz="4" w:space="0" w:color="auto"/>
              <w:left w:val="single" w:sz="4" w:space="0" w:color="auto"/>
              <w:bottom w:val="single" w:sz="4" w:space="0" w:color="auto"/>
              <w:right w:val="single" w:sz="4" w:space="0" w:color="auto"/>
            </w:tcBorders>
            <w:hideMark/>
          </w:tcPr>
          <w:p w14:paraId="2BB92BE1" w14:textId="77777777" w:rsidR="00090CBF" w:rsidRPr="00090CBF" w:rsidRDefault="00184120">
            <w:pPr>
              <w:spacing w:line="240" w:lineRule="auto"/>
              <w:rPr>
                <w:rFonts w:asciiTheme="majorBidi" w:hAnsiTheme="majorBidi" w:cstheme="majorBidi"/>
                <w:lang w:val="en-US"/>
              </w:rPr>
            </w:pPr>
            <w:hyperlink r:id="rId35" w:history="1">
              <w:r w:rsidR="00090CBF" w:rsidRPr="00090CBF">
                <w:rPr>
                  <w:rStyle w:val="Hyperlink"/>
                  <w:rFonts w:asciiTheme="majorBidi" w:hAnsiTheme="majorBidi" w:cstheme="majorBidi"/>
                </w:rPr>
                <w:t>Dieter.heitkamp@basf.com</w:t>
              </w:r>
            </w:hyperlink>
            <w:r w:rsidR="00090CBF" w:rsidRPr="00090CBF">
              <w:rPr>
                <w:rFonts w:asciiTheme="majorBidi" w:hAnsiTheme="majorBidi" w:cstheme="majorBidi"/>
              </w:rPr>
              <w:t xml:space="preserve">   </w:t>
            </w:r>
          </w:p>
        </w:tc>
      </w:tr>
      <w:tr w:rsidR="00090CBF" w:rsidRPr="00090CBF" w14:paraId="573A59E4"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7E1244D8"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Kristel Vermeersch</w:t>
            </w:r>
          </w:p>
        </w:tc>
        <w:tc>
          <w:tcPr>
            <w:tcW w:w="2199" w:type="dxa"/>
            <w:tcBorders>
              <w:top w:val="single" w:sz="4" w:space="0" w:color="auto"/>
              <w:left w:val="single" w:sz="4" w:space="0" w:color="auto"/>
              <w:bottom w:val="single" w:sz="4" w:space="0" w:color="auto"/>
              <w:right w:val="single" w:sz="4" w:space="0" w:color="auto"/>
            </w:tcBorders>
            <w:hideMark/>
          </w:tcPr>
          <w:p w14:paraId="1DE8204F"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Belgium</w:t>
            </w:r>
          </w:p>
        </w:tc>
        <w:tc>
          <w:tcPr>
            <w:tcW w:w="4295" w:type="dxa"/>
            <w:tcBorders>
              <w:top w:val="single" w:sz="4" w:space="0" w:color="auto"/>
              <w:left w:val="single" w:sz="4" w:space="0" w:color="auto"/>
              <w:bottom w:val="single" w:sz="4" w:space="0" w:color="auto"/>
              <w:right w:val="single" w:sz="4" w:space="0" w:color="auto"/>
            </w:tcBorders>
            <w:hideMark/>
          </w:tcPr>
          <w:p w14:paraId="6D2C4AB1" w14:textId="77777777" w:rsidR="00090CBF" w:rsidRPr="00090CBF" w:rsidRDefault="00184120">
            <w:pPr>
              <w:spacing w:line="240" w:lineRule="auto"/>
              <w:rPr>
                <w:rFonts w:asciiTheme="majorBidi" w:hAnsiTheme="majorBidi" w:cstheme="majorBidi"/>
                <w:lang w:val="en-US"/>
              </w:rPr>
            </w:pPr>
            <w:hyperlink r:id="rId36" w:history="1">
              <w:r w:rsidR="00090CBF" w:rsidRPr="00090CBF">
                <w:rPr>
                  <w:rStyle w:val="Hyperlink"/>
                  <w:rFonts w:asciiTheme="majorBidi" w:hAnsiTheme="majorBidi" w:cstheme="majorBidi"/>
                  <w:lang w:val="en-US"/>
                </w:rPr>
                <w:t>kristel.vermeersch@kvspartners.be</w:t>
              </w:r>
            </w:hyperlink>
          </w:p>
        </w:tc>
      </w:tr>
      <w:tr w:rsidR="00090CBF" w:rsidRPr="00090CBF" w14:paraId="333139E1"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749767C0"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Yasmijn van der Knapp</w:t>
            </w:r>
          </w:p>
        </w:tc>
        <w:tc>
          <w:tcPr>
            <w:tcW w:w="2199" w:type="dxa"/>
            <w:tcBorders>
              <w:top w:val="single" w:sz="4" w:space="0" w:color="auto"/>
              <w:left w:val="single" w:sz="4" w:space="0" w:color="auto"/>
              <w:bottom w:val="single" w:sz="4" w:space="0" w:color="auto"/>
              <w:right w:val="single" w:sz="4" w:space="0" w:color="auto"/>
            </w:tcBorders>
            <w:hideMark/>
          </w:tcPr>
          <w:p w14:paraId="6F742E7A"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Netherlands</w:t>
            </w:r>
          </w:p>
        </w:tc>
        <w:tc>
          <w:tcPr>
            <w:tcW w:w="4295" w:type="dxa"/>
            <w:tcBorders>
              <w:top w:val="single" w:sz="4" w:space="0" w:color="auto"/>
              <w:left w:val="single" w:sz="4" w:space="0" w:color="auto"/>
              <w:bottom w:val="single" w:sz="4" w:space="0" w:color="auto"/>
              <w:right w:val="single" w:sz="4" w:space="0" w:color="auto"/>
            </w:tcBorders>
            <w:hideMark/>
          </w:tcPr>
          <w:p w14:paraId="5727F6BB" w14:textId="77777777" w:rsidR="00090CBF" w:rsidRPr="00090CBF" w:rsidRDefault="00184120">
            <w:pPr>
              <w:spacing w:line="240" w:lineRule="auto"/>
              <w:rPr>
                <w:rFonts w:asciiTheme="majorBidi" w:hAnsiTheme="majorBidi" w:cstheme="majorBidi"/>
                <w:lang w:val="en-US"/>
              </w:rPr>
            </w:pPr>
            <w:hyperlink r:id="rId37" w:history="1">
              <w:r w:rsidR="00090CBF" w:rsidRPr="00090CBF">
                <w:rPr>
                  <w:rStyle w:val="Hyperlink"/>
                  <w:rFonts w:asciiTheme="majorBidi" w:hAnsiTheme="majorBidi" w:cstheme="majorBidi"/>
                  <w:lang w:val="en-US"/>
                </w:rPr>
                <w:t>Yasmijn.van.der.knapp@rivm.nl</w:t>
              </w:r>
            </w:hyperlink>
            <w:r w:rsidR="00090CBF" w:rsidRPr="00090CBF">
              <w:rPr>
                <w:rFonts w:asciiTheme="majorBidi" w:hAnsiTheme="majorBidi" w:cstheme="majorBidi"/>
                <w:lang w:val="en-US"/>
              </w:rPr>
              <w:t xml:space="preserve">  </w:t>
            </w:r>
          </w:p>
        </w:tc>
      </w:tr>
      <w:tr w:rsidR="00090CBF" w:rsidRPr="00090CBF" w14:paraId="0E76BF3D"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02862D55"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Sjofn Gunnnarsdottir</w:t>
            </w:r>
          </w:p>
        </w:tc>
        <w:tc>
          <w:tcPr>
            <w:tcW w:w="2199" w:type="dxa"/>
            <w:tcBorders>
              <w:top w:val="single" w:sz="4" w:space="0" w:color="auto"/>
              <w:left w:val="single" w:sz="4" w:space="0" w:color="auto"/>
              <w:bottom w:val="single" w:sz="4" w:space="0" w:color="auto"/>
              <w:right w:val="single" w:sz="4" w:space="0" w:color="auto"/>
            </w:tcBorders>
            <w:hideMark/>
          </w:tcPr>
          <w:p w14:paraId="7085B905"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Netherlands</w:t>
            </w:r>
          </w:p>
        </w:tc>
        <w:tc>
          <w:tcPr>
            <w:tcW w:w="4295" w:type="dxa"/>
            <w:tcBorders>
              <w:top w:val="single" w:sz="4" w:space="0" w:color="auto"/>
              <w:left w:val="single" w:sz="4" w:space="0" w:color="auto"/>
              <w:bottom w:val="single" w:sz="4" w:space="0" w:color="auto"/>
              <w:right w:val="single" w:sz="4" w:space="0" w:color="auto"/>
            </w:tcBorders>
            <w:hideMark/>
          </w:tcPr>
          <w:p w14:paraId="5517D5ED" w14:textId="77777777" w:rsidR="00090CBF" w:rsidRPr="00090CBF" w:rsidRDefault="00184120">
            <w:pPr>
              <w:spacing w:line="240" w:lineRule="auto"/>
              <w:rPr>
                <w:rFonts w:asciiTheme="majorBidi" w:hAnsiTheme="majorBidi" w:cstheme="majorBidi"/>
              </w:rPr>
            </w:pPr>
            <w:hyperlink r:id="rId38" w:history="1">
              <w:r w:rsidR="00090CBF" w:rsidRPr="00090CBF">
                <w:rPr>
                  <w:rStyle w:val="Hyperlink"/>
                  <w:rFonts w:asciiTheme="majorBidi" w:hAnsiTheme="majorBidi" w:cstheme="majorBidi"/>
                </w:rPr>
                <w:t>Sjofn.gunnarsdottir@rivm.nl</w:t>
              </w:r>
            </w:hyperlink>
          </w:p>
        </w:tc>
      </w:tr>
      <w:tr w:rsidR="00090CBF" w:rsidRPr="00090CBF" w14:paraId="269EFDFC"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7C934E57"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David Gilabert </w:t>
            </w:r>
          </w:p>
        </w:tc>
        <w:tc>
          <w:tcPr>
            <w:tcW w:w="2199" w:type="dxa"/>
            <w:tcBorders>
              <w:top w:val="single" w:sz="4" w:space="0" w:color="auto"/>
              <w:left w:val="single" w:sz="4" w:space="0" w:color="auto"/>
              <w:bottom w:val="single" w:sz="4" w:space="0" w:color="auto"/>
              <w:right w:val="single" w:sz="4" w:space="0" w:color="auto"/>
            </w:tcBorders>
            <w:hideMark/>
          </w:tcPr>
          <w:p w14:paraId="3A314EE0"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Switzerland</w:t>
            </w:r>
          </w:p>
        </w:tc>
        <w:tc>
          <w:tcPr>
            <w:tcW w:w="4295" w:type="dxa"/>
            <w:tcBorders>
              <w:top w:val="single" w:sz="4" w:space="0" w:color="auto"/>
              <w:left w:val="single" w:sz="4" w:space="0" w:color="auto"/>
              <w:bottom w:val="single" w:sz="4" w:space="0" w:color="auto"/>
              <w:right w:val="single" w:sz="4" w:space="0" w:color="auto"/>
            </w:tcBorders>
            <w:hideMark/>
          </w:tcPr>
          <w:p w14:paraId="10ABB72D" w14:textId="77777777" w:rsidR="00090CBF" w:rsidRPr="00090CBF" w:rsidRDefault="00184120">
            <w:pPr>
              <w:spacing w:line="240" w:lineRule="auto"/>
              <w:rPr>
                <w:rFonts w:asciiTheme="majorBidi" w:hAnsiTheme="majorBidi" w:cstheme="majorBidi"/>
              </w:rPr>
            </w:pPr>
            <w:hyperlink r:id="rId39" w:history="1">
              <w:r w:rsidR="00090CBF" w:rsidRPr="00090CBF">
                <w:rPr>
                  <w:rStyle w:val="Hyperlink"/>
                  <w:rFonts w:asciiTheme="majorBidi" w:hAnsiTheme="majorBidi" w:cstheme="majorBidi"/>
                </w:rPr>
                <w:t>david.gilabert@astra.admin.ch</w:t>
              </w:r>
            </w:hyperlink>
            <w:r w:rsidR="00090CBF" w:rsidRPr="00090CBF">
              <w:rPr>
                <w:rFonts w:asciiTheme="majorBidi" w:hAnsiTheme="majorBidi" w:cstheme="majorBidi"/>
              </w:rPr>
              <w:t xml:space="preserve"> </w:t>
            </w:r>
          </w:p>
        </w:tc>
      </w:tr>
      <w:tr w:rsidR="00090CBF" w:rsidRPr="00090CBF" w14:paraId="531D3389"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3C826EB6"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Barbara Langtry-Miller</w:t>
            </w:r>
          </w:p>
        </w:tc>
        <w:tc>
          <w:tcPr>
            <w:tcW w:w="2199" w:type="dxa"/>
            <w:tcBorders>
              <w:top w:val="single" w:sz="4" w:space="0" w:color="auto"/>
              <w:left w:val="single" w:sz="4" w:space="0" w:color="auto"/>
              <w:bottom w:val="single" w:sz="4" w:space="0" w:color="auto"/>
              <w:right w:val="single" w:sz="4" w:space="0" w:color="auto"/>
            </w:tcBorders>
            <w:hideMark/>
          </w:tcPr>
          <w:p w14:paraId="72DDFE80"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SAAMI</w:t>
            </w:r>
          </w:p>
        </w:tc>
        <w:tc>
          <w:tcPr>
            <w:tcW w:w="4295" w:type="dxa"/>
            <w:tcBorders>
              <w:top w:val="single" w:sz="4" w:space="0" w:color="auto"/>
              <w:left w:val="single" w:sz="4" w:space="0" w:color="auto"/>
              <w:bottom w:val="single" w:sz="4" w:space="0" w:color="auto"/>
              <w:right w:val="single" w:sz="4" w:space="0" w:color="auto"/>
            </w:tcBorders>
            <w:hideMark/>
          </w:tcPr>
          <w:p w14:paraId="49797228" w14:textId="77777777" w:rsidR="00090CBF" w:rsidRPr="00090CBF" w:rsidRDefault="00184120">
            <w:pPr>
              <w:spacing w:line="240" w:lineRule="auto"/>
              <w:rPr>
                <w:rFonts w:asciiTheme="majorBidi" w:hAnsiTheme="majorBidi" w:cstheme="majorBidi"/>
                <w:lang w:val="en-US"/>
              </w:rPr>
            </w:pPr>
            <w:hyperlink r:id="rId40" w:history="1">
              <w:r w:rsidR="00090CBF" w:rsidRPr="00090CBF">
                <w:rPr>
                  <w:rStyle w:val="Hyperlink"/>
                  <w:rFonts w:asciiTheme="majorBidi" w:hAnsiTheme="majorBidi" w:cstheme="majorBidi"/>
                  <w:lang w:val="en-US"/>
                </w:rPr>
                <w:t>Barbara.langtrey-miller@givaudin.com</w:t>
              </w:r>
            </w:hyperlink>
            <w:r w:rsidR="00090CBF" w:rsidRPr="00090CBF">
              <w:rPr>
                <w:rFonts w:asciiTheme="majorBidi" w:hAnsiTheme="majorBidi" w:cstheme="majorBidi"/>
                <w:lang w:val="en-US"/>
              </w:rPr>
              <w:t xml:space="preserve"> </w:t>
            </w:r>
          </w:p>
        </w:tc>
      </w:tr>
      <w:tr w:rsidR="00090CBF" w:rsidRPr="00090CBF" w14:paraId="03E52433"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24EE1CB"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Claude Pfauvadel</w:t>
            </w:r>
          </w:p>
        </w:tc>
        <w:tc>
          <w:tcPr>
            <w:tcW w:w="2199" w:type="dxa"/>
            <w:tcBorders>
              <w:top w:val="single" w:sz="4" w:space="0" w:color="auto"/>
              <w:left w:val="single" w:sz="4" w:space="0" w:color="auto"/>
              <w:bottom w:val="single" w:sz="4" w:space="0" w:color="auto"/>
              <w:right w:val="single" w:sz="4" w:space="0" w:color="auto"/>
            </w:tcBorders>
            <w:hideMark/>
          </w:tcPr>
          <w:p w14:paraId="4738E61D"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France </w:t>
            </w:r>
          </w:p>
        </w:tc>
        <w:tc>
          <w:tcPr>
            <w:tcW w:w="4295" w:type="dxa"/>
            <w:tcBorders>
              <w:top w:val="single" w:sz="4" w:space="0" w:color="auto"/>
              <w:left w:val="single" w:sz="4" w:space="0" w:color="auto"/>
              <w:bottom w:val="single" w:sz="4" w:space="0" w:color="auto"/>
              <w:right w:val="single" w:sz="4" w:space="0" w:color="auto"/>
            </w:tcBorders>
            <w:hideMark/>
          </w:tcPr>
          <w:p w14:paraId="6CE0B74E" w14:textId="77777777" w:rsidR="00090CBF" w:rsidRPr="00090CBF" w:rsidRDefault="00184120">
            <w:pPr>
              <w:spacing w:line="240" w:lineRule="auto"/>
              <w:rPr>
                <w:rFonts w:asciiTheme="majorBidi" w:hAnsiTheme="majorBidi" w:cstheme="majorBidi"/>
                <w:lang w:val="en-US"/>
              </w:rPr>
            </w:pPr>
            <w:hyperlink r:id="rId41" w:history="1">
              <w:r w:rsidR="00090CBF" w:rsidRPr="00090CBF">
                <w:rPr>
                  <w:rStyle w:val="Hyperlink"/>
                  <w:rFonts w:asciiTheme="majorBidi" w:hAnsiTheme="majorBidi" w:cstheme="majorBidi"/>
                  <w:lang w:val="en-US"/>
                </w:rPr>
                <w:t>claude.pfauvadel@developpement-durable.gouv.fr</w:t>
              </w:r>
            </w:hyperlink>
            <w:r w:rsidR="00090CBF" w:rsidRPr="00090CBF">
              <w:rPr>
                <w:rFonts w:asciiTheme="majorBidi" w:hAnsiTheme="majorBidi" w:cstheme="majorBidi"/>
                <w:lang w:val="en-US"/>
              </w:rPr>
              <w:t xml:space="preserve"> </w:t>
            </w:r>
          </w:p>
        </w:tc>
      </w:tr>
      <w:tr w:rsidR="00090CBF" w:rsidRPr="00090CBF" w14:paraId="22EB3E6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08AA6B8F"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Joachim Sheerlinck</w:t>
            </w:r>
          </w:p>
        </w:tc>
        <w:tc>
          <w:tcPr>
            <w:tcW w:w="2199" w:type="dxa"/>
            <w:tcBorders>
              <w:top w:val="single" w:sz="4" w:space="0" w:color="auto"/>
              <w:left w:val="single" w:sz="4" w:space="0" w:color="auto"/>
              <w:bottom w:val="single" w:sz="4" w:space="0" w:color="auto"/>
              <w:right w:val="single" w:sz="4" w:space="0" w:color="auto"/>
            </w:tcBorders>
            <w:hideMark/>
          </w:tcPr>
          <w:p w14:paraId="0CECF4D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Belgium</w:t>
            </w:r>
          </w:p>
        </w:tc>
        <w:tc>
          <w:tcPr>
            <w:tcW w:w="4295" w:type="dxa"/>
            <w:tcBorders>
              <w:top w:val="single" w:sz="4" w:space="0" w:color="auto"/>
              <w:left w:val="single" w:sz="4" w:space="0" w:color="auto"/>
              <w:bottom w:val="single" w:sz="4" w:space="0" w:color="auto"/>
              <w:right w:val="single" w:sz="4" w:space="0" w:color="auto"/>
            </w:tcBorders>
            <w:hideMark/>
          </w:tcPr>
          <w:p w14:paraId="79789B50" w14:textId="77777777" w:rsidR="00090CBF" w:rsidRPr="00090CBF" w:rsidRDefault="00184120">
            <w:pPr>
              <w:spacing w:line="240" w:lineRule="auto"/>
              <w:rPr>
                <w:rFonts w:asciiTheme="majorBidi" w:hAnsiTheme="majorBidi" w:cstheme="majorBidi"/>
                <w:lang w:val="en-US"/>
              </w:rPr>
            </w:pPr>
            <w:hyperlink r:id="rId42" w:history="1">
              <w:r w:rsidR="00090CBF" w:rsidRPr="00090CBF">
                <w:rPr>
                  <w:rStyle w:val="Hyperlink"/>
                  <w:rFonts w:asciiTheme="majorBidi" w:hAnsiTheme="majorBidi" w:cstheme="majorBidi"/>
                </w:rPr>
                <w:t>joachim.scheerlinck@mobilit.fgov.be</w:t>
              </w:r>
            </w:hyperlink>
            <w:r w:rsidR="00090CBF" w:rsidRPr="00090CBF">
              <w:rPr>
                <w:rFonts w:asciiTheme="majorBidi" w:hAnsiTheme="majorBidi" w:cstheme="majorBidi"/>
              </w:rPr>
              <w:t xml:space="preserve"> </w:t>
            </w:r>
          </w:p>
        </w:tc>
      </w:tr>
      <w:tr w:rsidR="00090CBF" w:rsidRPr="00090CBF" w14:paraId="14F9EB5C"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35C5D673"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Erwin Sigrist</w:t>
            </w:r>
          </w:p>
        </w:tc>
        <w:tc>
          <w:tcPr>
            <w:tcW w:w="2199" w:type="dxa"/>
            <w:tcBorders>
              <w:top w:val="single" w:sz="4" w:space="0" w:color="auto"/>
              <w:left w:val="single" w:sz="4" w:space="0" w:color="auto"/>
              <w:bottom w:val="single" w:sz="4" w:space="0" w:color="auto"/>
              <w:right w:val="single" w:sz="4" w:space="0" w:color="auto"/>
            </w:tcBorders>
            <w:hideMark/>
          </w:tcPr>
          <w:p w14:paraId="01C0DC3D"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Science Industries Swiss</w:t>
            </w:r>
          </w:p>
        </w:tc>
        <w:tc>
          <w:tcPr>
            <w:tcW w:w="4295" w:type="dxa"/>
            <w:tcBorders>
              <w:top w:val="single" w:sz="4" w:space="0" w:color="auto"/>
              <w:left w:val="single" w:sz="4" w:space="0" w:color="auto"/>
              <w:bottom w:val="single" w:sz="4" w:space="0" w:color="auto"/>
              <w:right w:val="single" w:sz="4" w:space="0" w:color="auto"/>
            </w:tcBorders>
            <w:hideMark/>
          </w:tcPr>
          <w:p w14:paraId="5ECDB732" w14:textId="77777777" w:rsidR="00090CBF" w:rsidRPr="00090CBF" w:rsidRDefault="00184120">
            <w:pPr>
              <w:spacing w:line="240" w:lineRule="auto"/>
              <w:rPr>
                <w:rFonts w:asciiTheme="majorBidi" w:hAnsiTheme="majorBidi" w:cstheme="majorBidi"/>
                <w:lang w:val="en-US"/>
              </w:rPr>
            </w:pPr>
            <w:hyperlink r:id="rId43" w:history="1">
              <w:r w:rsidR="00090CBF" w:rsidRPr="00090CBF">
                <w:rPr>
                  <w:rStyle w:val="Hyperlink"/>
                  <w:rFonts w:asciiTheme="majorBidi" w:hAnsiTheme="majorBidi" w:cstheme="majorBidi"/>
                  <w:lang w:val="en-US"/>
                </w:rPr>
                <w:t>Erwin.Sigrist@scienceindustries.ch</w:t>
              </w:r>
            </w:hyperlink>
            <w:r w:rsidR="00090CBF" w:rsidRPr="00090CBF">
              <w:rPr>
                <w:rFonts w:asciiTheme="majorBidi" w:hAnsiTheme="majorBidi" w:cstheme="majorBidi"/>
                <w:lang w:val="en-US"/>
              </w:rPr>
              <w:t xml:space="preserve"> </w:t>
            </w:r>
          </w:p>
        </w:tc>
      </w:tr>
      <w:tr w:rsidR="00090CBF" w:rsidRPr="00090CBF" w14:paraId="1B8492B1"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2C6EC02"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Ken Price</w:t>
            </w:r>
          </w:p>
        </w:tc>
        <w:tc>
          <w:tcPr>
            <w:tcW w:w="2199" w:type="dxa"/>
            <w:tcBorders>
              <w:top w:val="single" w:sz="4" w:space="0" w:color="auto"/>
              <w:left w:val="single" w:sz="4" w:space="0" w:color="auto"/>
              <w:bottom w:val="single" w:sz="4" w:space="0" w:color="auto"/>
              <w:right w:val="single" w:sz="4" w:space="0" w:color="auto"/>
            </w:tcBorders>
            <w:hideMark/>
          </w:tcPr>
          <w:p w14:paraId="3458DC6C"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AEISG</w:t>
            </w:r>
          </w:p>
        </w:tc>
        <w:tc>
          <w:tcPr>
            <w:tcW w:w="4295" w:type="dxa"/>
            <w:tcBorders>
              <w:top w:val="single" w:sz="4" w:space="0" w:color="auto"/>
              <w:left w:val="single" w:sz="4" w:space="0" w:color="auto"/>
              <w:bottom w:val="single" w:sz="4" w:space="0" w:color="auto"/>
              <w:right w:val="single" w:sz="4" w:space="0" w:color="auto"/>
            </w:tcBorders>
            <w:hideMark/>
          </w:tcPr>
          <w:p w14:paraId="500CF0F4" w14:textId="77777777" w:rsidR="00090CBF" w:rsidRPr="00090CBF" w:rsidRDefault="00184120">
            <w:pPr>
              <w:spacing w:line="240" w:lineRule="auto"/>
              <w:rPr>
                <w:rFonts w:asciiTheme="majorBidi" w:hAnsiTheme="majorBidi" w:cstheme="majorBidi"/>
                <w:lang w:val="en-US"/>
              </w:rPr>
            </w:pPr>
            <w:hyperlink r:id="rId44" w:history="1">
              <w:r w:rsidR="00090CBF" w:rsidRPr="00090CBF">
                <w:rPr>
                  <w:rStyle w:val="Hyperlink"/>
                  <w:rFonts w:asciiTheme="majorBidi" w:hAnsiTheme="majorBidi" w:cstheme="majorBidi"/>
                  <w:lang w:val="en-US"/>
                </w:rPr>
                <w:t>ken@riskom.com.au</w:t>
              </w:r>
            </w:hyperlink>
            <w:r w:rsidR="00090CBF" w:rsidRPr="00090CBF">
              <w:rPr>
                <w:rFonts w:asciiTheme="majorBidi" w:hAnsiTheme="majorBidi" w:cstheme="majorBidi"/>
                <w:lang w:val="en-US"/>
              </w:rPr>
              <w:t xml:space="preserve"> </w:t>
            </w:r>
          </w:p>
        </w:tc>
      </w:tr>
      <w:tr w:rsidR="00090CBF" w:rsidRPr="00090CBF" w14:paraId="55466BBD"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7FC3FCE"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Sabine Schultes</w:t>
            </w:r>
          </w:p>
        </w:tc>
        <w:tc>
          <w:tcPr>
            <w:tcW w:w="2199" w:type="dxa"/>
            <w:tcBorders>
              <w:top w:val="single" w:sz="4" w:space="0" w:color="auto"/>
              <w:left w:val="single" w:sz="4" w:space="0" w:color="auto"/>
              <w:bottom w:val="single" w:sz="4" w:space="0" w:color="auto"/>
              <w:right w:val="single" w:sz="4" w:space="0" w:color="auto"/>
            </w:tcBorders>
            <w:hideMark/>
          </w:tcPr>
          <w:p w14:paraId="3328A1D2"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CEFIC</w:t>
            </w:r>
          </w:p>
        </w:tc>
        <w:tc>
          <w:tcPr>
            <w:tcW w:w="4295" w:type="dxa"/>
            <w:tcBorders>
              <w:top w:val="single" w:sz="4" w:space="0" w:color="auto"/>
              <w:left w:val="single" w:sz="4" w:space="0" w:color="auto"/>
              <w:bottom w:val="single" w:sz="4" w:space="0" w:color="auto"/>
              <w:right w:val="single" w:sz="4" w:space="0" w:color="auto"/>
            </w:tcBorders>
            <w:hideMark/>
          </w:tcPr>
          <w:p w14:paraId="38D4C2EA" w14:textId="77777777" w:rsidR="00090CBF" w:rsidRPr="00090CBF" w:rsidRDefault="00184120">
            <w:pPr>
              <w:spacing w:line="240" w:lineRule="auto"/>
              <w:rPr>
                <w:rFonts w:asciiTheme="majorBidi" w:hAnsiTheme="majorBidi" w:cstheme="majorBidi"/>
                <w:lang w:val="en-US"/>
              </w:rPr>
            </w:pPr>
            <w:hyperlink r:id="rId45" w:history="1">
              <w:r w:rsidR="00090CBF" w:rsidRPr="00090CBF">
                <w:rPr>
                  <w:rStyle w:val="Hyperlink"/>
                  <w:rFonts w:asciiTheme="majorBidi" w:hAnsiTheme="majorBidi" w:cstheme="majorBidi"/>
                </w:rPr>
                <w:t>Sabine.schultes@bayer.com</w:t>
              </w:r>
            </w:hyperlink>
            <w:r w:rsidR="00090CBF" w:rsidRPr="00090CBF">
              <w:rPr>
                <w:rFonts w:asciiTheme="majorBidi" w:hAnsiTheme="majorBidi" w:cstheme="majorBidi"/>
              </w:rPr>
              <w:t xml:space="preserve"> </w:t>
            </w:r>
          </w:p>
        </w:tc>
      </w:tr>
      <w:tr w:rsidR="00090CBF" w:rsidRPr="00090CBF" w14:paraId="52CD58CE"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09A01E9C"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Natalie Cadotte</w:t>
            </w:r>
          </w:p>
        </w:tc>
        <w:tc>
          <w:tcPr>
            <w:tcW w:w="2199" w:type="dxa"/>
            <w:tcBorders>
              <w:top w:val="single" w:sz="4" w:space="0" w:color="auto"/>
              <w:left w:val="single" w:sz="4" w:space="0" w:color="auto"/>
              <w:bottom w:val="single" w:sz="4" w:space="0" w:color="auto"/>
              <w:right w:val="single" w:sz="4" w:space="0" w:color="auto"/>
            </w:tcBorders>
            <w:hideMark/>
          </w:tcPr>
          <w:p w14:paraId="5EC2FE3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Transport Canada</w:t>
            </w:r>
          </w:p>
        </w:tc>
        <w:tc>
          <w:tcPr>
            <w:tcW w:w="4295" w:type="dxa"/>
            <w:tcBorders>
              <w:top w:val="single" w:sz="4" w:space="0" w:color="auto"/>
              <w:left w:val="single" w:sz="4" w:space="0" w:color="auto"/>
              <w:bottom w:val="single" w:sz="4" w:space="0" w:color="auto"/>
              <w:right w:val="single" w:sz="4" w:space="0" w:color="auto"/>
            </w:tcBorders>
            <w:hideMark/>
          </w:tcPr>
          <w:p w14:paraId="799E8E7D" w14:textId="77777777" w:rsidR="00090CBF" w:rsidRPr="00090CBF" w:rsidRDefault="00184120">
            <w:pPr>
              <w:spacing w:line="240" w:lineRule="auto"/>
              <w:rPr>
                <w:rFonts w:asciiTheme="majorBidi" w:hAnsiTheme="majorBidi" w:cstheme="majorBidi"/>
              </w:rPr>
            </w:pPr>
            <w:hyperlink r:id="rId46" w:history="1">
              <w:r w:rsidR="00090CBF" w:rsidRPr="00090CBF">
                <w:rPr>
                  <w:rStyle w:val="Hyperlink"/>
                  <w:rFonts w:asciiTheme="majorBidi" w:hAnsiTheme="majorBidi" w:cstheme="majorBidi"/>
                </w:rPr>
                <w:t>natalie.cadotte@tc.gc.ca</w:t>
              </w:r>
            </w:hyperlink>
            <w:r w:rsidR="00090CBF" w:rsidRPr="00090CBF">
              <w:rPr>
                <w:rFonts w:asciiTheme="majorBidi" w:hAnsiTheme="majorBidi" w:cstheme="majorBidi"/>
                <w:color w:val="0070C0"/>
              </w:rPr>
              <w:t xml:space="preserve"> </w:t>
            </w:r>
          </w:p>
        </w:tc>
      </w:tr>
      <w:tr w:rsidR="00090CBF" w:rsidRPr="00090CBF" w14:paraId="0F872E81"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AD4B95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David Lamarche</w:t>
            </w:r>
          </w:p>
        </w:tc>
        <w:tc>
          <w:tcPr>
            <w:tcW w:w="2199" w:type="dxa"/>
            <w:tcBorders>
              <w:top w:val="single" w:sz="4" w:space="0" w:color="auto"/>
              <w:left w:val="single" w:sz="4" w:space="0" w:color="auto"/>
              <w:bottom w:val="single" w:sz="4" w:space="0" w:color="auto"/>
              <w:right w:val="single" w:sz="4" w:space="0" w:color="auto"/>
            </w:tcBorders>
            <w:hideMark/>
          </w:tcPr>
          <w:p w14:paraId="3DD81F85"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Transport Canada</w:t>
            </w:r>
          </w:p>
        </w:tc>
        <w:tc>
          <w:tcPr>
            <w:tcW w:w="4295" w:type="dxa"/>
            <w:tcBorders>
              <w:top w:val="single" w:sz="4" w:space="0" w:color="auto"/>
              <w:left w:val="single" w:sz="4" w:space="0" w:color="auto"/>
              <w:bottom w:val="single" w:sz="4" w:space="0" w:color="auto"/>
              <w:right w:val="single" w:sz="4" w:space="0" w:color="auto"/>
            </w:tcBorders>
            <w:hideMark/>
          </w:tcPr>
          <w:p w14:paraId="273DF906" w14:textId="77777777" w:rsidR="00090CBF" w:rsidRPr="00090CBF" w:rsidRDefault="00184120">
            <w:pPr>
              <w:spacing w:line="240" w:lineRule="auto"/>
              <w:rPr>
                <w:rFonts w:asciiTheme="majorBidi" w:hAnsiTheme="majorBidi" w:cstheme="majorBidi"/>
                <w:lang w:val="en-US"/>
              </w:rPr>
            </w:pPr>
            <w:hyperlink r:id="rId47" w:history="1">
              <w:r w:rsidR="00090CBF" w:rsidRPr="00090CBF">
                <w:rPr>
                  <w:rStyle w:val="Hyperlink"/>
                  <w:rFonts w:asciiTheme="majorBidi" w:hAnsiTheme="majorBidi" w:cstheme="majorBidi"/>
                </w:rPr>
                <w:t>david.lamarche@tc.gc.ca</w:t>
              </w:r>
            </w:hyperlink>
            <w:r w:rsidR="00090CBF" w:rsidRPr="00090CBF">
              <w:rPr>
                <w:rFonts w:asciiTheme="majorBidi" w:hAnsiTheme="majorBidi" w:cstheme="majorBidi"/>
                <w:color w:val="0070C0"/>
              </w:rPr>
              <w:t xml:space="preserve"> </w:t>
            </w:r>
          </w:p>
        </w:tc>
      </w:tr>
      <w:tr w:rsidR="00090CBF" w:rsidRPr="00090CBF" w14:paraId="0E8269AE"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00FBDBD"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Todd Strobel</w:t>
            </w:r>
          </w:p>
        </w:tc>
        <w:tc>
          <w:tcPr>
            <w:tcW w:w="2199" w:type="dxa"/>
            <w:tcBorders>
              <w:top w:val="single" w:sz="4" w:space="0" w:color="auto"/>
              <w:left w:val="single" w:sz="4" w:space="0" w:color="auto"/>
              <w:bottom w:val="single" w:sz="4" w:space="0" w:color="auto"/>
              <w:right w:val="single" w:sz="4" w:space="0" w:color="auto"/>
            </w:tcBorders>
            <w:hideMark/>
          </w:tcPr>
          <w:p w14:paraId="06EEE25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DGAC</w:t>
            </w:r>
          </w:p>
        </w:tc>
        <w:tc>
          <w:tcPr>
            <w:tcW w:w="4295" w:type="dxa"/>
            <w:tcBorders>
              <w:top w:val="single" w:sz="4" w:space="0" w:color="auto"/>
              <w:left w:val="single" w:sz="4" w:space="0" w:color="auto"/>
              <w:bottom w:val="single" w:sz="4" w:space="0" w:color="auto"/>
              <w:right w:val="single" w:sz="4" w:space="0" w:color="auto"/>
            </w:tcBorders>
            <w:hideMark/>
          </w:tcPr>
          <w:p w14:paraId="156CEB0F" w14:textId="77777777" w:rsidR="00090CBF" w:rsidRPr="00090CBF" w:rsidRDefault="00184120">
            <w:pPr>
              <w:spacing w:line="240" w:lineRule="auto"/>
              <w:rPr>
                <w:rFonts w:asciiTheme="majorBidi" w:hAnsiTheme="majorBidi" w:cstheme="majorBidi"/>
                <w:color w:val="0070C0"/>
              </w:rPr>
            </w:pPr>
            <w:hyperlink r:id="rId48" w:history="1">
              <w:r w:rsidR="00090CBF" w:rsidRPr="00090CBF">
                <w:rPr>
                  <w:rStyle w:val="Hyperlink"/>
                  <w:rFonts w:asciiTheme="majorBidi" w:hAnsiTheme="majorBidi" w:cstheme="majorBidi"/>
                </w:rPr>
                <w:t>tastrobel@mmm.com</w:t>
              </w:r>
            </w:hyperlink>
            <w:r w:rsidR="00090CBF" w:rsidRPr="00090CBF">
              <w:rPr>
                <w:rFonts w:asciiTheme="majorBidi" w:hAnsiTheme="majorBidi" w:cstheme="majorBidi"/>
                <w:color w:val="0070C0"/>
              </w:rPr>
              <w:t xml:space="preserve"> </w:t>
            </w:r>
          </w:p>
        </w:tc>
      </w:tr>
      <w:tr w:rsidR="00090CBF" w:rsidRPr="00090CBF" w14:paraId="08FA3C29"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3C1CF9C6"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Bob Richard </w:t>
            </w:r>
          </w:p>
        </w:tc>
        <w:tc>
          <w:tcPr>
            <w:tcW w:w="2199" w:type="dxa"/>
            <w:tcBorders>
              <w:top w:val="single" w:sz="4" w:space="0" w:color="auto"/>
              <w:left w:val="single" w:sz="4" w:space="0" w:color="auto"/>
              <w:bottom w:val="single" w:sz="4" w:space="0" w:color="auto"/>
              <w:right w:val="single" w:sz="4" w:space="0" w:color="auto"/>
            </w:tcBorders>
            <w:hideMark/>
          </w:tcPr>
          <w:p w14:paraId="3EA6F84C"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HSC </w:t>
            </w:r>
          </w:p>
        </w:tc>
        <w:tc>
          <w:tcPr>
            <w:tcW w:w="4295" w:type="dxa"/>
            <w:tcBorders>
              <w:top w:val="single" w:sz="4" w:space="0" w:color="auto"/>
              <w:left w:val="single" w:sz="4" w:space="0" w:color="auto"/>
              <w:bottom w:val="single" w:sz="4" w:space="0" w:color="auto"/>
              <w:right w:val="single" w:sz="4" w:space="0" w:color="auto"/>
            </w:tcBorders>
            <w:hideMark/>
          </w:tcPr>
          <w:p w14:paraId="26904D82" w14:textId="77777777" w:rsidR="00090CBF" w:rsidRPr="00090CBF" w:rsidRDefault="00184120">
            <w:pPr>
              <w:spacing w:line="240" w:lineRule="auto"/>
              <w:rPr>
                <w:rFonts w:asciiTheme="majorBidi" w:hAnsiTheme="majorBidi" w:cstheme="majorBidi"/>
              </w:rPr>
            </w:pPr>
            <w:hyperlink r:id="rId49" w:history="1">
              <w:r w:rsidR="00090CBF" w:rsidRPr="00090CBF">
                <w:rPr>
                  <w:rStyle w:val="Hyperlink"/>
                  <w:rFonts w:asciiTheme="majorBidi" w:hAnsiTheme="majorBidi" w:cstheme="majorBidi"/>
                  <w:lang w:val="en-US"/>
                </w:rPr>
                <w:t>brichard@hazmatsafety.com</w:t>
              </w:r>
            </w:hyperlink>
          </w:p>
        </w:tc>
      </w:tr>
      <w:tr w:rsidR="00090CBF" w:rsidRPr="00090CBF" w14:paraId="5C8DE763"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02E2B2C3"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Takashi Hamada</w:t>
            </w:r>
          </w:p>
        </w:tc>
        <w:tc>
          <w:tcPr>
            <w:tcW w:w="2199" w:type="dxa"/>
            <w:tcBorders>
              <w:top w:val="single" w:sz="4" w:space="0" w:color="auto"/>
              <w:left w:val="single" w:sz="4" w:space="0" w:color="auto"/>
              <w:bottom w:val="single" w:sz="4" w:space="0" w:color="auto"/>
              <w:right w:val="single" w:sz="4" w:space="0" w:color="auto"/>
            </w:tcBorders>
            <w:hideMark/>
          </w:tcPr>
          <w:p w14:paraId="4DF0895A"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Japan</w:t>
            </w:r>
          </w:p>
        </w:tc>
        <w:tc>
          <w:tcPr>
            <w:tcW w:w="4295" w:type="dxa"/>
            <w:tcBorders>
              <w:top w:val="single" w:sz="4" w:space="0" w:color="auto"/>
              <w:left w:val="single" w:sz="4" w:space="0" w:color="auto"/>
              <w:bottom w:val="single" w:sz="4" w:space="0" w:color="auto"/>
              <w:right w:val="single" w:sz="4" w:space="0" w:color="auto"/>
            </w:tcBorders>
            <w:hideMark/>
          </w:tcPr>
          <w:p w14:paraId="1FD2297A" w14:textId="77777777" w:rsidR="00090CBF" w:rsidRPr="00090CBF" w:rsidRDefault="00184120">
            <w:pPr>
              <w:spacing w:line="240" w:lineRule="auto"/>
              <w:rPr>
                <w:rFonts w:asciiTheme="majorBidi" w:hAnsiTheme="majorBidi" w:cstheme="majorBidi"/>
                <w:lang w:val="en-US"/>
              </w:rPr>
            </w:pPr>
            <w:hyperlink r:id="rId50" w:history="1">
              <w:r w:rsidR="00090CBF" w:rsidRPr="00090CBF">
                <w:rPr>
                  <w:rStyle w:val="Hyperlink"/>
                  <w:rFonts w:asciiTheme="majorBidi" w:hAnsiTheme="majorBidi" w:cstheme="majorBidi"/>
                  <w:lang w:val="en-US"/>
                </w:rPr>
                <w:t>taka-hamada@nkkk.or.jp</w:t>
              </w:r>
            </w:hyperlink>
          </w:p>
        </w:tc>
      </w:tr>
      <w:tr w:rsidR="00090CBF" w:rsidRPr="00090CBF" w14:paraId="2C64F1B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AF2B866"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Mikhail Ognev</w:t>
            </w:r>
          </w:p>
        </w:tc>
        <w:tc>
          <w:tcPr>
            <w:tcW w:w="2199" w:type="dxa"/>
            <w:tcBorders>
              <w:top w:val="single" w:sz="4" w:space="0" w:color="auto"/>
              <w:left w:val="single" w:sz="4" w:space="0" w:color="auto"/>
              <w:bottom w:val="single" w:sz="4" w:space="0" w:color="auto"/>
              <w:right w:val="single" w:sz="4" w:space="0" w:color="auto"/>
            </w:tcBorders>
            <w:hideMark/>
          </w:tcPr>
          <w:p w14:paraId="5C990F6C"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IDGCA </w:t>
            </w:r>
          </w:p>
        </w:tc>
        <w:tc>
          <w:tcPr>
            <w:tcW w:w="4295" w:type="dxa"/>
            <w:tcBorders>
              <w:top w:val="single" w:sz="4" w:space="0" w:color="auto"/>
              <w:left w:val="single" w:sz="4" w:space="0" w:color="auto"/>
              <w:bottom w:val="single" w:sz="4" w:space="0" w:color="auto"/>
              <w:right w:val="single" w:sz="4" w:space="0" w:color="auto"/>
            </w:tcBorders>
            <w:hideMark/>
          </w:tcPr>
          <w:p w14:paraId="76F1916D" w14:textId="77777777" w:rsidR="00090CBF" w:rsidRPr="00090CBF" w:rsidRDefault="00184120">
            <w:pPr>
              <w:spacing w:line="240" w:lineRule="auto"/>
              <w:rPr>
                <w:rFonts w:asciiTheme="majorBidi" w:hAnsiTheme="majorBidi" w:cstheme="majorBidi"/>
              </w:rPr>
            </w:pPr>
            <w:hyperlink r:id="rId51" w:history="1">
              <w:r w:rsidR="00090CBF" w:rsidRPr="00090CBF">
                <w:rPr>
                  <w:rStyle w:val="Hyperlink"/>
                  <w:rFonts w:asciiTheme="majorBidi" w:hAnsiTheme="majorBidi" w:cstheme="majorBidi"/>
                </w:rPr>
                <w:t>info@idgca.ru</w:t>
              </w:r>
            </w:hyperlink>
            <w:r w:rsidR="00090CBF" w:rsidRPr="00090CBF">
              <w:rPr>
                <w:rFonts w:asciiTheme="majorBidi" w:hAnsiTheme="majorBidi" w:cstheme="majorBidi"/>
              </w:rPr>
              <w:t xml:space="preserve"> </w:t>
            </w:r>
          </w:p>
        </w:tc>
      </w:tr>
      <w:tr w:rsidR="00090CBF" w:rsidRPr="00090CBF" w14:paraId="17189323"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3799E1B5"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Frits Wybenga</w:t>
            </w:r>
          </w:p>
        </w:tc>
        <w:tc>
          <w:tcPr>
            <w:tcW w:w="2199" w:type="dxa"/>
            <w:tcBorders>
              <w:top w:val="single" w:sz="4" w:space="0" w:color="auto"/>
              <w:left w:val="single" w:sz="4" w:space="0" w:color="auto"/>
              <w:bottom w:val="single" w:sz="4" w:space="0" w:color="auto"/>
              <w:right w:val="single" w:sz="4" w:space="0" w:color="auto"/>
            </w:tcBorders>
            <w:hideMark/>
          </w:tcPr>
          <w:p w14:paraId="2574A9A2"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DGAC</w:t>
            </w:r>
          </w:p>
        </w:tc>
        <w:tc>
          <w:tcPr>
            <w:tcW w:w="4295" w:type="dxa"/>
            <w:tcBorders>
              <w:top w:val="single" w:sz="4" w:space="0" w:color="auto"/>
              <w:left w:val="single" w:sz="4" w:space="0" w:color="auto"/>
              <w:bottom w:val="single" w:sz="4" w:space="0" w:color="auto"/>
              <w:right w:val="single" w:sz="4" w:space="0" w:color="auto"/>
            </w:tcBorders>
            <w:hideMark/>
          </w:tcPr>
          <w:p w14:paraId="079C6D45" w14:textId="77777777" w:rsidR="00090CBF" w:rsidRPr="00090CBF" w:rsidRDefault="00184120">
            <w:pPr>
              <w:spacing w:line="240" w:lineRule="auto"/>
              <w:rPr>
                <w:rFonts w:asciiTheme="majorBidi" w:hAnsiTheme="majorBidi" w:cstheme="majorBidi"/>
              </w:rPr>
            </w:pPr>
            <w:hyperlink r:id="rId52" w:history="1">
              <w:r w:rsidR="00090CBF" w:rsidRPr="00090CBF">
                <w:rPr>
                  <w:rStyle w:val="Hyperlink"/>
                  <w:rFonts w:asciiTheme="majorBidi" w:hAnsiTheme="majorBidi" w:cstheme="majorBidi"/>
                </w:rPr>
                <w:t>fwybenga@dg-transportation.com</w:t>
              </w:r>
            </w:hyperlink>
            <w:r w:rsidR="00090CBF" w:rsidRPr="00090CBF">
              <w:rPr>
                <w:rFonts w:asciiTheme="majorBidi" w:hAnsiTheme="majorBidi" w:cstheme="majorBidi"/>
                <w:color w:val="0070C0"/>
              </w:rPr>
              <w:t xml:space="preserve"> </w:t>
            </w:r>
          </w:p>
        </w:tc>
      </w:tr>
      <w:tr w:rsidR="00090CBF" w:rsidRPr="00090CBF" w14:paraId="7886825D"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24D1597E"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Neil Mcculloch</w:t>
            </w:r>
          </w:p>
        </w:tc>
        <w:tc>
          <w:tcPr>
            <w:tcW w:w="2199" w:type="dxa"/>
            <w:tcBorders>
              <w:top w:val="single" w:sz="4" w:space="0" w:color="auto"/>
              <w:left w:val="single" w:sz="4" w:space="0" w:color="auto"/>
              <w:bottom w:val="single" w:sz="4" w:space="0" w:color="auto"/>
              <w:right w:val="single" w:sz="4" w:space="0" w:color="auto"/>
            </w:tcBorders>
            <w:hideMark/>
          </w:tcPr>
          <w:p w14:paraId="0E62FDF5"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SAAMI</w:t>
            </w:r>
          </w:p>
        </w:tc>
        <w:tc>
          <w:tcPr>
            <w:tcW w:w="4295" w:type="dxa"/>
            <w:tcBorders>
              <w:top w:val="single" w:sz="4" w:space="0" w:color="auto"/>
              <w:left w:val="single" w:sz="4" w:space="0" w:color="auto"/>
              <w:bottom w:val="single" w:sz="4" w:space="0" w:color="auto"/>
              <w:right w:val="single" w:sz="4" w:space="0" w:color="auto"/>
            </w:tcBorders>
            <w:hideMark/>
          </w:tcPr>
          <w:p w14:paraId="06B568EA" w14:textId="77777777" w:rsidR="00090CBF" w:rsidRPr="00090CBF" w:rsidRDefault="00184120">
            <w:pPr>
              <w:spacing w:line="240" w:lineRule="auto"/>
              <w:rPr>
                <w:rFonts w:asciiTheme="majorBidi" w:hAnsiTheme="majorBidi" w:cstheme="majorBidi"/>
                <w:lang w:val="en-US"/>
              </w:rPr>
            </w:pPr>
            <w:hyperlink r:id="rId53" w:history="1">
              <w:r w:rsidR="00090CBF" w:rsidRPr="00090CBF">
                <w:rPr>
                  <w:rStyle w:val="Hyperlink"/>
                  <w:rFonts w:asciiTheme="majorBidi" w:hAnsiTheme="majorBidi" w:cstheme="majorBidi"/>
                  <w:lang w:val="en-US"/>
                </w:rPr>
                <w:t>Nmcculloch@labelmaster.com</w:t>
              </w:r>
            </w:hyperlink>
          </w:p>
        </w:tc>
      </w:tr>
      <w:tr w:rsidR="00090CBF" w:rsidRPr="00090CBF" w14:paraId="05A7BB03"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B44342D" w14:textId="77777777" w:rsidR="00090CBF" w:rsidRPr="00090CBF" w:rsidRDefault="00090CBF">
            <w:pPr>
              <w:spacing w:line="240" w:lineRule="auto"/>
              <w:rPr>
                <w:rFonts w:asciiTheme="majorBidi" w:hAnsiTheme="majorBidi" w:cstheme="majorBidi"/>
                <w:lang w:val="en-ZA"/>
              </w:rPr>
            </w:pPr>
            <w:r w:rsidRPr="00090CBF">
              <w:rPr>
                <w:rFonts w:asciiTheme="majorBidi" w:hAnsiTheme="majorBidi" w:cstheme="majorBidi"/>
              </w:rPr>
              <w:t>Silvia Garcia Wolfrum</w:t>
            </w:r>
          </w:p>
        </w:tc>
        <w:tc>
          <w:tcPr>
            <w:tcW w:w="2199" w:type="dxa"/>
            <w:tcBorders>
              <w:top w:val="single" w:sz="4" w:space="0" w:color="auto"/>
              <w:left w:val="single" w:sz="4" w:space="0" w:color="auto"/>
              <w:bottom w:val="single" w:sz="4" w:space="0" w:color="auto"/>
              <w:right w:val="single" w:sz="4" w:space="0" w:color="auto"/>
            </w:tcBorders>
            <w:hideMark/>
          </w:tcPr>
          <w:p w14:paraId="62928F11"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Spain </w:t>
            </w:r>
          </w:p>
        </w:tc>
        <w:tc>
          <w:tcPr>
            <w:tcW w:w="4295" w:type="dxa"/>
            <w:tcBorders>
              <w:top w:val="single" w:sz="4" w:space="0" w:color="auto"/>
              <w:left w:val="single" w:sz="4" w:space="0" w:color="auto"/>
              <w:bottom w:val="single" w:sz="4" w:space="0" w:color="auto"/>
              <w:right w:val="single" w:sz="4" w:space="0" w:color="auto"/>
            </w:tcBorders>
            <w:hideMark/>
          </w:tcPr>
          <w:p w14:paraId="2B876E85" w14:textId="77777777" w:rsidR="00090CBF" w:rsidRPr="00090CBF" w:rsidRDefault="00184120">
            <w:pPr>
              <w:spacing w:line="240" w:lineRule="auto"/>
              <w:rPr>
                <w:rFonts w:asciiTheme="majorBidi" w:hAnsiTheme="majorBidi" w:cstheme="majorBidi"/>
              </w:rPr>
            </w:pPr>
            <w:hyperlink r:id="rId54" w:history="1">
              <w:r w:rsidR="00090CBF" w:rsidRPr="00090CBF">
                <w:rPr>
                  <w:rStyle w:val="Hyperlink"/>
                  <w:rFonts w:asciiTheme="majorBidi" w:hAnsiTheme="majorBidi" w:cstheme="majorBidi"/>
                  <w:lang w:val="en-US"/>
                </w:rPr>
                <w:t>sgarcia@fomento.es</w:t>
              </w:r>
            </w:hyperlink>
          </w:p>
        </w:tc>
      </w:tr>
      <w:tr w:rsidR="00090CBF" w:rsidRPr="00090CBF" w14:paraId="3E654FDB"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0EBE1BA3"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George Kerchner </w:t>
            </w:r>
          </w:p>
        </w:tc>
        <w:tc>
          <w:tcPr>
            <w:tcW w:w="2199" w:type="dxa"/>
            <w:tcBorders>
              <w:top w:val="single" w:sz="4" w:space="0" w:color="auto"/>
              <w:left w:val="single" w:sz="4" w:space="0" w:color="auto"/>
              <w:bottom w:val="single" w:sz="4" w:space="0" w:color="auto"/>
              <w:right w:val="single" w:sz="4" w:space="0" w:color="auto"/>
            </w:tcBorders>
            <w:hideMark/>
          </w:tcPr>
          <w:p w14:paraId="2E3702E0"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PRBA </w:t>
            </w:r>
          </w:p>
        </w:tc>
        <w:tc>
          <w:tcPr>
            <w:tcW w:w="4295" w:type="dxa"/>
            <w:tcBorders>
              <w:top w:val="single" w:sz="4" w:space="0" w:color="auto"/>
              <w:left w:val="single" w:sz="4" w:space="0" w:color="auto"/>
              <w:bottom w:val="single" w:sz="4" w:space="0" w:color="auto"/>
              <w:right w:val="single" w:sz="4" w:space="0" w:color="auto"/>
            </w:tcBorders>
            <w:hideMark/>
          </w:tcPr>
          <w:p w14:paraId="0F7609DE" w14:textId="77777777" w:rsidR="00090CBF" w:rsidRPr="00090CBF" w:rsidRDefault="00184120">
            <w:pPr>
              <w:spacing w:line="240" w:lineRule="auto"/>
              <w:rPr>
                <w:rFonts w:asciiTheme="majorBidi" w:hAnsiTheme="majorBidi" w:cstheme="majorBidi"/>
              </w:rPr>
            </w:pPr>
            <w:hyperlink r:id="rId55" w:history="1">
              <w:r w:rsidR="00090CBF" w:rsidRPr="00090CBF">
                <w:rPr>
                  <w:rStyle w:val="Hyperlink"/>
                  <w:rFonts w:asciiTheme="majorBidi" w:hAnsiTheme="majorBidi" w:cstheme="majorBidi"/>
                </w:rPr>
                <w:t>GKerchner@wileyrein.com</w:t>
              </w:r>
            </w:hyperlink>
            <w:r w:rsidR="00090CBF" w:rsidRPr="00090CBF">
              <w:rPr>
                <w:rFonts w:asciiTheme="majorBidi" w:hAnsiTheme="majorBidi" w:cstheme="majorBidi"/>
              </w:rPr>
              <w:t xml:space="preserve"> </w:t>
            </w:r>
          </w:p>
        </w:tc>
      </w:tr>
      <w:tr w:rsidR="00090CBF" w:rsidRPr="00090CBF" w14:paraId="79A56838"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4FB565F7"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Katherine Rooney</w:t>
            </w:r>
          </w:p>
        </w:tc>
        <w:tc>
          <w:tcPr>
            <w:tcW w:w="2199" w:type="dxa"/>
            <w:tcBorders>
              <w:top w:val="single" w:sz="4" w:space="0" w:color="auto"/>
              <w:left w:val="single" w:sz="4" w:space="0" w:color="auto"/>
              <w:bottom w:val="single" w:sz="4" w:space="0" w:color="auto"/>
              <w:right w:val="single" w:sz="4" w:space="0" w:color="auto"/>
            </w:tcBorders>
            <w:hideMark/>
          </w:tcPr>
          <w:p w14:paraId="7D1593A9"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ICAO</w:t>
            </w:r>
          </w:p>
        </w:tc>
        <w:tc>
          <w:tcPr>
            <w:tcW w:w="4295" w:type="dxa"/>
            <w:tcBorders>
              <w:top w:val="single" w:sz="4" w:space="0" w:color="auto"/>
              <w:left w:val="single" w:sz="4" w:space="0" w:color="auto"/>
              <w:bottom w:val="single" w:sz="4" w:space="0" w:color="auto"/>
              <w:right w:val="single" w:sz="4" w:space="0" w:color="auto"/>
            </w:tcBorders>
            <w:hideMark/>
          </w:tcPr>
          <w:p w14:paraId="3FCEBFEB" w14:textId="77777777" w:rsidR="00090CBF" w:rsidRPr="00090CBF" w:rsidRDefault="00184120">
            <w:pPr>
              <w:spacing w:line="240" w:lineRule="auto"/>
              <w:rPr>
                <w:rFonts w:asciiTheme="majorBidi" w:hAnsiTheme="majorBidi" w:cstheme="majorBidi"/>
              </w:rPr>
            </w:pPr>
            <w:hyperlink r:id="rId56" w:history="1">
              <w:r w:rsidR="00090CBF" w:rsidRPr="00090CBF">
                <w:rPr>
                  <w:rStyle w:val="Hyperlink"/>
                  <w:rFonts w:asciiTheme="majorBidi" w:hAnsiTheme="majorBidi" w:cstheme="majorBidi"/>
                </w:rPr>
                <w:t>KRooney@icao.int</w:t>
              </w:r>
            </w:hyperlink>
            <w:r w:rsidR="00090CBF" w:rsidRPr="00090CBF">
              <w:rPr>
                <w:rFonts w:asciiTheme="majorBidi" w:hAnsiTheme="majorBidi" w:cstheme="majorBidi"/>
              </w:rPr>
              <w:t xml:space="preserve"> </w:t>
            </w:r>
          </w:p>
        </w:tc>
      </w:tr>
      <w:tr w:rsidR="00090CBF" w:rsidRPr="00090CBF" w14:paraId="6BF02186" w14:textId="77777777" w:rsidTr="00090CBF">
        <w:tc>
          <w:tcPr>
            <w:tcW w:w="2010" w:type="dxa"/>
            <w:tcBorders>
              <w:top w:val="single" w:sz="4" w:space="0" w:color="auto"/>
              <w:left w:val="single" w:sz="4" w:space="0" w:color="auto"/>
              <w:bottom w:val="single" w:sz="4" w:space="0" w:color="auto"/>
              <w:right w:val="single" w:sz="4" w:space="0" w:color="auto"/>
            </w:tcBorders>
            <w:hideMark/>
          </w:tcPr>
          <w:p w14:paraId="599C21FB"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 xml:space="preserve">Duane Pfund </w:t>
            </w:r>
          </w:p>
        </w:tc>
        <w:tc>
          <w:tcPr>
            <w:tcW w:w="2199" w:type="dxa"/>
            <w:tcBorders>
              <w:top w:val="single" w:sz="4" w:space="0" w:color="auto"/>
              <w:left w:val="single" w:sz="4" w:space="0" w:color="auto"/>
              <w:bottom w:val="single" w:sz="4" w:space="0" w:color="auto"/>
              <w:right w:val="single" w:sz="4" w:space="0" w:color="auto"/>
            </w:tcBorders>
            <w:hideMark/>
          </w:tcPr>
          <w:p w14:paraId="55D07AEA" w14:textId="77777777" w:rsidR="00090CBF" w:rsidRPr="00090CBF" w:rsidRDefault="00090CBF">
            <w:pPr>
              <w:spacing w:line="240" w:lineRule="auto"/>
              <w:rPr>
                <w:rFonts w:asciiTheme="majorBidi" w:hAnsiTheme="majorBidi" w:cstheme="majorBidi"/>
              </w:rPr>
            </w:pPr>
            <w:r w:rsidRPr="00090CBF">
              <w:rPr>
                <w:rFonts w:asciiTheme="majorBidi" w:hAnsiTheme="majorBidi" w:cstheme="majorBidi"/>
              </w:rPr>
              <w:t>USA</w:t>
            </w:r>
          </w:p>
        </w:tc>
        <w:tc>
          <w:tcPr>
            <w:tcW w:w="4295" w:type="dxa"/>
            <w:tcBorders>
              <w:top w:val="single" w:sz="4" w:space="0" w:color="auto"/>
              <w:left w:val="single" w:sz="4" w:space="0" w:color="auto"/>
              <w:bottom w:val="single" w:sz="4" w:space="0" w:color="auto"/>
              <w:right w:val="single" w:sz="4" w:space="0" w:color="auto"/>
            </w:tcBorders>
            <w:hideMark/>
          </w:tcPr>
          <w:p w14:paraId="3A084FF4" w14:textId="77777777" w:rsidR="00090CBF" w:rsidRPr="00090CBF" w:rsidRDefault="00184120">
            <w:pPr>
              <w:spacing w:line="240" w:lineRule="auto"/>
              <w:rPr>
                <w:rFonts w:asciiTheme="majorBidi" w:hAnsiTheme="majorBidi" w:cstheme="majorBidi"/>
                <w:color w:val="0070C0"/>
              </w:rPr>
            </w:pPr>
            <w:hyperlink r:id="rId57" w:history="1">
              <w:r w:rsidR="00090CBF" w:rsidRPr="00090CBF">
                <w:rPr>
                  <w:rStyle w:val="Hyperlink"/>
                  <w:rFonts w:asciiTheme="majorBidi" w:hAnsiTheme="majorBidi" w:cstheme="majorBidi"/>
                </w:rPr>
                <w:t>Duane.Pfund@dot.gov</w:t>
              </w:r>
            </w:hyperlink>
            <w:r w:rsidR="00090CBF" w:rsidRPr="00090CBF">
              <w:rPr>
                <w:rFonts w:asciiTheme="majorBidi" w:hAnsiTheme="majorBidi" w:cstheme="majorBidi"/>
                <w:color w:val="0070C0"/>
              </w:rPr>
              <w:t xml:space="preserve"> </w:t>
            </w:r>
          </w:p>
        </w:tc>
      </w:tr>
    </w:tbl>
    <w:p w14:paraId="01B8139F" w14:textId="71B38932" w:rsidR="00365AA6" w:rsidRPr="00365AA6" w:rsidRDefault="00090CBF" w:rsidP="00090CBF">
      <w:pPr>
        <w:spacing w:before="40"/>
        <w:jc w:val="center"/>
        <w:rPr>
          <w:bCs/>
          <w:sz w:val="24"/>
        </w:rPr>
      </w:pPr>
      <w:r>
        <w:rPr>
          <w:u w:val="single"/>
          <w:lang w:val="en-ZA"/>
        </w:rPr>
        <w:tab/>
      </w:r>
      <w:r>
        <w:rPr>
          <w:u w:val="single"/>
          <w:lang w:val="en-ZA"/>
        </w:rPr>
        <w:tab/>
      </w:r>
      <w:r>
        <w:rPr>
          <w:u w:val="single"/>
          <w:lang w:val="en-ZA"/>
        </w:rPr>
        <w:tab/>
      </w:r>
    </w:p>
    <w:sectPr w:rsidR="00365AA6" w:rsidRPr="00365AA6" w:rsidSect="007A44D6">
      <w:headerReference w:type="even" r:id="rId58"/>
      <w:headerReference w:type="default" r:id="rId59"/>
      <w:footerReference w:type="even" r:id="rId60"/>
      <w:footerReference w:type="default" r:id="rId61"/>
      <w:headerReference w:type="first" r:id="rId62"/>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090CBF" w:rsidRDefault="00090CBF"/>
  </w:endnote>
  <w:endnote w:type="continuationSeparator" w:id="0">
    <w:p w14:paraId="257E9CA9" w14:textId="77777777" w:rsidR="00090CBF" w:rsidRDefault="00090CBF"/>
  </w:endnote>
  <w:endnote w:type="continuationNotice" w:id="1">
    <w:p w14:paraId="6E313BBF" w14:textId="77777777" w:rsidR="00090CBF" w:rsidRDefault="00090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090CBF" w:rsidRPr="000B175B" w:rsidRDefault="00090CBF" w:rsidP="000B175B">
      <w:pPr>
        <w:tabs>
          <w:tab w:val="right" w:pos="2155"/>
        </w:tabs>
        <w:spacing w:after="80"/>
        <w:ind w:left="680"/>
        <w:rPr>
          <w:u w:val="single"/>
        </w:rPr>
      </w:pPr>
      <w:r>
        <w:rPr>
          <w:u w:val="single"/>
        </w:rPr>
        <w:tab/>
      </w:r>
    </w:p>
  </w:footnote>
  <w:footnote w:type="continuationSeparator" w:id="0">
    <w:p w14:paraId="5A1E7097" w14:textId="77777777" w:rsidR="00090CBF" w:rsidRPr="00FC68B7" w:rsidRDefault="00090CBF" w:rsidP="00FC68B7">
      <w:pPr>
        <w:tabs>
          <w:tab w:val="left" w:pos="2155"/>
        </w:tabs>
        <w:spacing w:after="80"/>
        <w:ind w:left="680"/>
        <w:rPr>
          <w:u w:val="single"/>
        </w:rPr>
      </w:pPr>
      <w:r>
        <w:rPr>
          <w:u w:val="single"/>
        </w:rPr>
        <w:tab/>
      </w:r>
    </w:p>
  </w:footnote>
  <w:footnote w:type="continuationNotice" w:id="1">
    <w:p w14:paraId="05274711" w14:textId="77777777" w:rsidR="00090CBF" w:rsidRDefault="00090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28DAA26D" w:rsidR="00090CBF" w:rsidRPr="00B5392B" w:rsidRDefault="00090CBF">
    <w:pPr>
      <w:pStyle w:val="Header"/>
      <w:rPr>
        <w:lang w:val="nl-NL"/>
      </w:rPr>
    </w:pPr>
    <w:r w:rsidRPr="00340E2C">
      <w:rPr>
        <w:lang w:val="nl-NL"/>
      </w:rPr>
      <w:t>UN/SCETDG/5</w:t>
    </w:r>
    <w:r>
      <w:rPr>
        <w:lang w:val="nl-NL"/>
      </w:rPr>
      <w:t>7</w:t>
    </w:r>
    <w:r w:rsidRPr="00340E2C">
      <w:rPr>
        <w:lang w:val="nl-NL"/>
      </w:rPr>
      <w:t>/INF.</w:t>
    </w:r>
    <w:r>
      <w:rPr>
        <w:lang w:val="nl-NL"/>
      </w:rPr>
      <w:t>5</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16C7A40E" w:rsidR="00090CBF" w:rsidRPr="000216CC" w:rsidRDefault="00090CBF" w:rsidP="00090CBF">
    <w:pPr>
      <w:pStyle w:val="Header"/>
      <w:jc w:val="right"/>
    </w:pPr>
    <w:r w:rsidRPr="00090CBF">
      <w:t>UN/SCETDG/57/INF.5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2"/>
  </w:num>
  <w:num w:numId="14">
    <w:abstractNumId w:val="25"/>
  </w:num>
  <w:num w:numId="15">
    <w:abstractNumId w:val="29"/>
  </w:num>
  <w:num w:numId="16">
    <w:abstractNumId w:val="16"/>
  </w:num>
  <w:num w:numId="17">
    <w:abstractNumId w:val="10"/>
  </w:num>
  <w:num w:numId="18">
    <w:abstractNumId w:val="30"/>
  </w:num>
  <w:num w:numId="19">
    <w:abstractNumId w:val="28"/>
  </w:num>
  <w:num w:numId="20">
    <w:abstractNumId w:val="11"/>
  </w:num>
  <w:num w:numId="21">
    <w:abstractNumId w:val="26"/>
  </w:num>
  <w:num w:numId="22">
    <w:abstractNumId w:val="13"/>
  </w:num>
  <w:num w:numId="23">
    <w:abstractNumId w:val="27"/>
  </w:num>
  <w:num w:numId="24">
    <w:abstractNumId w:val="23"/>
  </w:num>
  <w:num w:numId="25">
    <w:abstractNumId w:val="17"/>
  </w:num>
  <w:num w:numId="26">
    <w:abstractNumId w:val="18"/>
  </w:num>
  <w:num w:numId="27">
    <w:abstractNumId w:val="22"/>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9"/>
  </w:num>
  <w:num w:numId="3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0CBF"/>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120"/>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231C"/>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5AA6"/>
    <w:rsid w:val="00372F06"/>
    <w:rsid w:val="00391647"/>
    <w:rsid w:val="00391A13"/>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44D6"/>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03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701ED"/>
    <w:rsid w:val="00972A01"/>
    <w:rsid w:val="00980BD7"/>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44269"/>
    <w:rsid w:val="00A50077"/>
    <w:rsid w:val="00A54CA8"/>
    <w:rsid w:val="00A60196"/>
    <w:rsid w:val="00A6199C"/>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0187"/>
    <w:rsid w:val="00CB2158"/>
    <w:rsid w:val="00CB3CEA"/>
    <w:rsid w:val="00CB6380"/>
    <w:rsid w:val="00CC4CA6"/>
    <w:rsid w:val="00CD0009"/>
    <w:rsid w:val="00CD2CE2"/>
    <w:rsid w:val="00CD30EE"/>
    <w:rsid w:val="00CD3225"/>
    <w:rsid w:val="00CD35E8"/>
    <w:rsid w:val="00CE09DE"/>
    <w:rsid w:val="00CE33D5"/>
    <w:rsid w:val="00CE4083"/>
    <w:rsid w:val="00CE46BA"/>
    <w:rsid w:val="00CE4A8F"/>
    <w:rsid w:val="00CE74ED"/>
    <w:rsid w:val="00CF4FE1"/>
    <w:rsid w:val="00CF6F32"/>
    <w:rsid w:val="00CF778D"/>
    <w:rsid w:val="00D0631B"/>
    <w:rsid w:val="00D06C3A"/>
    <w:rsid w:val="00D164BA"/>
    <w:rsid w:val="00D16C2F"/>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knoess@kunststoffverpackungen.de" TargetMode="External"/><Relationship Id="rId18" Type="http://schemas.openxmlformats.org/officeDocument/2006/relationships/hyperlink" Target="mailto:amarcosf@fomento.es" TargetMode="External"/><Relationship Id="rId26" Type="http://schemas.openxmlformats.org/officeDocument/2006/relationships/hyperlink" Target="mailto:Remko.dardenne@mobilit.fgov.be" TargetMode="External"/><Relationship Id="rId39" Type="http://schemas.openxmlformats.org/officeDocument/2006/relationships/hyperlink" Target="mailto:david.gilabert@astra.admin.ch" TargetMode="External"/><Relationship Id="rId21" Type="http://schemas.openxmlformats.org/officeDocument/2006/relationships/hyperlink" Target="mailto:Madona.Radi@tc.gc.ca" TargetMode="External"/><Relationship Id="rId34" Type="http://schemas.openxmlformats.org/officeDocument/2006/relationships/hyperlink" Target="mailto:Korinna.Rakowski@bmvi.bund.de" TargetMode="External"/><Relationship Id="rId42" Type="http://schemas.openxmlformats.org/officeDocument/2006/relationships/hyperlink" Target="mailto:joachim.scheerlinck@mobilit.fgov.be" TargetMode="External"/><Relationship Id="rId47" Type="http://schemas.openxmlformats.org/officeDocument/2006/relationships/hyperlink" Target="mailto:david.lamarche@tc.gc.ca" TargetMode="External"/><Relationship Id="rId50" Type="http://schemas.openxmlformats.org/officeDocument/2006/relationships/hyperlink" Target="mailto:taka-hamada@nkkk.or.jp" TargetMode="External"/><Relationship Id="rId55" Type="http://schemas.openxmlformats.org/officeDocument/2006/relationships/hyperlink" Target="mailto:GKerchner@wileyrein.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hane.kelley@dot.gov" TargetMode="External"/><Relationship Id="rId20" Type="http://schemas.openxmlformats.org/officeDocument/2006/relationships/hyperlink" Target="mailto:france.bernier@tc.gc.ca" TargetMode="External"/><Relationship Id="rId29" Type="http://schemas.openxmlformats.org/officeDocument/2006/relationships/hyperlink" Target="mailto:lxy@ghs.cn" TargetMode="External"/><Relationship Id="rId41" Type="http://schemas.openxmlformats.org/officeDocument/2006/relationships/hyperlink" Target="mailto:claude.pfauvadel@developpement-durable.gouv.fr" TargetMode="External"/><Relationship Id="rId54" Type="http://schemas.openxmlformats.org/officeDocument/2006/relationships/hyperlink" Target="mailto:sgarcia@fomento.es"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auma@fmi.com" TargetMode="External"/><Relationship Id="rId24" Type="http://schemas.openxmlformats.org/officeDocument/2006/relationships/hyperlink" Target="mailto:dkirk@ntc.gov.au" TargetMode="External"/><Relationship Id="rId32" Type="http://schemas.openxmlformats.org/officeDocument/2006/relationships/hyperlink" Target="mailto:cbl53@mac.com" TargetMode="External"/><Relationship Id="rId37" Type="http://schemas.openxmlformats.org/officeDocument/2006/relationships/hyperlink" Target="mailto:Yasmijn.van.der.knapp@rivm.nl" TargetMode="External"/><Relationship Id="rId40" Type="http://schemas.openxmlformats.org/officeDocument/2006/relationships/hyperlink" Target="mailto:Barbara.langtrey-miller@givaudin.com" TargetMode="External"/><Relationship Id="rId45" Type="http://schemas.openxmlformats.org/officeDocument/2006/relationships/hyperlink" Target="mailto:Sabine.schultes@bayer.com" TargetMode="External"/><Relationship Id="rId53" Type="http://schemas.openxmlformats.org/officeDocument/2006/relationships/hyperlink" Target="mailto:Nmcculloch@labelmaster.co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chanson@rechargebatteries.org" TargetMode="External"/><Relationship Id="rId23" Type="http://schemas.openxmlformats.org/officeDocument/2006/relationships/hyperlink" Target="mailto:vtr@cefic.be" TargetMode="External"/><Relationship Id="rId28" Type="http://schemas.openxmlformats.org/officeDocument/2006/relationships/hyperlink" Target="mailto:fb@ghs.cn" TargetMode="External"/><Relationship Id="rId36" Type="http://schemas.openxmlformats.org/officeDocument/2006/relationships/hyperlink" Target="mailto:kristel.vermeersch@kvspartners.be" TargetMode="External"/><Relationship Id="rId49" Type="http://schemas.openxmlformats.org/officeDocument/2006/relationships/hyperlink" Target="mailto:brichard@hazmatsafety.com" TargetMode="External"/><Relationship Id="rId57" Type="http://schemas.openxmlformats.org/officeDocument/2006/relationships/hyperlink" Target="mailto:Duane.Pfund@dot.gov" TargetMode="External"/><Relationship Id="rId61" Type="http://schemas.openxmlformats.org/officeDocument/2006/relationships/footer" Target="footer2.xml"/><Relationship Id="rId10" Type="http://schemas.openxmlformats.org/officeDocument/2006/relationships/hyperlink" Target="mailto:Bruno.Rosier@eu.umicore.com" TargetMode="External"/><Relationship Id="rId19" Type="http://schemas.openxmlformats.org/officeDocument/2006/relationships/hyperlink" Target="mailto:genevieve.sansoucy@tc.gc.ca" TargetMode="External"/><Relationship Id="rId31" Type="http://schemas.openxmlformats.org/officeDocument/2006/relationships/hyperlink" Target="mailto:thilo.klein@schuetz.net" TargetMode="External"/><Relationship Id="rId44" Type="http://schemas.openxmlformats.org/officeDocument/2006/relationships/hyperlink" Target="mailto:ken@riskom.com.au" TargetMode="External"/><Relationship Id="rId52" Type="http://schemas.openxmlformats.org/officeDocument/2006/relationships/hyperlink" Target="mailto:fwybenga@dg-transportation.com"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Marsh@cobaltinstitute.org" TargetMode="External"/><Relationship Id="rId14" Type="http://schemas.openxmlformats.org/officeDocument/2006/relationships/hyperlink" Target="mailto:Kevin.Leary@dot.gov" TargetMode="External"/><Relationship Id="rId22" Type="http://schemas.openxmlformats.org/officeDocument/2006/relationships/hyperlink" Target="mailto:Keith.white@vca.gov.uk" TargetMode="External"/><Relationship Id="rId27" Type="http://schemas.openxmlformats.org/officeDocument/2006/relationships/hyperlink" Target="mailto:hannes.demare@mobilit.fgov.be" TargetMode="External"/><Relationship Id="rId30" Type="http://schemas.openxmlformats.org/officeDocument/2006/relationships/hyperlink" Target="mailto:aaron.wiener@dot.gov" TargetMode="External"/><Relationship Id="rId35" Type="http://schemas.openxmlformats.org/officeDocument/2006/relationships/hyperlink" Target="mailto:Dieter.heitkamp@basf.com" TargetMode="External"/><Relationship Id="rId43" Type="http://schemas.openxmlformats.org/officeDocument/2006/relationships/hyperlink" Target="mailto:Erwin.Sigrist@scienceindustries.ch" TargetMode="External"/><Relationship Id="rId48" Type="http://schemas.openxmlformats.org/officeDocument/2006/relationships/hyperlink" Target="mailto:tastrobel@mmm.com" TargetMode="External"/><Relationship Id="rId56" Type="http://schemas.openxmlformats.org/officeDocument/2006/relationships/hyperlink" Target="mailto:KRooney@icao.int" TargetMode="External"/><Relationship Id="rId64" Type="http://schemas.openxmlformats.org/officeDocument/2006/relationships/theme" Target="theme/theme1.xml"/><Relationship Id="rId8" Type="http://schemas.openxmlformats.org/officeDocument/2006/relationships/hyperlink" Target="mailto:liz@rpmasa.org.za" TargetMode="External"/><Relationship Id="rId51" Type="http://schemas.openxmlformats.org/officeDocument/2006/relationships/hyperlink" Target="mailto:info@idgca.ru" TargetMode="External"/><Relationship Id="rId3" Type="http://schemas.openxmlformats.org/officeDocument/2006/relationships/styles" Target="styles.xml"/><Relationship Id="rId12" Type="http://schemas.openxmlformats.org/officeDocument/2006/relationships/hyperlink" Target="mailto:Miina.gronlund@traficom.fi" TargetMode="External"/><Relationship Id="rId17" Type="http://schemas.openxmlformats.org/officeDocument/2006/relationships/hyperlink" Target="mailto:tom@costha.com" TargetMode="External"/><Relationship Id="rId25" Type="http://schemas.openxmlformats.org/officeDocument/2006/relationships/hyperlink" Target="mailto:elias.huber@bmvit.gv.at" TargetMode="External"/><Relationship Id="rId33" Type="http://schemas.openxmlformats.org/officeDocument/2006/relationships/hyperlink" Target="mailto:Marcel.neitsh@bam.de" TargetMode="External"/><Relationship Id="rId38" Type="http://schemas.openxmlformats.org/officeDocument/2006/relationships/hyperlink" Target="mailto:Sjofn.gunnarsdottir@rivm.nl" TargetMode="External"/><Relationship Id="rId46" Type="http://schemas.openxmlformats.org/officeDocument/2006/relationships/hyperlink" Target="mailto:natalie.cadotte@tc.gc.ca" TargetMode="External"/><Relationship Id="rId5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95B3-AD64-4A77-9C91-087AED1C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104</TotalTime>
  <Pages>7</Pages>
  <Words>2783</Words>
  <Characters>15865</Characters>
  <Application>Microsoft Office Word</Application>
  <DocSecurity>0</DocSecurity>
  <Lines>132</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Rosa</cp:lastModifiedBy>
  <cp:revision>14</cp:revision>
  <cp:lastPrinted>2019-09-26T09:05:00Z</cp:lastPrinted>
  <dcterms:created xsi:type="dcterms:W3CDTF">2019-09-26T09:01:00Z</dcterms:created>
  <dcterms:modified xsi:type="dcterms:W3CDTF">2020-04-07T12:58:00Z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