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5CCD096" w14:textId="77777777" w:rsidTr="006476E1">
        <w:trPr>
          <w:trHeight w:val="851"/>
        </w:trPr>
        <w:tc>
          <w:tcPr>
            <w:tcW w:w="1259" w:type="dxa"/>
            <w:tcBorders>
              <w:top w:val="nil"/>
              <w:left w:val="nil"/>
              <w:bottom w:val="single" w:sz="4" w:space="0" w:color="auto"/>
              <w:right w:val="nil"/>
            </w:tcBorders>
          </w:tcPr>
          <w:p w14:paraId="0EEB127C" w14:textId="77777777" w:rsidR="00E52109" w:rsidRPr="002A32CB" w:rsidRDefault="00E52109" w:rsidP="004858F5"/>
        </w:tc>
        <w:tc>
          <w:tcPr>
            <w:tcW w:w="2236" w:type="dxa"/>
            <w:tcBorders>
              <w:top w:val="nil"/>
              <w:left w:val="nil"/>
              <w:bottom w:val="single" w:sz="4" w:space="0" w:color="auto"/>
              <w:right w:val="nil"/>
            </w:tcBorders>
            <w:vAlign w:val="bottom"/>
          </w:tcPr>
          <w:p w14:paraId="6B30DFE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D0BB934" w14:textId="1216142F" w:rsidR="00E52109" w:rsidRPr="00A00748" w:rsidRDefault="00154CCA" w:rsidP="00154CCA">
            <w:pPr>
              <w:suppressAutoHyphens w:val="0"/>
              <w:jc w:val="right"/>
            </w:pPr>
            <w:r w:rsidRPr="000F00C9">
              <w:rPr>
                <w:sz w:val="40"/>
              </w:rPr>
              <w:t>ST</w:t>
            </w:r>
            <w:r w:rsidRPr="000F00C9">
              <w:t>/SG/AC.10/C.3/2020/</w:t>
            </w:r>
            <w:r w:rsidR="00572721" w:rsidRPr="000F00C9">
              <w:t>77</w:t>
            </w:r>
          </w:p>
        </w:tc>
      </w:tr>
      <w:tr w:rsidR="00E52109" w14:paraId="2C8EF689" w14:textId="77777777" w:rsidTr="006476E1">
        <w:trPr>
          <w:trHeight w:val="2835"/>
        </w:trPr>
        <w:tc>
          <w:tcPr>
            <w:tcW w:w="1259" w:type="dxa"/>
            <w:tcBorders>
              <w:top w:val="single" w:sz="4" w:space="0" w:color="auto"/>
              <w:left w:val="nil"/>
              <w:bottom w:val="single" w:sz="12" w:space="0" w:color="auto"/>
              <w:right w:val="nil"/>
            </w:tcBorders>
          </w:tcPr>
          <w:p w14:paraId="2D6AFC62" w14:textId="77777777" w:rsidR="00E52109" w:rsidRDefault="00E52109" w:rsidP="006476E1">
            <w:pPr>
              <w:spacing w:before="120"/>
              <w:jc w:val="center"/>
            </w:pPr>
            <w:r>
              <w:rPr>
                <w:noProof/>
                <w:lang w:val="fr-CH" w:eastAsia="fr-CH"/>
              </w:rPr>
              <w:drawing>
                <wp:inline distT="0" distB="0" distL="0" distR="0" wp14:anchorId="35249AC9" wp14:editId="5852EA6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61190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40A5B84" w14:textId="77777777" w:rsidR="00D94B05" w:rsidRDefault="00154CCA" w:rsidP="00154CCA">
            <w:pPr>
              <w:suppressAutoHyphens w:val="0"/>
              <w:spacing w:before="240" w:line="240" w:lineRule="exact"/>
            </w:pPr>
            <w:r>
              <w:t>Distr.: General</w:t>
            </w:r>
          </w:p>
          <w:p w14:paraId="0C65AA80" w14:textId="74110F49" w:rsidR="00154CCA" w:rsidRDefault="000F00C9" w:rsidP="00154CCA">
            <w:pPr>
              <w:suppressAutoHyphens w:val="0"/>
              <w:spacing w:line="240" w:lineRule="exact"/>
            </w:pPr>
            <w:r>
              <w:t>1</w:t>
            </w:r>
            <w:r w:rsidR="00154CCA">
              <w:t>7 September 2020</w:t>
            </w:r>
          </w:p>
          <w:p w14:paraId="334AB848" w14:textId="77777777" w:rsidR="00154CCA" w:rsidRDefault="00154CCA" w:rsidP="00154CCA">
            <w:pPr>
              <w:suppressAutoHyphens w:val="0"/>
              <w:spacing w:line="240" w:lineRule="exact"/>
            </w:pPr>
          </w:p>
          <w:p w14:paraId="548C7C72" w14:textId="77777777" w:rsidR="00154CCA" w:rsidRDefault="00154CCA" w:rsidP="00154CCA">
            <w:pPr>
              <w:suppressAutoHyphens w:val="0"/>
              <w:spacing w:line="240" w:lineRule="exact"/>
            </w:pPr>
            <w:r>
              <w:t>Original: English</w:t>
            </w:r>
          </w:p>
        </w:tc>
      </w:tr>
    </w:tbl>
    <w:p w14:paraId="0394A670" w14:textId="77777777" w:rsidR="00453DE4" w:rsidRPr="006500BA" w:rsidRDefault="00453DE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8C1C0CB" w14:textId="77777777" w:rsidR="00453DE4" w:rsidRPr="006500BA" w:rsidRDefault="00453DE4" w:rsidP="004858F5">
      <w:pPr>
        <w:spacing w:before="120"/>
        <w:rPr>
          <w:rFonts w:ascii="Helv" w:hAnsi="Helv" w:cs="Helv"/>
          <w:b/>
          <w:color w:val="000000"/>
        </w:rPr>
      </w:pPr>
      <w:r w:rsidRPr="006500BA">
        <w:rPr>
          <w:b/>
        </w:rPr>
        <w:t xml:space="preserve">Sub-Committee of Experts on the </w:t>
      </w:r>
      <w:r>
        <w:rPr>
          <w:b/>
        </w:rPr>
        <w:t>Transport of Dangerous Goods</w:t>
      </w:r>
    </w:p>
    <w:p w14:paraId="3C0E2F19" w14:textId="3E500F5A" w:rsidR="00453DE4" w:rsidRPr="006500BA" w:rsidRDefault="00572721" w:rsidP="004858F5">
      <w:pPr>
        <w:spacing w:before="120"/>
        <w:rPr>
          <w:b/>
        </w:rPr>
      </w:pPr>
      <w:r>
        <w:rPr>
          <w:b/>
        </w:rPr>
        <w:t>Fifty-seventh</w:t>
      </w:r>
      <w:r w:rsidR="00453DE4">
        <w:rPr>
          <w:b/>
        </w:rPr>
        <w:t xml:space="preserve"> </w:t>
      </w:r>
      <w:r w:rsidR="00453DE4" w:rsidRPr="006500BA">
        <w:rPr>
          <w:b/>
        </w:rPr>
        <w:t>session</w:t>
      </w:r>
    </w:p>
    <w:p w14:paraId="07319599" w14:textId="3E7F222C" w:rsidR="00453DE4" w:rsidRPr="006500BA" w:rsidRDefault="00453DE4" w:rsidP="004858F5">
      <w:r w:rsidRPr="006500BA">
        <w:t xml:space="preserve">Geneva, </w:t>
      </w:r>
      <w:r w:rsidR="00572721">
        <w:t>30 November-8 December 2020</w:t>
      </w:r>
      <w:r>
        <w:t xml:space="preserve"> </w:t>
      </w:r>
    </w:p>
    <w:p w14:paraId="1444B4F3" w14:textId="46B83353" w:rsidR="00453DE4" w:rsidRPr="006500BA" w:rsidRDefault="00453DE4" w:rsidP="004858F5">
      <w:r w:rsidRPr="006500BA">
        <w:t xml:space="preserve">Item </w:t>
      </w:r>
      <w:r w:rsidR="00572721">
        <w:t>4 (a)</w:t>
      </w:r>
      <w:r w:rsidRPr="006500BA">
        <w:t xml:space="preserve"> of the provisional agenda</w:t>
      </w:r>
    </w:p>
    <w:p w14:paraId="2ADE81C1" w14:textId="64AF7DE0" w:rsidR="00AF5DE1" w:rsidRPr="00572721" w:rsidRDefault="00572721" w:rsidP="004858F5">
      <w:pPr>
        <w:rPr>
          <w:b/>
          <w:bCs/>
        </w:rPr>
      </w:pPr>
      <w:r w:rsidRPr="00572721">
        <w:rPr>
          <w:b/>
          <w:bCs/>
        </w:rPr>
        <w:t>Electric storage systems: testing of lithium batterie</w:t>
      </w:r>
    </w:p>
    <w:p w14:paraId="64B2C6FE" w14:textId="77777777" w:rsidR="00572721" w:rsidRDefault="00572721" w:rsidP="00572721">
      <w:pPr>
        <w:pStyle w:val="HChG"/>
      </w:pPr>
      <w:r>
        <w:tab/>
      </w:r>
      <w:r>
        <w:tab/>
        <w:t>Lithium Battery Test Summary</w:t>
      </w:r>
    </w:p>
    <w:p w14:paraId="3988F88F" w14:textId="1175472E" w:rsidR="00572721" w:rsidRDefault="00572721" w:rsidP="00572721">
      <w:pPr>
        <w:pStyle w:val="H1G"/>
      </w:pPr>
      <w:r>
        <w:tab/>
      </w:r>
      <w:r>
        <w:tab/>
      </w:r>
      <w:r w:rsidRPr="00151914">
        <w:t xml:space="preserve">Transmitted by </w:t>
      </w:r>
      <w:r w:rsidRPr="001537C0">
        <w:t xml:space="preserve">the Medical Device Battery Transport Council (MDBTC), Dangerous </w:t>
      </w:r>
      <w:r w:rsidRPr="00151914">
        <w:t xml:space="preserve">Goods Advisory Council (DGAC), </w:t>
      </w:r>
      <w:r>
        <w:t xml:space="preserve">PRBA – </w:t>
      </w:r>
      <w:r w:rsidRPr="00151914">
        <w:t>The Rechargeable Battery Association, Council on the Safe Transport of Hazardous Articles (COSTHA)</w:t>
      </w:r>
      <w:r>
        <w:t xml:space="preserve">, </w:t>
      </w:r>
      <w:r w:rsidRPr="00151914">
        <w:t>European Association for Advanced Rechargeable Batteries (RECHARGE)</w:t>
      </w:r>
      <w:r>
        <w:t xml:space="preserve">, </w:t>
      </w:r>
      <w:r w:rsidRPr="0094007B">
        <w:t xml:space="preserve">Sporting Arms </w:t>
      </w:r>
      <w:r w:rsidR="000F00C9">
        <w:t>and</w:t>
      </w:r>
      <w:r w:rsidRPr="0094007B">
        <w:t xml:space="preserve"> Ammunition Manufacturers’ Institute (SAAMI)</w:t>
      </w:r>
      <w:r>
        <w:t>, and Dangerous Goods Trainer Association (DGTA)</w:t>
      </w:r>
      <w:r>
        <w:rPr>
          <w:rStyle w:val="FootnoteReference"/>
        </w:rPr>
        <w:footnoteReference w:customMarkFollows="1" w:id="2"/>
        <w:t>*</w:t>
      </w:r>
    </w:p>
    <w:p w14:paraId="56B44A35" w14:textId="77777777" w:rsidR="00572721" w:rsidRPr="00B5095E" w:rsidRDefault="00572721" w:rsidP="00572721">
      <w:pPr>
        <w:pStyle w:val="HChG"/>
      </w:pPr>
      <w:r>
        <w:tab/>
      </w:r>
      <w:r>
        <w:tab/>
        <w:t>Introduction</w:t>
      </w:r>
    </w:p>
    <w:p w14:paraId="5D8FBF4D" w14:textId="3B05F440" w:rsidR="00572721" w:rsidRDefault="00572721" w:rsidP="00572721">
      <w:pPr>
        <w:pStyle w:val="SingleTxtG"/>
        <w:numPr>
          <w:ilvl w:val="0"/>
          <w:numId w:val="14"/>
        </w:numPr>
        <w:kinsoku/>
        <w:overflowPunct/>
        <w:autoSpaceDE/>
        <w:autoSpaceDN/>
        <w:adjustRightInd/>
        <w:snapToGrid/>
        <w:ind w:left="1134" w:firstLine="0"/>
      </w:pPr>
      <w:r>
        <w:t xml:space="preserve">This new </w:t>
      </w:r>
      <w:r w:rsidR="000F00C9">
        <w:t>d</w:t>
      </w:r>
      <w:r>
        <w:t xml:space="preserve">ocument addresses comments received in response to </w:t>
      </w:r>
      <w:bookmarkStart w:id="0" w:name="_Hlk50030929"/>
      <w:r w:rsidRPr="002E3804">
        <w:t>ST/SG/AC.10/C.3/2020/</w:t>
      </w:r>
      <w:r>
        <w:t xml:space="preserve">47 </w:t>
      </w:r>
      <w:bookmarkEnd w:id="0"/>
      <w:r>
        <w:t xml:space="preserve">that included changes to the new test summary (TS) requirement </w:t>
      </w:r>
      <w:r w:rsidR="000F00C9">
        <w:t>which</w:t>
      </w:r>
      <w:r>
        <w:t xml:space="preserve"> took effect on 1 January 2020. </w:t>
      </w:r>
      <w:bookmarkStart w:id="1" w:name="_Hlk50049255"/>
      <w:r w:rsidRPr="002E3804">
        <w:t>ST/SG/AC.10/C.3/2020/</w:t>
      </w:r>
      <w:r>
        <w:t xml:space="preserve">47 </w:t>
      </w:r>
      <w:bookmarkEnd w:id="1"/>
      <w:r>
        <w:t xml:space="preserve">addressed the following TS issues </w:t>
      </w:r>
      <w:r w:rsidR="000F00C9">
        <w:t>that</w:t>
      </w:r>
      <w:r>
        <w:t xml:space="preserve"> require immediate attention by the Sub-Committee:</w:t>
      </w:r>
    </w:p>
    <w:p w14:paraId="6EAAC3F6" w14:textId="77777777" w:rsidR="00572721" w:rsidRPr="008644AB" w:rsidRDefault="00572721" w:rsidP="00572721">
      <w:pPr>
        <w:pStyle w:val="Bullet1G"/>
        <w:rPr>
          <w:lang w:val="en-US"/>
        </w:rPr>
      </w:pPr>
      <w:r>
        <w:rPr>
          <w:lang w:val="en-US"/>
        </w:rPr>
        <w:t>Should a TS</w:t>
      </w:r>
      <w:r w:rsidRPr="008644AB">
        <w:rPr>
          <w:lang w:val="en-US"/>
        </w:rPr>
        <w:t xml:space="preserve"> be applicable to old battery designs </w:t>
      </w:r>
      <w:r>
        <w:rPr>
          <w:lang w:val="en-US"/>
        </w:rPr>
        <w:t>dating back to 2003?</w:t>
      </w:r>
    </w:p>
    <w:p w14:paraId="282CB027" w14:textId="08A0C5E8" w:rsidR="00572721" w:rsidRPr="008644AB" w:rsidRDefault="00572721" w:rsidP="00572721">
      <w:pPr>
        <w:pStyle w:val="Bullet1G"/>
        <w:rPr>
          <w:lang w:val="en-US"/>
        </w:rPr>
      </w:pPr>
      <w:r>
        <w:rPr>
          <w:lang w:val="en-US"/>
        </w:rPr>
        <w:t>C</w:t>
      </w:r>
      <w:r w:rsidRPr="008644AB">
        <w:rPr>
          <w:lang w:val="en-US"/>
        </w:rPr>
        <w:t>larif</w:t>
      </w:r>
      <w:r>
        <w:rPr>
          <w:lang w:val="en-US"/>
        </w:rPr>
        <w:t>y how manufacturers and distributors can “make available” the TS and confirm th</w:t>
      </w:r>
      <w:r w:rsidR="000F00C9">
        <w:rPr>
          <w:lang w:val="en-US"/>
        </w:rPr>
        <w:t>at</w:t>
      </w:r>
      <w:r>
        <w:rPr>
          <w:lang w:val="en-US"/>
        </w:rPr>
        <w:t xml:space="preserve"> TS </w:t>
      </w:r>
      <w:r w:rsidRPr="008644AB">
        <w:rPr>
          <w:lang w:val="en-US"/>
        </w:rPr>
        <w:t>is not a mandator</w:t>
      </w:r>
      <w:r>
        <w:rPr>
          <w:lang w:val="en-US"/>
        </w:rPr>
        <w:t xml:space="preserve">y </w:t>
      </w:r>
      <w:r w:rsidRPr="008644AB">
        <w:rPr>
          <w:lang w:val="en-US"/>
        </w:rPr>
        <w:t>shipping document</w:t>
      </w:r>
      <w:r w:rsidR="000F00C9">
        <w:rPr>
          <w:lang w:val="en-US"/>
        </w:rPr>
        <w:t>;</w:t>
      </w:r>
    </w:p>
    <w:p w14:paraId="556E7E57" w14:textId="7CDA0852" w:rsidR="00572721" w:rsidRPr="008644AB" w:rsidRDefault="00572721" w:rsidP="00572721">
      <w:pPr>
        <w:pStyle w:val="Bullet1G"/>
        <w:rPr>
          <w:lang w:val="en-US"/>
        </w:rPr>
      </w:pPr>
      <w:r w:rsidRPr="008644AB">
        <w:rPr>
          <w:lang w:val="en-US"/>
        </w:rPr>
        <w:t xml:space="preserve">Simplify </w:t>
      </w:r>
      <w:r>
        <w:rPr>
          <w:lang w:val="en-US"/>
        </w:rPr>
        <w:t xml:space="preserve">the signature and </w:t>
      </w:r>
      <w:r w:rsidRPr="008644AB">
        <w:rPr>
          <w:lang w:val="en-US"/>
        </w:rPr>
        <w:t>certification requirements</w:t>
      </w:r>
      <w:r w:rsidR="000F00C9">
        <w:rPr>
          <w:lang w:val="en-US"/>
        </w:rPr>
        <w:t>;</w:t>
      </w:r>
    </w:p>
    <w:p w14:paraId="0AF1B5F6" w14:textId="1012C17A" w:rsidR="00572721" w:rsidRPr="008644AB" w:rsidRDefault="00572721" w:rsidP="00572721">
      <w:pPr>
        <w:pStyle w:val="Bullet1G"/>
        <w:rPr>
          <w:lang w:val="en-US"/>
        </w:rPr>
      </w:pPr>
      <w:r>
        <w:rPr>
          <w:lang w:val="en-US"/>
        </w:rPr>
        <w:t>Provide an exception from the TS for b</w:t>
      </w:r>
      <w:r w:rsidRPr="008644AB">
        <w:rPr>
          <w:lang w:val="en-US"/>
        </w:rPr>
        <w:t>utton cells installed in equipment</w:t>
      </w:r>
      <w:r w:rsidR="000F00C9">
        <w:rPr>
          <w:lang w:val="en-US"/>
        </w:rPr>
        <w:t>;</w:t>
      </w:r>
    </w:p>
    <w:p w14:paraId="75DE567C" w14:textId="03558DC3" w:rsidR="00572721" w:rsidRPr="008644AB" w:rsidRDefault="00572721" w:rsidP="00572721">
      <w:pPr>
        <w:pStyle w:val="Bullet1G"/>
        <w:rPr>
          <w:lang w:val="en-US"/>
        </w:rPr>
      </w:pPr>
      <w:r>
        <w:rPr>
          <w:lang w:val="en-US"/>
        </w:rPr>
        <w:t xml:space="preserve">Clarify how the TS applies to </w:t>
      </w:r>
      <w:r w:rsidRPr="008644AB">
        <w:rPr>
          <w:lang w:val="en-US"/>
        </w:rPr>
        <w:t>repaired batteries</w:t>
      </w:r>
      <w:r w:rsidR="000F00C9">
        <w:rPr>
          <w:lang w:val="en-US"/>
        </w:rPr>
        <w:t>;</w:t>
      </w:r>
    </w:p>
    <w:p w14:paraId="6DA8D51F" w14:textId="77777777" w:rsidR="00572721" w:rsidRPr="008644AB" w:rsidRDefault="00572721" w:rsidP="00572721">
      <w:pPr>
        <w:pStyle w:val="Bullet1G"/>
        <w:rPr>
          <w:lang w:val="en-US"/>
        </w:rPr>
      </w:pPr>
      <w:r>
        <w:rPr>
          <w:lang w:val="en-US"/>
        </w:rPr>
        <w:t xml:space="preserve">Simplify the reference to the </w:t>
      </w:r>
      <w:r w:rsidRPr="008644AB">
        <w:rPr>
          <w:lang w:val="en-US"/>
        </w:rPr>
        <w:t xml:space="preserve">applicable Edition of </w:t>
      </w:r>
      <w:r>
        <w:rPr>
          <w:lang w:val="en-US"/>
        </w:rPr>
        <w:t xml:space="preserve">the </w:t>
      </w:r>
      <w:r w:rsidRPr="008644AB">
        <w:rPr>
          <w:lang w:val="en-US"/>
        </w:rPr>
        <w:t>UN Manual of Tests and Criteria</w:t>
      </w:r>
      <w:r>
        <w:rPr>
          <w:lang w:val="en-US"/>
        </w:rPr>
        <w:t>.</w:t>
      </w:r>
    </w:p>
    <w:p w14:paraId="0104ECB1" w14:textId="77777777" w:rsidR="00572721" w:rsidRDefault="00572721" w:rsidP="00572721">
      <w:pPr>
        <w:pStyle w:val="SingleTxtG"/>
        <w:numPr>
          <w:ilvl w:val="0"/>
          <w:numId w:val="14"/>
        </w:numPr>
        <w:kinsoku/>
        <w:overflowPunct/>
        <w:autoSpaceDE/>
        <w:autoSpaceDN/>
        <w:adjustRightInd/>
        <w:snapToGrid/>
        <w:ind w:left="1134" w:firstLine="0"/>
      </w:pPr>
      <w:r>
        <w:t xml:space="preserve">The TS provides </w:t>
      </w:r>
      <w:r w:rsidRPr="00151914">
        <w:t xml:space="preserve">dangerous goods regulatory authorities </w:t>
      </w:r>
      <w:r>
        <w:t xml:space="preserve">an excellent tool for </w:t>
      </w:r>
      <w:r w:rsidRPr="00151914">
        <w:t>enforc</w:t>
      </w:r>
      <w:r>
        <w:t>ing</w:t>
      </w:r>
      <w:r w:rsidRPr="00151914">
        <w:t xml:space="preserve"> the UN38.3 lithium battery testing requirements and identif</w:t>
      </w:r>
      <w:r>
        <w:t>ying</w:t>
      </w:r>
      <w:r w:rsidRPr="00151914">
        <w:t xml:space="preserve"> the original battery and product manufacturers who first place lithium batteries on the market and the test labs conducting the UN38.3 tests. </w:t>
      </w:r>
      <w:r>
        <w:t xml:space="preserve">Based on our recent experiences with the TS, it’s clear the document is a valuable tool but only if dangerous goods </w:t>
      </w:r>
      <w:r w:rsidRPr="00A00073">
        <w:t xml:space="preserve">authorities </w:t>
      </w:r>
      <w:r>
        <w:t xml:space="preserve">work together to enforce </w:t>
      </w:r>
      <w:r>
        <w:lastRenderedPageBreak/>
        <w:t>the regulations (</w:t>
      </w:r>
      <w:r w:rsidRPr="00554569">
        <w:rPr>
          <w:i/>
          <w:iCs/>
        </w:rPr>
        <w:t>i.e</w:t>
      </w:r>
      <w:r>
        <w:t>., authorities from countries where the batteries are manufactured work with authorities in countries where incidents occur or violations of the dangerous goods regulations have been identified).</w:t>
      </w:r>
    </w:p>
    <w:p w14:paraId="34F90177" w14:textId="77777777" w:rsidR="00572721" w:rsidRPr="00151914" w:rsidRDefault="00572721" w:rsidP="00572721">
      <w:pPr>
        <w:pStyle w:val="SingleTxtG"/>
        <w:numPr>
          <w:ilvl w:val="0"/>
          <w:numId w:val="14"/>
        </w:numPr>
        <w:kinsoku/>
        <w:overflowPunct/>
        <w:autoSpaceDE/>
        <w:autoSpaceDN/>
        <w:adjustRightInd/>
        <w:snapToGrid/>
        <w:ind w:left="1134" w:firstLine="0"/>
      </w:pPr>
      <w:r>
        <w:t xml:space="preserve">And as was noted in </w:t>
      </w:r>
      <w:r w:rsidRPr="00BC5163">
        <w:t>ST/SG/AC.10/C.3/2020/47</w:t>
      </w:r>
      <w:r>
        <w:t>, the</w:t>
      </w:r>
      <w:r w:rsidRPr="00151914">
        <w:t xml:space="preserve"> TS also provides greater granularity in terms of understanding the Watt-hour rating of lithium ion batteries, the grams of lithium metal contained in lithium metal batteries, and the physical description of the batteries or products containing the batteries. </w:t>
      </w:r>
      <w:r>
        <w:t>This is</w:t>
      </w:r>
      <w:r w:rsidRPr="00151914">
        <w:t xml:space="preserve"> important </w:t>
      </w:r>
      <w:r>
        <w:t xml:space="preserve">dangerous goods </w:t>
      </w:r>
      <w:r w:rsidRPr="00151914">
        <w:t>compliance information for new products entering the market.</w:t>
      </w:r>
    </w:p>
    <w:p w14:paraId="4FBA10CA" w14:textId="0BF32B39" w:rsidR="00572721" w:rsidRPr="00151914" w:rsidRDefault="00572721" w:rsidP="00572721">
      <w:pPr>
        <w:pStyle w:val="SingleTxtG"/>
        <w:numPr>
          <w:ilvl w:val="0"/>
          <w:numId w:val="14"/>
        </w:numPr>
        <w:kinsoku/>
        <w:overflowPunct/>
        <w:autoSpaceDE/>
        <w:autoSpaceDN/>
        <w:adjustRightInd/>
        <w:snapToGrid/>
        <w:ind w:left="1134" w:firstLine="0"/>
      </w:pPr>
      <w:r>
        <w:t xml:space="preserve">The issue raised </w:t>
      </w:r>
      <w:r w:rsidR="000F00C9">
        <w:t>on</w:t>
      </w:r>
      <w:r>
        <w:t xml:space="preserve"> how the TS should apply to used lithium batteries that may have</w:t>
      </w:r>
      <w:r w:rsidRPr="00151914">
        <w:t xml:space="preserve"> been </w:t>
      </w:r>
      <w:r>
        <w:t>“</w:t>
      </w:r>
      <w:r w:rsidRPr="00151914">
        <w:t>refurbished</w:t>
      </w:r>
      <w:r>
        <w:t xml:space="preserve">” generated significant comments and some concerns. </w:t>
      </w:r>
      <w:r w:rsidR="003F6FDF">
        <w:t>Therefore, w</w:t>
      </w:r>
      <w:r>
        <w:t>e amended our proposed “Note” to simply clarify that t</w:t>
      </w:r>
      <w:r w:rsidRPr="006926ED">
        <w:t xml:space="preserve">he regulations </w:t>
      </w:r>
      <w:r>
        <w:t>should</w:t>
      </w:r>
      <w:r w:rsidRPr="006926ED">
        <w:t xml:space="preserve"> not require </w:t>
      </w:r>
      <w:r>
        <w:t xml:space="preserve">a battery </w:t>
      </w:r>
      <w:r w:rsidRPr="006926ED">
        <w:t xml:space="preserve">manufacturer </w:t>
      </w:r>
      <w:r>
        <w:t>to provide a TS if they have</w:t>
      </w:r>
      <w:r w:rsidRPr="006926ED">
        <w:t xml:space="preserve"> reason to believe the</w:t>
      </w:r>
      <w:r>
        <w:t>ir</w:t>
      </w:r>
      <w:r w:rsidRPr="006926ED">
        <w:t xml:space="preserve"> battery differs from the UN38.3 tested type </w:t>
      </w:r>
      <w:r>
        <w:t>(</w:t>
      </w:r>
      <w:r w:rsidRPr="00AC1BDC">
        <w:rPr>
          <w:i/>
          <w:iCs/>
        </w:rPr>
        <w:t>e.g</w:t>
      </w:r>
      <w:r>
        <w:t xml:space="preserve">., has been repaired) </w:t>
      </w:r>
      <w:r w:rsidRPr="006926ED">
        <w:t xml:space="preserve">and no longer reflects the battery design covered by the original </w:t>
      </w:r>
      <w:r>
        <w:t>TS</w:t>
      </w:r>
      <w:r w:rsidRPr="006926ED">
        <w:t>.</w:t>
      </w:r>
    </w:p>
    <w:p w14:paraId="30230391" w14:textId="03B300CB" w:rsidR="00572721" w:rsidRPr="008F5554" w:rsidRDefault="00572721" w:rsidP="00572721">
      <w:pPr>
        <w:pStyle w:val="SingleTxtG"/>
        <w:numPr>
          <w:ilvl w:val="0"/>
          <w:numId w:val="14"/>
        </w:numPr>
        <w:kinsoku/>
        <w:overflowPunct/>
        <w:autoSpaceDE/>
        <w:autoSpaceDN/>
        <w:adjustRightInd/>
        <w:snapToGrid/>
        <w:ind w:left="1134" w:firstLine="0"/>
        <w:rPr>
          <w:color w:val="000000" w:themeColor="text1"/>
        </w:rPr>
      </w:pPr>
      <w:r>
        <w:t xml:space="preserve">We recognize the concerns expressed </w:t>
      </w:r>
      <w:r w:rsidR="003F6FDF">
        <w:t>on</w:t>
      </w:r>
      <w:r>
        <w:t xml:space="preserve"> our proposal to change the manufacturing date from 2003 to 2019. Based on the comments received, we realize that change could have unanticipated implications for </w:t>
      </w:r>
      <w:proofErr w:type="gramStart"/>
      <w:r>
        <w:t>a number of</w:t>
      </w:r>
      <w:proofErr w:type="gramEnd"/>
      <w:r>
        <w:t xml:space="preserve"> entities in the lithium battery logistics supply chain. We still believe, however, requiring a TS for a battery that was manufactured seventeen years ago seems unreasonable and even impossible to comply with for most manufacturers. We are therefore proposing a date change from 2003 to 2011, which provides a more reasonable time frame for manufacturers to comply with this part of the TS.</w:t>
      </w:r>
    </w:p>
    <w:p w14:paraId="4A4C9C4E" w14:textId="203F0D27" w:rsidR="00572721" w:rsidRDefault="00572721" w:rsidP="00572721">
      <w:pPr>
        <w:pStyle w:val="SingleTxtG"/>
        <w:numPr>
          <w:ilvl w:val="0"/>
          <w:numId w:val="14"/>
        </w:numPr>
        <w:kinsoku/>
        <w:overflowPunct/>
        <w:autoSpaceDE/>
        <w:autoSpaceDN/>
        <w:adjustRightInd/>
        <w:snapToGrid/>
        <w:ind w:left="1134" w:firstLine="0"/>
      </w:pPr>
      <w:r>
        <w:t xml:space="preserve">We remain concerned that certain entities in the lithium battery supply chain believe the TS is a required transport document. As we previously noted, DB Schenker International includes a statement on their website that the TS is a mandatory transport document: </w:t>
      </w:r>
      <w:r w:rsidRPr="0081528B">
        <w:rPr>
          <w:i/>
          <w:iCs/>
        </w:rPr>
        <w:t>See</w:t>
      </w:r>
      <w:r>
        <w:t xml:space="preserve"> </w:t>
      </w:r>
      <w:hyperlink r:id="rId9" w:history="1">
        <w:r w:rsidRPr="004815AF">
          <w:rPr>
            <w:rStyle w:val="Hyperlink"/>
          </w:rPr>
          <w:t>https://www.dbschenker.com/fi-en/about/press/corporate-news/test-summary-for-transporting-lithium-cells-and-batteries-619192</w:t>
        </w:r>
      </w:hyperlink>
      <w:r>
        <w:t xml:space="preserve">. </w:t>
      </w:r>
      <w:r w:rsidRPr="0081528B">
        <w:t xml:space="preserve">We are, however, pleased there is </w:t>
      </w:r>
      <w:proofErr w:type="gramStart"/>
      <w:r w:rsidRPr="0081528B">
        <w:t>general consensus</w:t>
      </w:r>
      <w:proofErr w:type="gramEnd"/>
      <w:r w:rsidRPr="0081528B">
        <w:t xml:space="preserve"> within the Sub-Committee that it is not a required transport document that must accompany consignments of lithium batteries. We have included a sentence in our proposed </w:t>
      </w:r>
      <w:r w:rsidR="003F6FDF">
        <w:t>n</w:t>
      </w:r>
      <w:r>
        <w:t xml:space="preserve">ote </w:t>
      </w:r>
      <w:r w:rsidRPr="0081528B">
        <w:t>that was also in ST/SG/AC.10/C.3/2020/47 stat</w:t>
      </w:r>
      <w:r>
        <w:t>ing</w:t>
      </w:r>
      <w:r w:rsidRPr="0081528B">
        <w:t xml:space="preserve"> the regulations do not require consignors to provide a TS with each consignment.</w:t>
      </w:r>
    </w:p>
    <w:p w14:paraId="781532E0" w14:textId="16CA2AD4" w:rsidR="00572721" w:rsidRDefault="00572721" w:rsidP="00572721">
      <w:pPr>
        <w:pStyle w:val="SingleTxtG"/>
        <w:numPr>
          <w:ilvl w:val="0"/>
          <w:numId w:val="14"/>
        </w:numPr>
        <w:kinsoku/>
        <w:overflowPunct/>
        <w:autoSpaceDE/>
        <w:autoSpaceDN/>
        <w:adjustRightInd/>
        <w:snapToGrid/>
        <w:ind w:left="1134" w:firstLine="0"/>
      </w:pPr>
      <w:r>
        <w:t>The Sub-Committee previously agreed that d</w:t>
      </w:r>
      <w:r w:rsidRPr="002A5351">
        <w:t xml:space="preserve">ue to the large volume of lithium batteries and lithium battery powered products </w:t>
      </w:r>
      <w:r>
        <w:t>regularly offered for transport</w:t>
      </w:r>
      <w:r w:rsidRPr="002A5351">
        <w:t xml:space="preserve">, manufacturers and distributors should not be expected to immediately </w:t>
      </w:r>
      <w:r>
        <w:t>“make available”</w:t>
      </w:r>
      <w:r w:rsidRPr="002A5351">
        <w:t xml:space="preserve"> a </w:t>
      </w:r>
      <w:r>
        <w:t>TS</w:t>
      </w:r>
      <w:r w:rsidRPr="002A5351">
        <w:t xml:space="preserve"> for every product they ship. Manufacturers and distributors should be provided a reasonable amount of time to provide the required </w:t>
      </w:r>
      <w:r>
        <w:t>TS</w:t>
      </w:r>
      <w:r w:rsidRPr="002A5351">
        <w:t>.</w:t>
      </w:r>
      <w:r>
        <w:t xml:space="preserve"> To facilitate a consistent interpretation of the meaning of “</w:t>
      </w:r>
      <w:r w:rsidRPr="002A5351">
        <w:rPr>
          <w:i/>
          <w:iCs/>
        </w:rPr>
        <w:t>make available</w:t>
      </w:r>
      <w:r>
        <w:t>”</w:t>
      </w:r>
      <w:r w:rsidR="003F6FDF">
        <w:t>,</w:t>
      </w:r>
      <w:r>
        <w:t xml:space="preserve"> we propose to add a sentence in a new “Note” defining the term in 2.9.4</w:t>
      </w:r>
      <w:r w:rsidR="003F6FDF">
        <w:t> </w:t>
      </w:r>
      <w:r>
        <w:t>(g)</w:t>
      </w:r>
      <w:r w:rsidRPr="008F697C">
        <w:t>.</w:t>
      </w:r>
    </w:p>
    <w:p w14:paraId="604DB3B5" w14:textId="77777777" w:rsidR="00572721" w:rsidRDefault="00572721" w:rsidP="00572721">
      <w:pPr>
        <w:pStyle w:val="SingleTxtG"/>
        <w:numPr>
          <w:ilvl w:val="0"/>
          <w:numId w:val="14"/>
        </w:numPr>
        <w:kinsoku/>
        <w:overflowPunct/>
        <w:autoSpaceDE/>
        <w:autoSpaceDN/>
        <w:adjustRightInd/>
        <w:snapToGrid/>
        <w:ind w:left="1134" w:firstLine="0"/>
      </w:pPr>
      <w:r>
        <w:t>W</w:t>
      </w:r>
      <w:r w:rsidRPr="00151914">
        <w:t>e propos</w:t>
      </w:r>
      <w:r>
        <w:t xml:space="preserve">ed in </w:t>
      </w:r>
      <w:r w:rsidRPr="002E3804">
        <w:t>ST/SG/AC.10/C.3/2020/</w:t>
      </w:r>
      <w:r>
        <w:t>47</w:t>
      </w:r>
      <w:r w:rsidRPr="00151914">
        <w:t xml:space="preserve"> to except button cell</w:t>
      </w:r>
      <w:r>
        <w:t xml:space="preserve"> batterie</w:t>
      </w:r>
      <w:r w:rsidRPr="00151914">
        <w:t>s</w:t>
      </w:r>
      <w:r>
        <w:t xml:space="preserve"> contained in equipment from </w:t>
      </w:r>
      <w:r w:rsidRPr="00F86FAC">
        <w:t xml:space="preserve">the </w:t>
      </w:r>
      <w:r>
        <w:t xml:space="preserve">TS </w:t>
      </w:r>
      <w:r w:rsidRPr="00F86FAC">
        <w:t xml:space="preserve">requirement </w:t>
      </w:r>
      <w:r>
        <w:t xml:space="preserve">and there appeared to be support from members of the Sub-Committee for this change. </w:t>
      </w:r>
      <w:r w:rsidRPr="00151914">
        <w:t>Special Provision 188</w:t>
      </w:r>
      <w:r>
        <w:t xml:space="preserve"> excepts </w:t>
      </w:r>
      <w:r w:rsidRPr="00151914">
        <w:t>lithium button cell</w:t>
      </w:r>
      <w:r>
        <w:t xml:space="preserve"> batteries</w:t>
      </w:r>
      <w:r w:rsidRPr="00151914">
        <w:t xml:space="preserve"> </w:t>
      </w:r>
      <w:r>
        <w:t xml:space="preserve">installed in equipment </w:t>
      </w:r>
      <w:r w:rsidRPr="00151914">
        <w:t>from the lithium battery marking requirement and, provided the equipment offers adequate protection, the requirement to use a strong, rigid outer package</w:t>
      </w:r>
      <w:r>
        <w:t>. Excepting button cells installed in equipment from the TS does not compromise safety and is a logical extension of the relief provided in Special Provision 188.</w:t>
      </w:r>
      <w:r w:rsidRPr="00151914">
        <w:t xml:space="preserve"> </w:t>
      </w:r>
    </w:p>
    <w:p w14:paraId="1FF41C2B" w14:textId="030A0F3C" w:rsidR="00572721" w:rsidRPr="00755C4B" w:rsidRDefault="00572721" w:rsidP="00572721">
      <w:pPr>
        <w:pStyle w:val="SingleTxtG"/>
        <w:numPr>
          <w:ilvl w:val="0"/>
          <w:numId w:val="14"/>
        </w:numPr>
        <w:suppressAutoHyphens w:val="0"/>
        <w:kinsoku/>
        <w:overflowPunct/>
        <w:autoSpaceDE/>
        <w:autoSpaceDN/>
        <w:adjustRightInd/>
        <w:snapToGrid/>
        <w:spacing w:after="200" w:line="276" w:lineRule="auto"/>
        <w:ind w:left="1134" w:firstLine="0"/>
        <w:rPr>
          <w:color w:val="000000" w:themeColor="text1"/>
        </w:rPr>
      </w:pPr>
      <w:r>
        <w:t>We believe our proposal to simplify t</w:t>
      </w:r>
      <w:r w:rsidRPr="00151914">
        <w:t xml:space="preserve">he requirement </w:t>
      </w:r>
      <w:r>
        <w:t>in paragraph (</w:t>
      </w:r>
      <w:proofErr w:type="spellStart"/>
      <w:r>
        <w:t>i</w:t>
      </w:r>
      <w:proofErr w:type="spellEnd"/>
      <w:r>
        <w:t xml:space="preserve">) of the TS in Section 38.3.5 of the UN Manual of Tests and Criteria to </w:t>
      </w:r>
      <w:r w:rsidRPr="00151914">
        <w:t xml:space="preserve">indicate </w:t>
      </w:r>
      <w:r>
        <w:t>what “</w:t>
      </w:r>
      <w:r w:rsidRPr="00151914">
        <w:t>revised edition of the Manual of Tests and Criteria</w:t>
      </w:r>
      <w:r>
        <w:t>” was</w:t>
      </w:r>
      <w:r w:rsidRPr="00151914">
        <w:t xml:space="preserve"> used</w:t>
      </w:r>
      <w:r>
        <w:t>, will not compromise the effectiveness of the TS</w:t>
      </w:r>
      <w:r w:rsidRPr="00151914">
        <w:t>. Th</w:t>
      </w:r>
      <w:r>
        <w:t xml:space="preserve">e current </w:t>
      </w:r>
      <w:r w:rsidRPr="00151914">
        <w:t xml:space="preserve">requirement is </w:t>
      </w:r>
      <w:r>
        <w:t>very</w:t>
      </w:r>
      <w:r w:rsidRPr="00151914">
        <w:t xml:space="preserve"> cumbersome when the </w:t>
      </w:r>
      <w:r>
        <w:t>TS</w:t>
      </w:r>
      <w:r w:rsidRPr="00151914">
        <w:t xml:space="preserve"> is intended to cover multiple devices because the cell or battery </w:t>
      </w:r>
      <w:r>
        <w:t xml:space="preserve">that they </w:t>
      </w:r>
      <w:r w:rsidRPr="00151914">
        <w:t xml:space="preserve">contain may have been tested at different times to differing </w:t>
      </w:r>
      <w:r>
        <w:t>Editions and A</w:t>
      </w:r>
      <w:r w:rsidRPr="00151914">
        <w:t>mendments</w:t>
      </w:r>
      <w:r>
        <w:t xml:space="preserve"> of the Manual of Tests and Criteria</w:t>
      </w:r>
      <w:r w:rsidRPr="00151914">
        <w:t xml:space="preserve">. </w:t>
      </w:r>
      <w:r>
        <w:t>It should t</w:t>
      </w:r>
      <w:r w:rsidRPr="00151914">
        <w:t xml:space="preserve">herefore be </w:t>
      </w:r>
      <w:proofErr w:type="gramStart"/>
      <w:r w:rsidRPr="00151914">
        <w:t>sufficient</w:t>
      </w:r>
      <w:proofErr w:type="gramEnd"/>
      <w:r w:rsidRPr="00151914">
        <w:t xml:space="preserve"> to only indicate on the </w:t>
      </w:r>
      <w:r>
        <w:t>TS</w:t>
      </w:r>
      <w:r w:rsidRPr="00151914">
        <w:t xml:space="preserve"> that the cell or battery was tested </w:t>
      </w:r>
      <w:r w:rsidR="003F6FDF">
        <w:t xml:space="preserve">according </w:t>
      </w:r>
      <w:r w:rsidRPr="00151914">
        <w:t xml:space="preserve">to the Manual of Tests and Criteria, Revision 3, Amendment 1 </w:t>
      </w:r>
      <w:r>
        <w:t>“</w:t>
      </w:r>
      <w:r w:rsidRPr="00151914">
        <w:t>or a subsequent revision</w:t>
      </w:r>
      <w:r>
        <w:t>”</w:t>
      </w:r>
      <w:r w:rsidR="003F6FDF">
        <w:t>.</w:t>
      </w:r>
      <w:r w:rsidRPr="00151914">
        <w:t xml:space="preserve"> In </w:t>
      </w:r>
      <w:r w:rsidR="003F6FDF">
        <w:t xml:space="preserve">the </w:t>
      </w:r>
      <w:r w:rsidRPr="00151914">
        <w:t>cases where a competent authority needs to know the exact revision and amendment, they can request the test report since this authority already exists in 2.9.4(e)(iv) where it is stated that “Test data shall be kept and made available to the competent authority upon request</w:t>
      </w:r>
      <w:r>
        <w:t>.</w:t>
      </w:r>
      <w:r w:rsidRPr="00151914">
        <w:t>”</w:t>
      </w:r>
    </w:p>
    <w:p w14:paraId="72E9694C" w14:textId="1EB71603" w:rsidR="00572721" w:rsidRPr="006B1B1F" w:rsidRDefault="00572721" w:rsidP="00572721">
      <w:pPr>
        <w:pStyle w:val="SingleTxtG"/>
        <w:numPr>
          <w:ilvl w:val="0"/>
          <w:numId w:val="14"/>
        </w:numPr>
        <w:kinsoku/>
        <w:overflowPunct/>
        <w:autoSpaceDE/>
        <w:autoSpaceDN/>
        <w:adjustRightInd/>
        <w:snapToGrid/>
        <w:ind w:left="1134" w:firstLine="0"/>
      </w:pPr>
      <w:r>
        <w:rPr>
          <w:color w:val="000000" w:themeColor="text1"/>
        </w:rPr>
        <w:lastRenderedPageBreak/>
        <w:t xml:space="preserve">In a further effort to simplify paragraph (j) of the TS in </w:t>
      </w:r>
      <w:r w:rsidR="003F6FDF">
        <w:rPr>
          <w:color w:val="000000" w:themeColor="text1"/>
        </w:rPr>
        <w:t>s</w:t>
      </w:r>
      <w:r>
        <w:rPr>
          <w:color w:val="000000" w:themeColor="text1"/>
        </w:rPr>
        <w:t>ection</w:t>
      </w:r>
      <w:r w:rsidRPr="008F5554">
        <w:rPr>
          <w:color w:val="000000" w:themeColor="text1"/>
        </w:rPr>
        <w:t xml:space="preserve"> 38.3.5</w:t>
      </w:r>
      <w:r>
        <w:rPr>
          <w:color w:val="000000" w:themeColor="text1"/>
        </w:rPr>
        <w:t>, we are proposing to eliminate the need for a “signature”</w:t>
      </w:r>
      <w:r w:rsidR="003F6FDF">
        <w:rPr>
          <w:color w:val="000000" w:themeColor="text1"/>
        </w:rPr>
        <w:t>.</w:t>
      </w:r>
      <w:r>
        <w:rPr>
          <w:color w:val="000000" w:themeColor="text1"/>
        </w:rPr>
        <w:t xml:space="preserve"> Providing the name of an authorized individual who can validate the information in the TS is</w:t>
      </w:r>
      <w:r w:rsidRPr="008F5554">
        <w:rPr>
          <w:color w:val="000000" w:themeColor="text1"/>
        </w:rPr>
        <w:t xml:space="preserve"> </w:t>
      </w:r>
      <w:proofErr w:type="gramStart"/>
      <w:r w:rsidRPr="008F5554">
        <w:rPr>
          <w:color w:val="000000" w:themeColor="text1"/>
        </w:rPr>
        <w:t>sufficient</w:t>
      </w:r>
      <w:proofErr w:type="gramEnd"/>
      <w:r w:rsidRPr="008F5554">
        <w:rPr>
          <w:color w:val="000000" w:themeColor="text1"/>
        </w:rPr>
        <w:t xml:space="preserve"> </w:t>
      </w:r>
      <w:r>
        <w:rPr>
          <w:color w:val="000000" w:themeColor="text1"/>
        </w:rPr>
        <w:t>for</w:t>
      </w:r>
      <w:r w:rsidRPr="008F5554">
        <w:rPr>
          <w:color w:val="000000" w:themeColor="text1"/>
        </w:rPr>
        <w:t xml:space="preserve"> the competent authority or those in the supply chain with a legitimate need to contact the cell, battery or product manufacturer. Providing a signat</w:t>
      </w:r>
      <w:r>
        <w:rPr>
          <w:color w:val="000000" w:themeColor="text1"/>
        </w:rPr>
        <w:t>ure</w:t>
      </w:r>
      <w:r w:rsidRPr="008F5554">
        <w:rPr>
          <w:color w:val="000000" w:themeColor="text1"/>
        </w:rPr>
        <w:t xml:space="preserve"> is </w:t>
      </w:r>
      <w:r>
        <w:rPr>
          <w:color w:val="000000" w:themeColor="text1"/>
        </w:rPr>
        <w:t>r</w:t>
      </w:r>
      <w:r w:rsidRPr="008F5554">
        <w:rPr>
          <w:color w:val="000000" w:themeColor="text1"/>
        </w:rPr>
        <w:t>edundant and unnecessary.</w:t>
      </w:r>
    </w:p>
    <w:p w14:paraId="7F7973FA" w14:textId="77777777" w:rsidR="00572721" w:rsidRPr="00151914" w:rsidRDefault="00572721" w:rsidP="00572721">
      <w:pPr>
        <w:pStyle w:val="HChG"/>
      </w:pPr>
      <w:r w:rsidRPr="00151914">
        <w:tab/>
      </w:r>
      <w:r w:rsidRPr="00151914">
        <w:tab/>
        <w:t>Proposal</w:t>
      </w:r>
    </w:p>
    <w:p w14:paraId="71634942" w14:textId="77B23372" w:rsidR="00572721" w:rsidRDefault="00572721" w:rsidP="00572721">
      <w:pPr>
        <w:pStyle w:val="SingleTxtG"/>
        <w:kinsoku/>
        <w:overflowPunct/>
        <w:autoSpaceDE/>
        <w:autoSpaceDN/>
        <w:adjustRightInd/>
        <w:snapToGrid/>
        <w:ind w:left="1170" w:right="1138"/>
        <w:jc w:val="left"/>
      </w:pPr>
      <w:r>
        <w:t>11.</w:t>
      </w:r>
      <w:r>
        <w:tab/>
        <w:t xml:space="preserve">Amend </w:t>
      </w:r>
      <w:r w:rsidRPr="00151914">
        <w:t xml:space="preserve">2.9.4 (g) </w:t>
      </w:r>
      <w:r>
        <w:t>as follows</w:t>
      </w:r>
      <w:r w:rsidR="001D1B0A">
        <w:t xml:space="preserve"> (new text underlined, deleted text stroke through)</w:t>
      </w:r>
      <w:r>
        <w:t>:</w:t>
      </w:r>
    </w:p>
    <w:p w14:paraId="08FE6A88" w14:textId="77777777" w:rsidR="00572721" w:rsidRDefault="00572721" w:rsidP="00572721">
      <w:pPr>
        <w:pStyle w:val="SingleTxtG"/>
        <w:ind w:left="1701"/>
      </w:pPr>
      <w:r>
        <w:tab/>
        <w:t>(a)</w:t>
      </w:r>
      <w:r>
        <w:tab/>
        <w:t xml:space="preserve">Add an exception for button cell </w:t>
      </w:r>
      <w:r w:rsidRPr="00AB2E7A">
        <w:rPr>
          <w:color w:val="000000" w:themeColor="text1"/>
        </w:rPr>
        <w:t>batteries installed in equipment and change the date for the applicable test summary date from after 1 January 201</w:t>
      </w:r>
      <w:r>
        <w:rPr>
          <w:color w:val="000000" w:themeColor="text1"/>
        </w:rPr>
        <w:t>1</w:t>
      </w:r>
      <w:r w:rsidRPr="00AB2E7A">
        <w:rPr>
          <w:color w:val="000000" w:themeColor="text1"/>
        </w:rPr>
        <w:t xml:space="preserve"> so that </w:t>
      </w:r>
      <w:r>
        <w:t>it reads</w:t>
      </w:r>
      <w:r w:rsidRPr="00151914">
        <w:t xml:space="preserve">: </w:t>
      </w:r>
    </w:p>
    <w:p w14:paraId="23499922" w14:textId="3238DD58" w:rsidR="00572721" w:rsidRDefault="00572721" w:rsidP="00572721">
      <w:pPr>
        <w:pStyle w:val="SingleTxtG"/>
        <w:ind w:left="2268"/>
      </w:pPr>
      <w:r w:rsidRPr="00151914">
        <w:t>“</w:t>
      </w:r>
      <w:r w:rsidRPr="00AB2E7A">
        <w:rPr>
          <w:u w:val="single"/>
        </w:rPr>
        <w:t>Except for button cell batteries installed in equipment (including circuit boards),</w:t>
      </w:r>
      <w:r>
        <w:t xml:space="preserve"> m</w:t>
      </w:r>
      <w:r w:rsidRPr="00151914">
        <w:t xml:space="preserve">anufacturers and subsequent distributors of cells or batteries manufactured after </w:t>
      </w:r>
      <w:r>
        <w:t xml:space="preserve">30 June </w:t>
      </w:r>
      <w:r w:rsidRPr="00865633">
        <w:rPr>
          <w:strike/>
        </w:rPr>
        <w:t>2003</w:t>
      </w:r>
      <w:r>
        <w:t xml:space="preserve"> </w:t>
      </w:r>
      <w:r w:rsidRPr="003F6FDF">
        <w:rPr>
          <w:u w:val="single"/>
        </w:rPr>
        <w:t>2011</w:t>
      </w:r>
      <w:r w:rsidRPr="003F6FDF">
        <w:t xml:space="preserve"> shall make available the test summary as specified in the Manual of Tests and Criteria </w:t>
      </w:r>
      <w:r w:rsidRPr="00151914">
        <w:t>Part III, sub-section 38.3, paragraph 38.3.5</w:t>
      </w:r>
      <w:r>
        <w:t>.</w:t>
      </w:r>
      <w:r w:rsidR="003F6FDF" w:rsidRPr="003711AC">
        <w:rPr>
          <w:iCs/>
        </w:rPr>
        <w:t>”</w:t>
      </w:r>
    </w:p>
    <w:p w14:paraId="598469E4" w14:textId="77777777" w:rsidR="00572721" w:rsidRDefault="00572721" w:rsidP="00572721">
      <w:pPr>
        <w:pStyle w:val="SingleTxtG"/>
        <w:ind w:left="1701"/>
        <w:rPr>
          <w:iCs/>
        </w:rPr>
      </w:pPr>
      <w:bookmarkStart w:id="2" w:name="_Hlk35589326"/>
      <w:r>
        <w:tab/>
        <w:t>(b)</w:t>
      </w:r>
      <w:r>
        <w:tab/>
      </w:r>
      <w:r w:rsidRPr="00B5095E">
        <w:t>Add</w:t>
      </w:r>
      <w:r w:rsidRPr="003711AC">
        <w:rPr>
          <w:iCs/>
        </w:rPr>
        <w:t xml:space="preserve"> </w:t>
      </w:r>
      <w:r>
        <w:rPr>
          <w:iCs/>
        </w:rPr>
        <w:t>the following</w:t>
      </w:r>
      <w:r w:rsidRPr="003711AC">
        <w:rPr>
          <w:iCs/>
        </w:rPr>
        <w:t xml:space="preserve"> note to explain the meaning of “make available”</w:t>
      </w:r>
      <w:r>
        <w:rPr>
          <w:iCs/>
        </w:rPr>
        <w:t>:</w:t>
      </w:r>
      <w:bookmarkEnd w:id="2"/>
    </w:p>
    <w:p w14:paraId="47DF470A" w14:textId="77777777" w:rsidR="00572721" w:rsidRPr="00EC2BC8" w:rsidRDefault="00572721" w:rsidP="00572721">
      <w:pPr>
        <w:pStyle w:val="SingleTxtG"/>
        <w:ind w:left="2268"/>
        <w:rPr>
          <w:color w:val="000000" w:themeColor="text1"/>
          <w:u w:val="single"/>
        </w:rPr>
      </w:pPr>
      <w:r w:rsidRPr="00EC2BC8">
        <w:rPr>
          <w:color w:val="000000" w:themeColor="text1"/>
          <w:u w:val="single"/>
        </w:rPr>
        <w:t xml:space="preserve">“Note: </w:t>
      </w:r>
      <w:bookmarkStart w:id="3" w:name="_Hlk50049271"/>
      <w:r w:rsidRPr="00EC2BC8">
        <w:rPr>
          <w:color w:val="000000" w:themeColor="text1"/>
          <w:u w:val="single"/>
        </w:rPr>
        <w:t>These regulations do not require consignors</w:t>
      </w:r>
      <w:r w:rsidRPr="00EC2BC8">
        <w:rPr>
          <w:strike/>
          <w:color w:val="000000" w:themeColor="text1"/>
          <w:u w:val="single"/>
        </w:rPr>
        <w:t xml:space="preserve"> </w:t>
      </w:r>
      <w:r w:rsidRPr="00EC2BC8">
        <w:rPr>
          <w:color w:val="000000" w:themeColor="text1"/>
          <w:u w:val="single"/>
        </w:rPr>
        <w:t>to provide a test summary with each consignment</w:t>
      </w:r>
      <w:bookmarkEnd w:id="3"/>
      <w:r w:rsidRPr="00EC2BC8">
        <w:rPr>
          <w:color w:val="000000" w:themeColor="text1"/>
          <w:u w:val="single"/>
        </w:rPr>
        <w:t xml:space="preserve">, or if the manufacturer has reason to believe the battery differs from the </w:t>
      </w:r>
      <w:r>
        <w:rPr>
          <w:color w:val="000000" w:themeColor="text1"/>
          <w:u w:val="single"/>
        </w:rPr>
        <w:t xml:space="preserve">UN38.3 </w:t>
      </w:r>
      <w:r w:rsidRPr="00EC2BC8">
        <w:rPr>
          <w:color w:val="000000" w:themeColor="text1"/>
          <w:u w:val="single"/>
        </w:rPr>
        <w:t>tested type and no longer reflects the battery design covered by the original test summary. The term “make available” means providing access to the test summary to dangerous goods enforcement authorities or a person in the manufacturer’s or subsequent distributor’s supply chain</w:t>
      </w:r>
      <w:r w:rsidRPr="00EC2BC8">
        <w:rPr>
          <w:strike/>
          <w:color w:val="000000" w:themeColor="text1"/>
          <w:u w:val="single"/>
        </w:rPr>
        <w:t xml:space="preserve"> </w:t>
      </w:r>
      <w:r w:rsidRPr="00EC2BC8">
        <w:rPr>
          <w:color w:val="000000" w:themeColor="text1"/>
          <w:u w:val="single"/>
        </w:rPr>
        <w:t>to ensure compliance with the UN38.3 test requirements and applicable transport regulations. The options for making the test summary available include, but are not limited to, publishing it to a public website, or providing it upon request.</w:t>
      </w:r>
      <w:r>
        <w:rPr>
          <w:color w:val="000000" w:themeColor="text1"/>
          <w:u w:val="single"/>
        </w:rPr>
        <w:t>”</w:t>
      </w:r>
    </w:p>
    <w:p w14:paraId="5BB52419" w14:textId="1D7FA72C" w:rsidR="00572721" w:rsidRDefault="00572721" w:rsidP="00572721">
      <w:pPr>
        <w:pStyle w:val="SingleTxtG"/>
        <w:kinsoku/>
        <w:overflowPunct/>
        <w:autoSpaceDE/>
        <w:autoSpaceDN/>
        <w:adjustRightInd/>
        <w:snapToGrid/>
        <w:ind w:right="1138"/>
        <w:jc w:val="left"/>
        <w:rPr>
          <w:bCs/>
          <w:iCs/>
        </w:rPr>
      </w:pPr>
      <w:r>
        <w:rPr>
          <w:bCs/>
          <w:iCs/>
        </w:rPr>
        <w:tab/>
        <w:t>12.</w:t>
      </w:r>
      <w:r>
        <w:rPr>
          <w:bCs/>
          <w:iCs/>
        </w:rPr>
        <w:tab/>
        <w:t xml:space="preserve">In </w:t>
      </w:r>
      <w:r w:rsidRPr="00151914">
        <w:rPr>
          <w:bCs/>
          <w:iCs/>
        </w:rPr>
        <w:t>38.3.5</w:t>
      </w:r>
      <w:r>
        <w:rPr>
          <w:bCs/>
          <w:iCs/>
        </w:rPr>
        <w:t xml:space="preserve"> of the UN Manual of Tests and Criteria:</w:t>
      </w:r>
    </w:p>
    <w:p w14:paraId="4F36A846" w14:textId="77777777" w:rsidR="00572721" w:rsidRPr="004A70B1" w:rsidRDefault="00572721" w:rsidP="00572721">
      <w:pPr>
        <w:pStyle w:val="SingleTxtG"/>
        <w:ind w:left="1701"/>
      </w:pPr>
      <w:r>
        <w:tab/>
        <w:t>(a)</w:t>
      </w:r>
      <w:r>
        <w:tab/>
      </w:r>
      <w:r w:rsidRPr="004A70B1">
        <w:t>Amend paragraph (</w:t>
      </w:r>
      <w:proofErr w:type="spellStart"/>
      <w:r w:rsidRPr="004A70B1">
        <w:t>i</w:t>
      </w:r>
      <w:proofErr w:type="spellEnd"/>
      <w:r w:rsidRPr="004A70B1">
        <w:t>) in the test summary to read:</w:t>
      </w:r>
    </w:p>
    <w:p w14:paraId="7EE2736C" w14:textId="63BE937D" w:rsidR="00572721" w:rsidRPr="004A70B1" w:rsidRDefault="00572721" w:rsidP="00572721">
      <w:pPr>
        <w:pStyle w:val="SingleTxtG"/>
        <w:ind w:left="2268"/>
      </w:pPr>
      <w:r w:rsidRPr="001D1B0A">
        <w:t>“</w:t>
      </w:r>
      <w:bookmarkStart w:id="4" w:name="_Hlk35589164"/>
      <w:r w:rsidRPr="00A80E2F">
        <w:rPr>
          <w:strike/>
        </w:rPr>
        <w:t xml:space="preserve">Reference to the revised edition of </w:t>
      </w:r>
      <w:r w:rsidRPr="001D1B0A">
        <w:rPr>
          <w:u w:val="single"/>
        </w:rPr>
        <w:t>An</w:t>
      </w:r>
      <w:r w:rsidRPr="00A80E2F">
        <w:rPr>
          <w:u w:val="single"/>
        </w:rPr>
        <w:t xml:space="preserve"> indication that the cells or batteries were tested to the</w:t>
      </w:r>
      <w:r w:rsidRPr="004A70B1">
        <w:t xml:space="preserve"> Manual of Tests and Criteria</w:t>
      </w:r>
      <w:r>
        <w:t xml:space="preserve"> </w:t>
      </w:r>
      <w:r w:rsidRPr="00AB2E7A">
        <w:rPr>
          <w:strike/>
        </w:rPr>
        <w:t xml:space="preserve">used and to amendments thereto, is any, </w:t>
      </w:r>
      <w:r w:rsidRPr="00A80E2F">
        <w:rPr>
          <w:u w:val="single"/>
        </w:rPr>
        <w:t>Revision 3, Amendment 1 or</w:t>
      </w:r>
      <w:r w:rsidRPr="00EC2BC8">
        <w:rPr>
          <w:u w:val="single"/>
        </w:rPr>
        <w:t xml:space="preserve"> a subsequent revision</w:t>
      </w:r>
      <w:r>
        <w:rPr>
          <w:u w:val="single"/>
        </w:rPr>
        <w:t>;</w:t>
      </w:r>
      <w:r w:rsidRPr="00D552B7">
        <w:t>”</w:t>
      </w:r>
      <w:bookmarkEnd w:id="4"/>
      <w:r>
        <w:t xml:space="preserve"> and</w:t>
      </w:r>
    </w:p>
    <w:p w14:paraId="7569775A" w14:textId="77777777" w:rsidR="001D1B0A" w:rsidRDefault="00572721" w:rsidP="00572721">
      <w:pPr>
        <w:pStyle w:val="SingleTxtG"/>
        <w:ind w:left="1701"/>
        <w:rPr>
          <w:color w:val="000000" w:themeColor="text1"/>
        </w:rPr>
      </w:pPr>
      <w:r>
        <w:tab/>
        <w:t>(b)</w:t>
      </w:r>
      <w:r>
        <w:tab/>
      </w:r>
      <w:r w:rsidRPr="007C084C">
        <w:rPr>
          <w:color w:val="000000" w:themeColor="text1"/>
        </w:rPr>
        <w:t>Amend</w:t>
      </w:r>
      <w:r w:rsidRPr="001D1B0A">
        <w:rPr>
          <w:color w:val="000000" w:themeColor="text1"/>
        </w:rPr>
        <w:t xml:space="preserve"> </w:t>
      </w:r>
      <w:r w:rsidRPr="00EC2BC8">
        <w:rPr>
          <w:color w:val="000000" w:themeColor="text1"/>
        </w:rPr>
        <w:t xml:space="preserve">paragraph (j) in the test summary </w:t>
      </w:r>
      <w:r w:rsidRPr="007C084C">
        <w:rPr>
          <w:color w:val="000000" w:themeColor="text1"/>
        </w:rPr>
        <w:t>as follows:</w:t>
      </w:r>
    </w:p>
    <w:p w14:paraId="5072E8F3" w14:textId="477B628A" w:rsidR="00572721" w:rsidRPr="004A70B1" w:rsidRDefault="001D1B0A" w:rsidP="001D1B0A">
      <w:pPr>
        <w:pStyle w:val="SingleTxtG"/>
        <w:ind w:left="2268"/>
      </w:pPr>
      <w:r w:rsidRPr="001D1B0A">
        <w:t>“</w:t>
      </w:r>
      <w:r w:rsidR="00572721" w:rsidRPr="00CB0437">
        <w:rPr>
          <w:strike/>
        </w:rPr>
        <w:t>Signature with</w:t>
      </w:r>
      <w:r w:rsidR="00572721" w:rsidRPr="00CB0437">
        <w:t xml:space="preserve"> </w:t>
      </w:r>
      <w:r w:rsidR="00572721">
        <w:t>N</w:t>
      </w:r>
      <w:r w:rsidR="00572721" w:rsidRPr="00CB0437">
        <w:t xml:space="preserve">ame and title of </w:t>
      </w:r>
      <w:r w:rsidR="00572721" w:rsidRPr="00CB0437">
        <w:rPr>
          <w:strike/>
        </w:rPr>
        <w:t>signatory</w:t>
      </w:r>
      <w:r w:rsidR="00572721" w:rsidRPr="00CB0437">
        <w:t xml:space="preserve"> </w:t>
      </w:r>
      <w:r w:rsidR="00572721" w:rsidRPr="007C084C">
        <w:rPr>
          <w:color w:val="000000" w:themeColor="text1"/>
          <w:u w:val="single"/>
        </w:rPr>
        <w:t>authorized person</w:t>
      </w:r>
      <w:r w:rsidR="00572721" w:rsidRPr="00BB6433">
        <w:rPr>
          <w:color w:val="000000" w:themeColor="text1"/>
        </w:rPr>
        <w:t xml:space="preserve"> </w:t>
      </w:r>
      <w:r w:rsidR="00572721" w:rsidRPr="00CB0437">
        <w:t>as an indication of the validity of information provided</w:t>
      </w:r>
      <w:r w:rsidR="00572721">
        <w:t>.</w:t>
      </w:r>
      <w:r w:rsidRPr="00D552B7">
        <w:t>”</w:t>
      </w:r>
    </w:p>
    <w:p w14:paraId="635F8FB6" w14:textId="77777777" w:rsidR="00572721" w:rsidRPr="004A70B1" w:rsidRDefault="00572721" w:rsidP="00572721">
      <w:pPr>
        <w:spacing w:before="240"/>
        <w:jc w:val="center"/>
        <w:rPr>
          <w:u w:val="single"/>
        </w:rPr>
      </w:pPr>
      <w:r>
        <w:rPr>
          <w:u w:val="single"/>
        </w:rPr>
        <w:tab/>
      </w:r>
      <w:r>
        <w:rPr>
          <w:u w:val="single"/>
        </w:rPr>
        <w:tab/>
      </w:r>
      <w:bookmarkStart w:id="5" w:name="_GoBack"/>
      <w:bookmarkEnd w:id="5"/>
      <w:r>
        <w:rPr>
          <w:u w:val="single"/>
        </w:rPr>
        <w:tab/>
      </w:r>
    </w:p>
    <w:sectPr w:rsidR="00572721" w:rsidRPr="004A70B1" w:rsidSect="00154CC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E87FC" w14:textId="77777777" w:rsidR="00154CCA" w:rsidRPr="00C47B2E" w:rsidRDefault="00154CCA" w:rsidP="00C47B2E">
      <w:pPr>
        <w:pStyle w:val="Footer"/>
      </w:pPr>
    </w:p>
  </w:endnote>
  <w:endnote w:type="continuationSeparator" w:id="0">
    <w:p w14:paraId="32B6B4C1" w14:textId="77777777" w:rsidR="00154CCA" w:rsidRPr="00C47B2E" w:rsidRDefault="00154CCA" w:rsidP="00C47B2E">
      <w:pPr>
        <w:pStyle w:val="Footer"/>
      </w:pPr>
    </w:p>
  </w:endnote>
  <w:endnote w:type="continuationNotice" w:id="1">
    <w:p w14:paraId="2BE7F357" w14:textId="77777777" w:rsidR="00154CCA" w:rsidRPr="00C47B2E" w:rsidRDefault="00154C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68C6" w14:textId="77777777" w:rsidR="00D94B05" w:rsidRPr="00154CCA" w:rsidRDefault="00154CCA" w:rsidP="00154CCA">
    <w:pPr>
      <w:pStyle w:val="Footer"/>
      <w:tabs>
        <w:tab w:val="right" w:pos="9598"/>
        <w:tab w:val="right" w:pos="9638"/>
      </w:tabs>
      <w:rPr>
        <w:sz w:val="18"/>
      </w:rPr>
    </w:pPr>
    <w:r w:rsidRPr="00154CCA">
      <w:rPr>
        <w:b/>
        <w:sz w:val="18"/>
      </w:rPr>
      <w:fldChar w:fldCharType="begin"/>
    </w:r>
    <w:r w:rsidRPr="00154CCA">
      <w:rPr>
        <w:b/>
        <w:sz w:val="18"/>
      </w:rPr>
      <w:instrText xml:space="preserve"> PAGE  \* MERGEFORMAT </w:instrText>
    </w:r>
    <w:r w:rsidRPr="00154CCA">
      <w:rPr>
        <w:b/>
        <w:sz w:val="18"/>
      </w:rPr>
      <w:fldChar w:fldCharType="separate"/>
    </w:r>
    <w:r w:rsidRPr="00154CCA">
      <w:rPr>
        <w:b/>
        <w:noProof/>
        <w:sz w:val="18"/>
      </w:rPr>
      <w:t>2</w:t>
    </w:r>
    <w:r w:rsidRPr="00154C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AB82" w14:textId="77777777" w:rsidR="00D94B05" w:rsidRPr="00154CCA" w:rsidRDefault="00154CCA" w:rsidP="00572721">
    <w:pPr>
      <w:pStyle w:val="Footer"/>
      <w:tabs>
        <w:tab w:val="left" w:pos="5775"/>
        <w:tab w:val="right" w:pos="9598"/>
        <w:tab w:val="right" w:pos="9638"/>
      </w:tabs>
      <w:jc w:val="right"/>
      <w:rPr>
        <w:sz w:val="18"/>
      </w:rPr>
    </w:pPr>
    <w:r>
      <w:rPr>
        <w:b/>
        <w:sz w:val="18"/>
      </w:rPr>
      <w:tab/>
    </w:r>
    <w:r w:rsidRPr="00154CCA">
      <w:rPr>
        <w:sz w:val="18"/>
      </w:rPr>
      <w:fldChar w:fldCharType="begin"/>
    </w:r>
    <w:r w:rsidRPr="00154CCA">
      <w:rPr>
        <w:sz w:val="18"/>
      </w:rPr>
      <w:instrText xml:space="preserve"> PAGE  \* MERGEFORMAT </w:instrText>
    </w:r>
    <w:r w:rsidRPr="00154CCA">
      <w:rPr>
        <w:sz w:val="18"/>
      </w:rPr>
      <w:fldChar w:fldCharType="separate"/>
    </w:r>
    <w:r w:rsidRPr="00154CCA">
      <w:rPr>
        <w:noProof/>
        <w:sz w:val="18"/>
      </w:rPr>
      <w:t>3</w:t>
    </w:r>
    <w:r w:rsidRPr="00154CC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A209" w14:textId="77777777" w:rsidR="00D94B05" w:rsidRPr="00154CC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77E274" wp14:editId="0C37455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245E" w14:textId="77777777" w:rsidR="00154CCA" w:rsidRPr="00C47B2E" w:rsidRDefault="00154CCA" w:rsidP="00C47B2E">
      <w:pPr>
        <w:tabs>
          <w:tab w:val="right" w:pos="2155"/>
        </w:tabs>
        <w:spacing w:after="80" w:line="240" w:lineRule="auto"/>
        <w:ind w:left="680"/>
      </w:pPr>
      <w:r>
        <w:rPr>
          <w:u w:val="single"/>
        </w:rPr>
        <w:tab/>
      </w:r>
    </w:p>
  </w:footnote>
  <w:footnote w:type="continuationSeparator" w:id="0">
    <w:p w14:paraId="6CA884ED" w14:textId="77777777" w:rsidR="00154CCA" w:rsidRPr="00C47B2E" w:rsidRDefault="00154CCA" w:rsidP="005E716E">
      <w:pPr>
        <w:tabs>
          <w:tab w:val="right" w:pos="2155"/>
        </w:tabs>
        <w:spacing w:after="80" w:line="240" w:lineRule="auto"/>
        <w:ind w:left="680"/>
      </w:pPr>
      <w:r>
        <w:rPr>
          <w:u w:val="single"/>
        </w:rPr>
        <w:tab/>
      </w:r>
    </w:p>
  </w:footnote>
  <w:footnote w:type="continuationNotice" w:id="1">
    <w:p w14:paraId="65788F44" w14:textId="77777777" w:rsidR="00154CCA" w:rsidRPr="00C47B2E" w:rsidRDefault="00154CCA" w:rsidP="00C47B2E">
      <w:pPr>
        <w:pStyle w:val="Footer"/>
      </w:pPr>
    </w:p>
  </w:footnote>
  <w:footnote w:id="2">
    <w:p w14:paraId="33E1912E" w14:textId="77777777" w:rsidR="00572721" w:rsidRPr="00B5095E" w:rsidRDefault="00572721" w:rsidP="00572721">
      <w:pPr>
        <w:pStyle w:val="FootnoteText"/>
        <w:tabs>
          <w:tab w:val="left" w:pos="1418"/>
        </w:tabs>
        <w:ind w:firstLine="0"/>
        <w:rPr>
          <w:lang w:val="fr-CH"/>
        </w:rPr>
      </w:pPr>
      <w:r>
        <w:rPr>
          <w:rStyle w:val="FootnoteReference"/>
        </w:rPr>
        <w:t>*</w:t>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8A82" w14:textId="57CBB9E8" w:rsidR="00154CCA" w:rsidRPr="0021322D" w:rsidRDefault="0021322D">
    <w:pPr>
      <w:pStyle w:val="Header"/>
      <w:rPr>
        <w:lang w:val="fr-CH"/>
      </w:rPr>
    </w:pPr>
    <w:r>
      <w:rPr>
        <w:lang w:val="fr-CH"/>
      </w:rPr>
      <w:t>ST/SG/AC.10/C.3/2020/77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8D77" w14:textId="32687039" w:rsidR="00D94B05" w:rsidRPr="0021322D" w:rsidRDefault="0021322D" w:rsidP="00154CCA">
    <w:pPr>
      <w:pStyle w:val="Header"/>
      <w:jc w:val="right"/>
      <w:rPr>
        <w:lang w:val="fr-CH"/>
      </w:rPr>
    </w:pPr>
    <w:r>
      <w:rPr>
        <w:lang w:val="fr-CH"/>
      </w:rPr>
      <w:t>ST/SG/AC.10/C.3/2020/77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50177"/>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B2D06"/>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5AE379C"/>
    <w:multiLevelType w:val="hybridMultilevel"/>
    <w:tmpl w:val="56A45970"/>
    <w:lvl w:ilvl="0" w:tplc="DDB65112">
      <w:start w:val="1"/>
      <w:numFmt w:val="decimal"/>
      <w:lvlText w:val="%1."/>
      <w:lvlJc w:val="left"/>
      <w:pPr>
        <w:ind w:left="2070" w:hanging="360"/>
      </w:pPr>
      <w:rPr>
        <w:rFonts w:hint="default"/>
        <w:color w:val="auto"/>
      </w:rPr>
    </w:lvl>
    <w:lvl w:ilvl="1" w:tplc="04090001">
      <w:start w:val="1"/>
      <w:numFmt w:val="bullet"/>
      <w:lvlText w:val=""/>
      <w:lvlJc w:val="left"/>
      <w:pPr>
        <w:ind w:left="2214" w:hanging="360"/>
      </w:pPr>
      <w:rPr>
        <w:rFonts w:ascii="Symbol" w:hAnsi="Symbol"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CA"/>
    <w:rsid w:val="00046E92"/>
    <w:rsid w:val="00063C90"/>
    <w:rsid w:val="000F00C9"/>
    <w:rsid w:val="00101B98"/>
    <w:rsid w:val="001514D1"/>
    <w:rsid w:val="00154CCA"/>
    <w:rsid w:val="001D1B0A"/>
    <w:rsid w:val="0021322D"/>
    <w:rsid w:val="00247E2C"/>
    <w:rsid w:val="002A32CB"/>
    <w:rsid w:val="002D5B2C"/>
    <w:rsid w:val="002D6C53"/>
    <w:rsid w:val="002F5595"/>
    <w:rsid w:val="00334F6A"/>
    <w:rsid w:val="00342AC8"/>
    <w:rsid w:val="00343302"/>
    <w:rsid w:val="003979DE"/>
    <w:rsid w:val="003B4550"/>
    <w:rsid w:val="003D2A18"/>
    <w:rsid w:val="003F6FDF"/>
    <w:rsid w:val="00413386"/>
    <w:rsid w:val="00453DE4"/>
    <w:rsid w:val="00461253"/>
    <w:rsid w:val="004858F5"/>
    <w:rsid w:val="004A2814"/>
    <w:rsid w:val="004C0622"/>
    <w:rsid w:val="005042C2"/>
    <w:rsid w:val="00572721"/>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D0139"/>
    <w:rsid w:val="009D717D"/>
    <w:rsid w:val="009F5CDC"/>
    <w:rsid w:val="00A00748"/>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C2C91"/>
  <w15:docId w15:val="{8C0395D1-9D51-42E5-81F2-E4AAE270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72721"/>
    <w:rPr>
      <w:b/>
      <w:sz w:val="28"/>
    </w:rPr>
  </w:style>
  <w:style w:type="character" w:customStyle="1" w:styleId="SingleTxtGChar">
    <w:name w:val="_ Single Txt_G Char"/>
    <w:link w:val="SingleTxtG"/>
    <w:qFormat/>
    <w:locked/>
    <w:rsid w:val="00572721"/>
  </w:style>
  <w:style w:type="character" w:customStyle="1" w:styleId="H1GChar">
    <w:name w:val="_ H_1_G Char"/>
    <w:link w:val="H1G"/>
    <w:rsid w:val="0057272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bschenker.com/fi-en/about/press/corporate-news/test-summary-for-transporting-lithium-cells-and-batteries-61919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8B05-A589-4F90-B5F4-F2CCB3C2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49</TotalTime>
  <Pages>3</Pages>
  <Words>1373</Words>
  <Characters>7627</Characters>
  <Application>Microsoft Office Word</Application>
  <DocSecurity>0</DocSecurity>
  <Lines>131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vt:lpstr>
      <vt:lpstr>ST/SG/AC.10/C.3/2020/</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dc:title>
  <dc:subject/>
  <dc:creator>Editorial</dc:creator>
  <cp:lastModifiedBy>Laurence Berthet</cp:lastModifiedBy>
  <cp:revision>5</cp:revision>
  <cp:lastPrinted>2020-09-17T08:21:00Z</cp:lastPrinted>
  <dcterms:created xsi:type="dcterms:W3CDTF">2020-09-06T18:18:00Z</dcterms:created>
  <dcterms:modified xsi:type="dcterms:W3CDTF">2020-09-17T08:21:00Z</dcterms:modified>
</cp:coreProperties>
</file>