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40C0CC85" w14:textId="77777777" w:rsidTr="00F01738">
        <w:trPr>
          <w:trHeight w:hRule="exact" w:val="851"/>
        </w:trPr>
        <w:tc>
          <w:tcPr>
            <w:tcW w:w="1276" w:type="dxa"/>
            <w:tcBorders>
              <w:bottom w:val="single" w:sz="4" w:space="0" w:color="auto"/>
            </w:tcBorders>
          </w:tcPr>
          <w:p w14:paraId="6F4BFE14" w14:textId="77777777" w:rsidR="00132EA9" w:rsidRPr="00DB58B5" w:rsidRDefault="00132EA9" w:rsidP="00FA353F">
            <w:bookmarkStart w:id="0" w:name="_GoBack"/>
            <w:bookmarkEnd w:id="0"/>
          </w:p>
        </w:tc>
        <w:tc>
          <w:tcPr>
            <w:tcW w:w="2268" w:type="dxa"/>
            <w:tcBorders>
              <w:bottom w:val="single" w:sz="4" w:space="0" w:color="auto"/>
            </w:tcBorders>
            <w:vAlign w:val="bottom"/>
          </w:tcPr>
          <w:p w14:paraId="515F3761"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CDC76A7" w14:textId="77777777" w:rsidR="00132EA9" w:rsidRPr="00DB58B5" w:rsidRDefault="00FA353F" w:rsidP="00FA353F">
            <w:pPr>
              <w:jc w:val="right"/>
            </w:pPr>
            <w:r w:rsidRPr="00FA353F">
              <w:rPr>
                <w:sz w:val="40"/>
              </w:rPr>
              <w:t>ST</w:t>
            </w:r>
            <w:r>
              <w:t>/SG/AC.10/C.3/2020/74</w:t>
            </w:r>
          </w:p>
        </w:tc>
      </w:tr>
      <w:tr w:rsidR="00132EA9" w:rsidRPr="00DB58B5" w14:paraId="0BFD3CB2" w14:textId="77777777" w:rsidTr="00F01738">
        <w:trPr>
          <w:trHeight w:hRule="exact" w:val="2835"/>
        </w:trPr>
        <w:tc>
          <w:tcPr>
            <w:tcW w:w="1276" w:type="dxa"/>
            <w:tcBorders>
              <w:top w:val="single" w:sz="4" w:space="0" w:color="auto"/>
              <w:bottom w:val="single" w:sz="12" w:space="0" w:color="auto"/>
            </w:tcBorders>
          </w:tcPr>
          <w:p w14:paraId="3F72DAB7" w14:textId="77777777" w:rsidR="00132EA9" w:rsidRPr="00DB58B5" w:rsidRDefault="00132EA9" w:rsidP="00F01738">
            <w:pPr>
              <w:spacing w:before="120"/>
              <w:jc w:val="center"/>
            </w:pPr>
            <w:r>
              <w:rPr>
                <w:noProof/>
                <w:lang w:eastAsia="fr-CH"/>
              </w:rPr>
              <w:drawing>
                <wp:inline distT="0" distB="0" distL="0" distR="0" wp14:anchorId="448C4FE4" wp14:editId="55E1A6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3D7480"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4AB1A0F" w14:textId="77777777" w:rsidR="00132EA9" w:rsidRDefault="00FA353F" w:rsidP="00F01738">
            <w:pPr>
              <w:spacing w:before="240"/>
            </w:pPr>
            <w:r>
              <w:t>Distr. générale</w:t>
            </w:r>
          </w:p>
          <w:p w14:paraId="231376D6" w14:textId="77777777" w:rsidR="00FA353F" w:rsidRDefault="00FA353F" w:rsidP="00FA353F">
            <w:pPr>
              <w:spacing w:line="240" w:lineRule="exact"/>
            </w:pPr>
            <w:r>
              <w:t>16 septembre 2020</w:t>
            </w:r>
          </w:p>
          <w:p w14:paraId="3CC2AADC" w14:textId="77777777" w:rsidR="00FA353F" w:rsidRDefault="00FA353F" w:rsidP="00FA353F">
            <w:pPr>
              <w:spacing w:line="240" w:lineRule="exact"/>
            </w:pPr>
            <w:r>
              <w:t>Français</w:t>
            </w:r>
          </w:p>
          <w:p w14:paraId="13219FD4" w14:textId="77777777" w:rsidR="00FA353F" w:rsidRPr="00DB58B5" w:rsidRDefault="00FA353F" w:rsidP="00FA353F">
            <w:pPr>
              <w:spacing w:line="240" w:lineRule="exact"/>
            </w:pPr>
            <w:r>
              <w:t>Original : anglais</w:t>
            </w:r>
          </w:p>
        </w:tc>
      </w:tr>
    </w:tbl>
    <w:p w14:paraId="0D0E2061" w14:textId="77777777" w:rsidR="00FA353F" w:rsidRPr="00CA0680" w:rsidRDefault="00FA353F"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71FCE70D" w14:textId="77777777" w:rsidR="00FA353F" w:rsidRPr="00CA0680" w:rsidRDefault="00FA353F"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14:paraId="0E38D84F" w14:textId="77777777" w:rsidR="00FA353F" w:rsidRPr="003D2A54" w:rsidRDefault="00FA353F" w:rsidP="00FA353F">
      <w:pPr>
        <w:spacing w:before="120"/>
        <w:rPr>
          <w:b/>
          <w:lang w:val="fr-FR"/>
        </w:rPr>
      </w:pPr>
      <w:r w:rsidRPr="003D2A54">
        <w:rPr>
          <w:b/>
          <w:bCs/>
          <w:lang w:val="fr-FR"/>
        </w:rPr>
        <w:t>Cinquante-septième session</w:t>
      </w:r>
    </w:p>
    <w:p w14:paraId="35CF0878" w14:textId="77777777" w:rsidR="00FA353F" w:rsidRPr="003D2A54" w:rsidRDefault="00FA353F" w:rsidP="00FA353F">
      <w:pPr>
        <w:rPr>
          <w:lang w:val="fr-FR"/>
        </w:rPr>
      </w:pPr>
      <w:r w:rsidRPr="003D2A54">
        <w:rPr>
          <w:lang w:val="fr-FR"/>
        </w:rPr>
        <w:t xml:space="preserve">Genève, 30 novembre-8 décembre 2020 </w:t>
      </w:r>
    </w:p>
    <w:p w14:paraId="6284BF28" w14:textId="77777777" w:rsidR="00FA353F" w:rsidRPr="003D2A54" w:rsidRDefault="00FA353F" w:rsidP="00FA353F">
      <w:pPr>
        <w:rPr>
          <w:lang w:val="fr-FR"/>
        </w:rPr>
      </w:pPr>
      <w:r w:rsidRPr="003D2A54">
        <w:rPr>
          <w:lang w:val="fr-FR"/>
        </w:rPr>
        <w:t>Point 7 de l</w:t>
      </w:r>
      <w:r>
        <w:rPr>
          <w:lang w:val="fr-FR"/>
        </w:rPr>
        <w:t>’</w:t>
      </w:r>
      <w:r w:rsidRPr="003D2A54">
        <w:rPr>
          <w:lang w:val="fr-FR"/>
        </w:rPr>
        <w:t>ordre du jour provisoire</w:t>
      </w:r>
    </w:p>
    <w:p w14:paraId="19A63A06" w14:textId="77777777" w:rsidR="00FA353F" w:rsidRDefault="00FA353F" w:rsidP="00FA353F">
      <w:r w:rsidRPr="003D2A54">
        <w:rPr>
          <w:b/>
          <w:bCs/>
          <w:lang w:val="fr-FR"/>
        </w:rPr>
        <w:t xml:space="preserve">Harmonisation générale des règlements relatifs au transport </w:t>
      </w:r>
      <w:r>
        <w:rPr>
          <w:b/>
          <w:bCs/>
          <w:lang w:val="fr-FR"/>
        </w:rPr>
        <w:br/>
      </w:r>
      <w:r w:rsidRPr="003D2A54">
        <w:rPr>
          <w:b/>
          <w:bCs/>
          <w:lang w:val="fr-FR"/>
        </w:rPr>
        <w:t>des marchandises dangereuses avec le Règlement type</w:t>
      </w:r>
    </w:p>
    <w:p w14:paraId="190CBF84" w14:textId="77777777" w:rsidR="00FA353F" w:rsidRPr="003D2A54" w:rsidRDefault="00FA353F" w:rsidP="00FA353F">
      <w:pPr>
        <w:pStyle w:val="HChG"/>
        <w:rPr>
          <w:lang w:val="fr-FR"/>
        </w:rPr>
      </w:pPr>
      <w:r w:rsidRPr="003D2A54">
        <w:rPr>
          <w:lang w:val="fr-FR"/>
        </w:rPr>
        <w:tab/>
      </w:r>
      <w:r w:rsidRPr="003D2A54">
        <w:rPr>
          <w:lang w:val="fr-FR"/>
        </w:rPr>
        <w:tab/>
        <w:t>Emploi des notes de bas de page dans le Règlement type</w:t>
      </w:r>
    </w:p>
    <w:p w14:paraId="191BDB6F" w14:textId="77777777" w:rsidR="00FA353F" w:rsidRPr="003D2A54" w:rsidRDefault="00FA353F" w:rsidP="00FA353F">
      <w:pPr>
        <w:pStyle w:val="H1G"/>
        <w:rPr>
          <w:lang w:val="fr-FR"/>
        </w:rPr>
      </w:pPr>
      <w:r w:rsidRPr="003D2A54">
        <w:rPr>
          <w:lang w:val="fr-FR"/>
        </w:rPr>
        <w:tab/>
      </w:r>
      <w:r w:rsidRPr="003D2A54">
        <w:rPr>
          <w:lang w:val="fr-FR"/>
        </w:rPr>
        <w:tab/>
        <w:t>Communication de l</w:t>
      </w:r>
      <w:r>
        <w:rPr>
          <w:lang w:val="fr-FR"/>
        </w:rPr>
        <w:t>’</w:t>
      </w:r>
      <w:r w:rsidRPr="003D2A54">
        <w:rPr>
          <w:lang w:val="fr-FR"/>
        </w:rPr>
        <w:t>Organisation maritime internationale (OMI)</w:t>
      </w:r>
      <w:r w:rsidRPr="00FA353F">
        <w:rPr>
          <w:rStyle w:val="FootnoteReference"/>
          <w:b w:val="0"/>
          <w:bCs/>
          <w:sz w:val="20"/>
          <w:vertAlign w:val="baseline"/>
        </w:rPr>
        <w:footnoteReference w:customMarkFollows="1" w:id="2"/>
        <w:t>*</w:t>
      </w:r>
      <w:bookmarkStart w:id="1" w:name="_Hlk25593987"/>
      <w:bookmarkEnd w:id="1"/>
    </w:p>
    <w:p w14:paraId="5CBDF8CE" w14:textId="77777777" w:rsidR="00FA353F" w:rsidRPr="003D2A54" w:rsidRDefault="00FA353F" w:rsidP="00FA353F">
      <w:pPr>
        <w:pStyle w:val="HChG"/>
        <w:rPr>
          <w:lang w:val="fr-FR"/>
        </w:rPr>
      </w:pPr>
      <w:r w:rsidRPr="003D2A54">
        <w:rPr>
          <w:lang w:val="fr-FR"/>
        </w:rPr>
        <w:tab/>
      </w:r>
      <w:r w:rsidRPr="003D2A54">
        <w:rPr>
          <w:lang w:val="fr-FR"/>
        </w:rPr>
        <w:tab/>
        <w:t>Introduction</w:t>
      </w:r>
    </w:p>
    <w:p w14:paraId="7EFEDB9C" w14:textId="77777777" w:rsidR="00FA353F" w:rsidRPr="003D2A54" w:rsidRDefault="00FA353F" w:rsidP="00FA353F">
      <w:pPr>
        <w:pStyle w:val="SingleTxtG"/>
        <w:rPr>
          <w:lang w:val="fr-FR"/>
        </w:rPr>
      </w:pPr>
      <w:r w:rsidRPr="003D2A54">
        <w:rPr>
          <w:lang w:val="fr-FR"/>
        </w:rPr>
        <w:t>1.</w:t>
      </w:r>
      <w:r w:rsidRPr="003D2A54">
        <w:rPr>
          <w:lang w:val="fr-FR"/>
        </w:rPr>
        <w:tab/>
        <w:t xml:space="preserve">La trente-deuxième session du </w:t>
      </w:r>
      <w:r>
        <w:rPr>
          <w:lang w:val="fr-FR"/>
        </w:rPr>
        <w:t>g</w:t>
      </w:r>
      <w:r w:rsidRPr="00A3545B">
        <w:rPr>
          <w:lang w:val="fr-FR"/>
        </w:rPr>
        <w:t xml:space="preserve">roupe </w:t>
      </w:r>
      <w:r w:rsidRPr="003D2A54">
        <w:rPr>
          <w:lang w:val="fr-FR"/>
        </w:rPr>
        <w:t>du Sous-Comité du transport des cargaisons et des conteneurs (CCC) de l</w:t>
      </w:r>
      <w:r>
        <w:rPr>
          <w:lang w:val="fr-FR"/>
        </w:rPr>
        <w:t>’</w:t>
      </w:r>
      <w:r w:rsidRPr="003D2A54">
        <w:rPr>
          <w:lang w:val="fr-FR"/>
        </w:rPr>
        <w:t xml:space="preserve">OMI </w:t>
      </w:r>
      <w:r>
        <w:rPr>
          <w:lang w:val="fr-FR"/>
        </w:rPr>
        <w:t xml:space="preserve">chargé des </w:t>
      </w:r>
      <w:r w:rsidRPr="00A3545B">
        <w:rPr>
          <w:lang w:val="fr-FR"/>
        </w:rPr>
        <w:t>questions éditoriales</w:t>
      </w:r>
      <w:r>
        <w:rPr>
          <w:lang w:val="fr-FR"/>
        </w:rPr>
        <w:t xml:space="preserve"> et techniques</w:t>
      </w:r>
      <w:r w:rsidRPr="00A3545B" w:rsidDel="00A3545B">
        <w:rPr>
          <w:lang w:val="fr-FR"/>
        </w:rPr>
        <w:t xml:space="preserve"> </w:t>
      </w:r>
      <w:r>
        <w:rPr>
          <w:lang w:val="fr-FR"/>
        </w:rPr>
        <w:t xml:space="preserve">(ci-après « Groupe </w:t>
      </w:r>
      <w:r w:rsidRPr="00BF36A0">
        <w:rPr>
          <w:lang w:val="fr-FR"/>
        </w:rPr>
        <w:t>E&amp;T</w:t>
      </w:r>
      <w:r>
        <w:rPr>
          <w:lang w:val="fr-FR"/>
        </w:rPr>
        <w:t xml:space="preserve"> ») </w:t>
      </w:r>
      <w:r w:rsidRPr="003D2A54">
        <w:rPr>
          <w:lang w:val="fr-FR"/>
        </w:rPr>
        <w:t>s</w:t>
      </w:r>
      <w:r>
        <w:rPr>
          <w:lang w:val="fr-FR"/>
        </w:rPr>
        <w:t>’</w:t>
      </w:r>
      <w:r w:rsidRPr="003D2A54">
        <w:rPr>
          <w:lang w:val="fr-FR"/>
        </w:rPr>
        <w:t>est tenue du 16 au 20 septembre 2019, sous la présidence de M.</w:t>
      </w:r>
      <w:r>
        <w:rPr>
          <w:lang w:val="fr-FR"/>
        </w:rPr>
        <w:t> </w:t>
      </w:r>
      <w:r w:rsidRPr="003D2A54">
        <w:rPr>
          <w:lang w:val="fr-FR"/>
        </w:rPr>
        <w:t>Steven</w:t>
      </w:r>
      <w:r>
        <w:rPr>
          <w:lang w:val="fr-FR"/>
        </w:rPr>
        <w:t> </w:t>
      </w:r>
      <w:r w:rsidRPr="003D2A54">
        <w:rPr>
          <w:lang w:val="fr-FR"/>
        </w:rPr>
        <w:t>Webb (</w:t>
      </w:r>
      <w:r>
        <w:rPr>
          <w:lang w:val="fr-FR"/>
        </w:rPr>
        <w:t>É</w:t>
      </w:r>
      <w:r w:rsidRPr="003D2A54">
        <w:rPr>
          <w:lang w:val="fr-FR"/>
        </w:rPr>
        <w:t>tats-Unis d</w:t>
      </w:r>
      <w:r>
        <w:rPr>
          <w:lang w:val="fr-FR"/>
        </w:rPr>
        <w:t>’</w:t>
      </w:r>
      <w:r w:rsidRPr="003D2A54">
        <w:rPr>
          <w:lang w:val="fr-FR"/>
        </w:rPr>
        <w:t>Amérique).</w:t>
      </w:r>
    </w:p>
    <w:p w14:paraId="123BFBA4" w14:textId="77777777" w:rsidR="00FA353F" w:rsidRPr="003D2A54" w:rsidRDefault="00FA353F" w:rsidP="00FA353F">
      <w:pPr>
        <w:pStyle w:val="SingleTxtG"/>
        <w:rPr>
          <w:lang w:val="fr-FR"/>
        </w:rPr>
      </w:pPr>
      <w:r w:rsidRPr="003D2A54">
        <w:rPr>
          <w:lang w:val="fr-FR"/>
        </w:rPr>
        <w:t>2.</w:t>
      </w:r>
      <w:r w:rsidRPr="003D2A54">
        <w:rPr>
          <w:lang w:val="fr-FR"/>
        </w:rPr>
        <w:tab/>
        <w:t xml:space="preserve">Le Groupe </w:t>
      </w:r>
      <w:r w:rsidRPr="00BF36A0">
        <w:rPr>
          <w:lang w:val="fr-FR"/>
        </w:rPr>
        <w:t>E&amp;T</w:t>
      </w:r>
      <w:r w:rsidRPr="00BF36A0" w:rsidDel="00A1538B">
        <w:rPr>
          <w:lang w:val="fr-FR"/>
        </w:rPr>
        <w:t xml:space="preserve"> </w:t>
      </w:r>
      <w:r w:rsidRPr="003D2A54">
        <w:rPr>
          <w:lang w:val="fr-FR"/>
        </w:rPr>
        <w:t>a fait le point sur les travaux qu</w:t>
      </w:r>
      <w:r>
        <w:rPr>
          <w:lang w:val="fr-FR"/>
        </w:rPr>
        <w:t>’</w:t>
      </w:r>
      <w:r w:rsidRPr="003D2A54">
        <w:rPr>
          <w:lang w:val="fr-FR"/>
        </w:rPr>
        <w:t>il a accomplis en vue de mettre la dernière main au projet d</w:t>
      </w:r>
      <w:r>
        <w:rPr>
          <w:lang w:val="fr-FR"/>
        </w:rPr>
        <w:t>’</w:t>
      </w:r>
      <w:r w:rsidRPr="003D2A54">
        <w:rPr>
          <w:lang w:val="fr-FR"/>
        </w:rPr>
        <w:t>amendement 40-20 au Code maritime international des marchandises dangereuses (Code IMDG) (voir document informel INF.27 de la cinquante</w:t>
      </w:r>
      <w:r>
        <w:rPr>
          <w:lang w:val="fr-FR"/>
        </w:rPr>
        <w:noBreakHyphen/>
      </w:r>
      <w:r w:rsidRPr="003D2A54">
        <w:rPr>
          <w:lang w:val="fr-FR"/>
        </w:rPr>
        <w:t>sixième session). Après examen, le Sous-Comité a</w:t>
      </w:r>
      <w:r>
        <w:rPr>
          <w:lang w:val="fr-FR"/>
        </w:rPr>
        <w:t xml:space="preserve"> estimé</w:t>
      </w:r>
      <w:r w:rsidRPr="003D2A54">
        <w:rPr>
          <w:lang w:val="fr-FR"/>
        </w:rPr>
        <w:t>, à sa cinquante</w:t>
      </w:r>
      <w:r>
        <w:rPr>
          <w:lang w:val="fr-FR"/>
        </w:rPr>
        <w:noBreakHyphen/>
      </w:r>
      <w:r w:rsidRPr="003D2A54">
        <w:rPr>
          <w:lang w:val="fr-FR"/>
        </w:rPr>
        <w:t>sixième session, qu</w:t>
      </w:r>
      <w:r>
        <w:rPr>
          <w:lang w:val="fr-FR"/>
        </w:rPr>
        <w:t>’</w:t>
      </w:r>
      <w:r w:rsidRPr="003D2A54">
        <w:rPr>
          <w:lang w:val="fr-FR"/>
        </w:rPr>
        <w:t xml:space="preserve">une proposition </w:t>
      </w:r>
      <w:r>
        <w:rPr>
          <w:lang w:val="fr-FR"/>
        </w:rPr>
        <w:t>offici</w:t>
      </w:r>
      <w:r w:rsidRPr="003D2A54">
        <w:rPr>
          <w:lang w:val="fr-FR"/>
        </w:rPr>
        <w:t>elle devrait être présentée à une session future pour qu</w:t>
      </w:r>
      <w:r>
        <w:rPr>
          <w:lang w:val="fr-FR"/>
        </w:rPr>
        <w:t>’</w:t>
      </w:r>
      <w:r w:rsidRPr="003D2A54">
        <w:rPr>
          <w:lang w:val="fr-FR"/>
        </w:rPr>
        <w:t>une décision puisse être prise au regard des informations exposées.</w:t>
      </w:r>
    </w:p>
    <w:p w14:paraId="223181BF" w14:textId="77777777" w:rsidR="00FA353F" w:rsidRPr="003D2A54" w:rsidRDefault="00FA353F" w:rsidP="00FA353F">
      <w:pPr>
        <w:pStyle w:val="SingleTxtG"/>
        <w:rPr>
          <w:lang w:val="fr-FR"/>
        </w:rPr>
      </w:pPr>
      <w:r w:rsidRPr="003D2A54">
        <w:rPr>
          <w:lang w:val="fr-FR"/>
        </w:rPr>
        <w:t>3.</w:t>
      </w:r>
      <w:r w:rsidRPr="003D2A54">
        <w:rPr>
          <w:lang w:val="fr-FR"/>
        </w:rPr>
        <w:tab/>
        <w:t xml:space="preserve">Le Groupe </w:t>
      </w:r>
      <w:r>
        <w:rPr>
          <w:lang w:val="fr-FR"/>
        </w:rPr>
        <w:t>E&amp;T</w:t>
      </w:r>
      <w:r w:rsidRPr="003D2A54">
        <w:rPr>
          <w:lang w:val="fr-FR"/>
        </w:rPr>
        <w:t xml:space="preserve"> a</w:t>
      </w:r>
      <w:r>
        <w:rPr>
          <w:lang w:val="fr-FR"/>
        </w:rPr>
        <w:t xml:space="preserve"> entre autres</w:t>
      </w:r>
      <w:r w:rsidRPr="003D2A54">
        <w:rPr>
          <w:lang w:val="fr-FR"/>
        </w:rPr>
        <w:t xml:space="preserve"> procédé à un examen détaillé de l</w:t>
      </w:r>
      <w:r>
        <w:rPr>
          <w:lang w:val="fr-FR"/>
        </w:rPr>
        <w:t>’</w:t>
      </w:r>
      <w:r w:rsidRPr="003D2A54">
        <w:rPr>
          <w:lang w:val="fr-FR"/>
        </w:rPr>
        <w:t xml:space="preserve">ensemble des notes de bas de page contenues dans le Code IMDG. </w:t>
      </w:r>
      <w:r>
        <w:rPr>
          <w:lang w:val="fr-FR"/>
        </w:rPr>
        <w:t>Cette mission</w:t>
      </w:r>
      <w:r w:rsidRPr="003D2A54">
        <w:rPr>
          <w:lang w:val="fr-FR"/>
        </w:rPr>
        <w:t xml:space="preserve"> lui avait été confié</w:t>
      </w:r>
      <w:r>
        <w:rPr>
          <w:lang w:val="fr-FR"/>
        </w:rPr>
        <w:t>e</w:t>
      </w:r>
      <w:r w:rsidRPr="003D2A54">
        <w:rPr>
          <w:lang w:val="fr-FR"/>
        </w:rPr>
        <w:t xml:space="preserve"> par le Sous-Comité CCC, dont il relève, après que le Comité de la sécurité maritime et le secrétariat avaient fait observer que le texte faisant foi</w:t>
      </w:r>
      <w:r>
        <w:rPr>
          <w:lang w:val="fr-FR"/>
        </w:rPr>
        <w:t>,</w:t>
      </w:r>
      <w:r w:rsidRPr="003D2A54">
        <w:rPr>
          <w:lang w:val="fr-FR"/>
        </w:rPr>
        <w:t xml:space="preserve"> pour les instruments de l</w:t>
      </w:r>
      <w:r>
        <w:rPr>
          <w:lang w:val="fr-FR"/>
        </w:rPr>
        <w:t>’</w:t>
      </w:r>
      <w:r w:rsidRPr="003D2A54">
        <w:rPr>
          <w:lang w:val="fr-FR"/>
        </w:rPr>
        <w:t>OMI</w:t>
      </w:r>
      <w:r>
        <w:rPr>
          <w:lang w:val="fr-FR"/>
        </w:rPr>
        <w:t>,</w:t>
      </w:r>
      <w:r w:rsidRPr="003D2A54">
        <w:rPr>
          <w:lang w:val="fr-FR"/>
        </w:rPr>
        <w:t xml:space="preserve"> ne contenait pas de notes de bas de page et que les prescriptions réglementaires ne devaient donc pas figurer dans les notes de bas de page du Code IMDG.</w:t>
      </w:r>
    </w:p>
    <w:p w14:paraId="604B3495" w14:textId="77777777" w:rsidR="00FA353F" w:rsidRPr="003D2A54" w:rsidRDefault="00FA353F" w:rsidP="00FA353F">
      <w:pPr>
        <w:pStyle w:val="SingleTxtG"/>
        <w:rPr>
          <w:lang w:val="fr-FR"/>
        </w:rPr>
      </w:pPr>
      <w:r w:rsidRPr="003D2A54">
        <w:rPr>
          <w:lang w:val="fr-FR"/>
        </w:rPr>
        <w:t>4.</w:t>
      </w:r>
      <w:r w:rsidRPr="003D2A54">
        <w:rPr>
          <w:lang w:val="fr-FR"/>
        </w:rPr>
        <w:tab/>
        <w:t xml:space="preserve">Il convient de noter que </w:t>
      </w:r>
      <w:r w:rsidRPr="00DC3572">
        <w:rPr>
          <w:lang w:val="fr-FR"/>
        </w:rPr>
        <w:t>le texte faisant foi pour les instruments de l</w:t>
      </w:r>
      <w:r>
        <w:rPr>
          <w:lang w:val="fr-FR"/>
        </w:rPr>
        <w:t>’</w:t>
      </w:r>
      <w:r w:rsidRPr="00DC3572">
        <w:rPr>
          <w:lang w:val="fr-FR"/>
        </w:rPr>
        <w:t xml:space="preserve">OMI est la version juridiquement contraignante de ces documents </w:t>
      </w:r>
      <w:r>
        <w:rPr>
          <w:lang w:val="fr-FR"/>
        </w:rPr>
        <w:t>et que</w:t>
      </w:r>
      <w:r w:rsidRPr="00DC3572">
        <w:rPr>
          <w:lang w:val="fr-FR"/>
        </w:rPr>
        <w:t xml:space="preserve"> les législations nationales doivent souvent y faire référence, ce qui en fait le fondement</w:t>
      </w:r>
      <w:r w:rsidRPr="003D2A54">
        <w:rPr>
          <w:lang w:val="fr-FR"/>
        </w:rPr>
        <w:t xml:space="preserve"> juridique à l</w:t>
      </w:r>
      <w:r>
        <w:rPr>
          <w:lang w:val="fr-FR"/>
        </w:rPr>
        <w:t>’</w:t>
      </w:r>
      <w:r w:rsidRPr="003D2A54">
        <w:rPr>
          <w:lang w:val="fr-FR"/>
        </w:rPr>
        <w:t>utilisation et à l</w:t>
      </w:r>
      <w:r>
        <w:rPr>
          <w:lang w:val="fr-FR"/>
        </w:rPr>
        <w:t>’</w:t>
      </w:r>
      <w:r w:rsidRPr="003D2A54">
        <w:rPr>
          <w:lang w:val="fr-FR"/>
        </w:rPr>
        <w:t xml:space="preserve">application des prescriptions du Code IMDG dans de nombreux États. Il est </w:t>
      </w:r>
      <w:r>
        <w:rPr>
          <w:lang w:val="fr-FR"/>
        </w:rPr>
        <w:t>donc</w:t>
      </w:r>
      <w:r w:rsidRPr="003D2A54">
        <w:rPr>
          <w:lang w:val="fr-FR"/>
        </w:rPr>
        <w:t xml:space="preserve"> capital que les prescriptions réglementaires ne figurent pas </w:t>
      </w:r>
      <w:r w:rsidRPr="00FA353F">
        <w:rPr>
          <w:lang w:val="fr-FR"/>
        </w:rPr>
        <w:t xml:space="preserve">dans </w:t>
      </w:r>
      <w:r>
        <w:rPr>
          <w:lang w:val="fr-FR"/>
        </w:rPr>
        <w:t>d</w:t>
      </w:r>
      <w:r w:rsidRPr="003D2A54">
        <w:rPr>
          <w:lang w:val="fr-FR"/>
        </w:rPr>
        <w:t xml:space="preserve">es notes de bas de page. </w:t>
      </w:r>
    </w:p>
    <w:p w14:paraId="402D1ACF" w14:textId="77777777" w:rsidR="00FA353F" w:rsidRPr="003D2A54" w:rsidRDefault="00FA353F" w:rsidP="00FA353F">
      <w:pPr>
        <w:pStyle w:val="SingleTxtG"/>
        <w:rPr>
          <w:lang w:val="fr-FR"/>
        </w:rPr>
      </w:pPr>
      <w:r w:rsidRPr="003D2A54">
        <w:rPr>
          <w:lang w:val="fr-FR"/>
        </w:rPr>
        <w:lastRenderedPageBreak/>
        <w:t>5.</w:t>
      </w:r>
      <w:r w:rsidRPr="003D2A54">
        <w:rPr>
          <w:lang w:val="fr-FR"/>
        </w:rPr>
        <w:tab/>
        <w:t xml:space="preserve">Avant de procéder à </w:t>
      </w:r>
      <w:r>
        <w:rPr>
          <w:lang w:val="fr-FR"/>
        </w:rPr>
        <w:t xml:space="preserve">son </w:t>
      </w:r>
      <w:r w:rsidRPr="003D2A54">
        <w:rPr>
          <w:lang w:val="fr-FR"/>
        </w:rPr>
        <w:t xml:space="preserve">examen, le Groupe </w:t>
      </w:r>
      <w:r>
        <w:rPr>
          <w:lang w:val="fr-FR"/>
        </w:rPr>
        <w:t>E&amp;T</w:t>
      </w:r>
      <w:r w:rsidRPr="003D2A54">
        <w:rPr>
          <w:lang w:val="fr-FR"/>
        </w:rPr>
        <w:t xml:space="preserve"> a </w:t>
      </w:r>
      <w:r>
        <w:rPr>
          <w:lang w:val="fr-FR"/>
        </w:rPr>
        <w:t>réfléchi à sa</w:t>
      </w:r>
      <w:r w:rsidRPr="003D2A54">
        <w:rPr>
          <w:lang w:val="fr-FR"/>
        </w:rPr>
        <w:t xml:space="preserve"> méthode </w:t>
      </w:r>
      <w:r>
        <w:rPr>
          <w:lang w:val="fr-FR"/>
        </w:rPr>
        <w:t>de travail. Il s’est mis d’accord sur les</w:t>
      </w:r>
      <w:r w:rsidRPr="003D2A54">
        <w:rPr>
          <w:lang w:val="fr-FR"/>
        </w:rPr>
        <w:t xml:space="preserve"> principes généraux suivants :</w:t>
      </w:r>
    </w:p>
    <w:p w14:paraId="1D6A5982" w14:textId="77777777" w:rsidR="00FA353F" w:rsidRPr="003D2A54" w:rsidRDefault="00FA353F" w:rsidP="00FA353F">
      <w:pPr>
        <w:pStyle w:val="SingleTxtG"/>
        <w:ind w:left="2268" w:hanging="567"/>
        <w:rPr>
          <w:lang w:val="fr-FR"/>
        </w:rPr>
      </w:pPr>
      <w:r w:rsidRPr="003D2A54">
        <w:rPr>
          <w:lang w:val="fr-FR"/>
        </w:rPr>
        <w:t>a)</w:t>
      </w:r>
      <w:r w:rsidRPr="003D2A54">
        <w:rPr>
          <w:lang w:val="fr-FR"/>
        </w:rPr>
        <w:tab/>
      </w:r>
      <w:r>
        <w:rPr>
          <w:lang w:val="fr-FR"/>
        </w:rPr>
        <w:t xml:space="preserve">Les </w:t>
      </w:r>
      <w:r w:rsidRPr="003D2A54">
        <w:rPr>
          <w:lang w:val="fr-FR"/>
        </w:rPr>
        <w:t xml:space="preserve">notes de bas de page qui </w:t>
      </w:r>
      <w:r>
        <w:rPr>
          <w:lang w:val="fr-FR"/>
        </w:rPr>
        <w:t>renvoient</w:t>
      </w:r>
      <w:r w:rsidRPr="003D2A54">
        <w:rPr>
          <w:lang w:val="fr-FR"/>
        </w:rPr>
        <w:t xml:space="preserve"> à d</w:t>
      </w:r>
      <w:r>
        <w:rPr>
          <w:lang w:val="fr-FR"/>
        </w:rPr>
        <w:t>’</w:t>
      </w:r>
      <w:r w:rsidRPr="003D2A54">
        <w:rPr>
          <w:lang w:val="fr-FR"/>
        </w:rPr>
        <w:t>autres instruments</w:t>
      </w:r>
      <w:r>
        <w:rPr>
          <w:lang w:val="fr-FR"/>
        </w:rPr>
        <w:t xml:space="preserve"> doivent être conservées</w:t>
      </w:r>
      <w:r w:rsidRPr="003D2A54">
        <w:rPr>
          <w:lang w:val="fr-FR"/>
        </w:rPr>
        <w:t> ;</w:t>
      </w:r>
    </w:p>
    <w:p w14:paraId="13F88FB2" w14:textId="77777777" w:rsidR="00FA353F" w:rsidRPr="003D2A54" w:rsidRDefault="00FA353F" w:rsidP="00FA353F">
      <w:pPr>
        <w:pStyle w:val="SingleTxtG"/>
        <w:ind w:left="2264" w:hanging="563"/>
        <w:rPr>
          <w:lang w:val="fr-FR"/>
        </w:rPr>
      </w:pPr>
      <w:r w:rsidRPr="003D2A54">
        <w:rPr>
          <w:lang w:val="fr-FR"/>
        </w:rPr>
        <w:t>b)</w:t>
      </w:r>
      <w:r w:rsidRPr="003D2A54">
        <w:rPr>
          <w:lang w:val="fr-FR"/>
        </w:rPr>
        <w:tab/>
      </w:r>
      <w:r>
        <w:rPr>
          <w:lang w:val="fr-FR"/>
        </w:rPr>
        <w:t>L</w:t>
      </w:r>
      <w:r w:rsidRPr="003D2A54">
        <w:rPr>
          <w:lang w:val="fr-FR"/>
        </w:rPr>
        <w:t>orsqu</w:t>
      </w:r>
      <w:r>
        <w:rPr>
          <w:lang w:val="fr-FR"/>
        </w:rPr>
        <w:t>’</w:t>
      </w:r>
      <w:r w:rsidRPr="003D2A54">
        <w:rPr>
          <w:lang w:val="fr-FR"/>
        </w:rPr>
        <w:t xml:space="preserve">une note de bas de page reprend le texte </w:t>
      </w:r>
      <w:r>
        <w:rPr>
          <w:lang w:val="fr-FR"/>
        </w:rPr>
        <w:t>du</w:t>
      </w:r>
      <w:r w:rsidRPr="003D2A54">
        <w:rPr>
          <w:lang w:val="fr-FR"/>
        </w:rPr>
        <w:t xml:space="preserve"> Règlement type</w:t>
      </w:r>
      <w:r>
        <w:rPr>
          <w:lang w:val="fr-FR"/>
        </w:rPr>
        <w:t>, l</w:t>
      </w:r>
      <w:r w:rsidRPr="003D2A54">
        <w:rPr>
          <w:lang w:val="fr-FR"/>
        </w:rPr>
        <w:t>e Sous</w:t>
      </w:r>
      <w:r>
        <w:rPr>
          <w:lang w:val="fr-FR"/>
        </w:rPr>
        <w:noBreakHyphen/>
      </w:r>
      <w:r w:rsidRPr="003D2A54">
        <w:rPr>
          <w:lang w:val="fr-FR"/>
        </w:rPr>
        <w:t>Comité d</w:t>
      </w:r>
      <w:r>
        <w:rPr>
          <w:lang w:val="fr-FR"/>
        </w:rPr>
        <w:t>’</w:t>
      </w:r>
      <w:r w:rsidRPr="003D2A54">
        <w:rPr>
          <w:lang w:val="fr-FR"/>
        </w:rPr>
        <w:t>experts du transport des marchandises dangereuses de l</w:t>
      </w:r>
      <w:r>
        <w:rPr>
          <w:lang w:val="fr-FR"/>
        </w:rPr>
        <w:t>’</w:t>
      </w:r>
      <w:r w:rsidRPr="003D2A54">
        <w:rPr>
          <w:lang w:val="fr-FR"/>
        </w:rPr>
        <w:t>ONU</w:t>
      </w:r>
      <w:r>
        <w:rPr>
          <w:lang w:val="fr-FR"/>
        </w:rPr>
        <w:t xml:space="preserve"> doit en être avisé </w:t>
      </w:r>
      <w:r w:rsidRPr="003D2A54">
        <w:rPr>
          <w:lang w:val="fr-FR"/>
        </w:rPr>
        <w:t>;</w:t>
      </w:r>
    </w:p>
    <w:p w14:paraId="41AD4D5F" w14:textId="77777777" w:rsidR="00FA353F" w:rsidRPr="003D2A54" w:rsidRDefault="00FA353F" w:rsidP="00FA353F">
      <w:pPr>
        <w:pStyle w:val="SingleTxtG"/>
        <w:ind w:left="2268" w:hanging="567"/>
        <w:rPr>
          <w:lang w:val="fr-FR"/>
        </w:rPr>
      </w:pPr>
      <w:r w:rsidRPr="003D2A54">
        <w:rPr>
          <w:lang w:val="fr-FR"/>
        </w:rPr>
        <w:t>c)</w:t>
      </w:r>
      <w:r w:rsidRPr="003D2A54">
        <w:rPr>
          <w:lang w:val="fr-FR"/>
        </w:rPr>
        <w:tab/>
      </w:r>
      <w:r>
        <w:rPr>
          <w:lang w:val="fr-FR"/>
        </w:rPr>
        <w:t>L</w:t>
      </w:r>
      <w:r w:rsidRPr="003D2A54">
        <w:rPr>
          <w:lang w:val="fr-FR"/>
        </w:rPr>
        <w:t xml:space="preserve">es notes de bas de page </w:t>
      </w:r>
      <w:r>
        <w:rPr>
          <w:lang w:val="fr-FR"/>
        </w:rPr>
        <w:t>renvoyant à des dispositions transitoires</w:t>
      </w:r>
      <w:r w:rsidRPr="003D2A54">
        <w:rPr>
          <w:lang w:val="fr-FR"/>
        </w:rPr>
        <w:t xml:space="preserve"> devenues obsolètes</w:t>
      </w:r>
      <w:r>
        <w:rPr>
          <w:lang w:val="fr-FR"/>
        </w:rPr>
        <w:t xml:space="preserve"> sont à </w:t>
      </w:r>
      <w:r w:rsidRPr="003D2A54">
        <w:rPr>
          <w:lang w:val="fr-FR"/>
        </w:rPr>
        <w:t>supprimer ;</w:t>
      </w:r>
    </w:p>
    <w:p w14:paraId="307E07B6" w14:textId="77777777" w:rsidR="00FA353F" w:rsidRPr="003D2A54" w:rsidRDefault="00FA353F" w:rsidP="00FA353F">
      <w:pPr>
        <w:pStyle w:val="SingleTxtG"/>
        <w:ind w:left="2268" w:hanging="567"/>
        <w:rPr>
          <w:lang w:val="fr-FR"/>
        </w:rPr>
      </w:pPr>
      <w:r w:rsidRPr="003D2A54">
        <w:rPr>
          <w:lang w:val="fr-FR"/>
        </w:rPr>
        <w:t>d)</w:t>
      </w:r>
      <w:r w:rsidRPr="003D2A54">
        <w:rPr>
          <w:lang w:val="fr-FR"/>
        </w:rPr>
        <w:tab/>
      </w:r>
      <w:r>
        <w:rPr>
          <w:lang w:val="fr-FR"/>
        </w:rPr>
        <w:t>Lorsque</w:t>
      </w:r>
      <w:r w:rsidRPr="00720178">
        <w:rPr>
          <w:color w:val="000000"/>
          <w:lang w:val="fr-FR"/>
        </w:rPr>
        <w:t xml:space="preserve"> nécessaire</w:t>
      </w:r>
      <w:r>
        <w:rPr>
          <w:color w:val="000000"/>
          <w:lang w:val="fr-FR"/>
        </w:rPr>
        <w:t>, l</w:t>
      </w:r>
      <w:r w:rsidRPr="003D2A54">
        <w:rPr>
          <w:lang w:val="fr-FR"/>
        </w:rPr>
        <w:t xml:space="preserve">es notes de bas de page </w:t>
      </w:r>
      <w:r>
        <w:rPr>
          <w:lang w:val="fr-FR"/>
        </w:rPr>
        <w:t>doivent être actualisées </w:t>
      </w:r>
      <w:r w:rsidRPr="003D2A54">
        <w:rPr>
          <w:lang w:val="fr-FR"/>
        </w:rPr>
        <w:t xml:space="preserve">; </w:t>
      </w:r>
    </w:p>
    <w:p w14:paraId="6DFA8E8E" w14:textId="77777777" w:rsidR="00FA353F" w:rsidRPr="003D2A54" w:rsidRDefault="00FA353F" w:rsidP="00FA353F">
      <w:pPr>
        <w:pStyle w:val="SingleTxtG"/>
        <w:ind w:left="2264" w:hanging="563"/>
        <w:rPr>
          <w:lang w:val="fr-FR"/>
        </w:rPr>
      </w:pPr>
      <w:r w:rsidRPr="003D2A54">
        <w:rPr>
          <w:lang w:val="fr-FR"/>
        </w:rPr>
        <w:t>e)</w:t>
      </w:r>
      <w:r w:rsidRPr="003D2A54">
        <w:rPr>
          <w:lang w:val="fr-FR"/>
        </w:rPr>
        <w:tab/>
      </w:r>
      <w:r>
        <w:rPr>
          <w:lang w:val="fr-FR"/>
        </w:rPr>
        <w:t xml:space="preserve">Il convient de </w:t>
      </w:r>
      <w:r w:rsidRPr="003D2A54">
        <w:rPr>
          <w:lang w:val="fr-FR"/>
        </w:rPr>
        <w:t>déplacer le texte de la note de bas de page dans la section réglementaire du Code IMDG pertinente si cette note contient des prescriptions réglementaires propres au Code IMDG.</w:t>
      </w:r>
    </w:p>
    <w:p w14:paraId="403BDBB1" w14:textId="77777777" w:rsidR="00FA353F" w:rsidRPr="003D2A54" w:rsidRDefault="00FA353F" w:rsidP="00FA353F">
      <w:pPr>
        <w:pStyle w:val="SingleTxtG"/>
        <w:rPr>
          <w:lang w:val="fr-FR"/>
        </w:rPr>
      </w:pPr>
      <w:r w:rsidRPr="003D2A54">
        <w:rPr>
          <w:lang w:val="fr-FR"/>
        </w:rPr>
        <w:t>6.</w:t>
      </w:r>
      <w:r w:rsidRPr="003D2A54">
        <w:rPr>
          <w:lang w:val="fr-FR"/>
        </w:rPr>
        <w:tab/>
        <w:t>À l</w:t>
      </w:r>
      <w:r>
        <w:rPr>
          <w:lang w:val="fr-FR"/>
        </w:rPr>
        <w:t>’</w:t>
      </w:r>
      <w:r w:rsidRPr="003D2A54">
        <w:rPr>
          <w:lang w:val="fr-FR"/>
        </w:rPr>
        <w:t>issue de l</w:t>
      </w:r>
      <w:r>
        <w:rPr>
          <w:lang w:val="fr-FR"/>
        </w:rPr>
        <w:t>’</w:t>
      </w:r>
      <w:r w:rsidRPr="003D2A54">
        <w:rPr>
          <w:lang w:val="fr-FR"/>
        </w:rPr>
        <w:t xml:space="preserve">examen détaillé des notes de bas de page et </w:t>
      </w:r>
      <w:r>
        <w:rPr>
          <w:lang w:val="fr-FR"/>
        </w:rPr>
        <w:t>en vertu</w:t>
      </w:r>
      <w:r w:rsidRPr="003D2A54">
        <w:rPr>
          <w:lang w:val="fr-FR"/>
        </w:rPr>
        <w:t xml:space="preserve"> des principes susmentionnés, le Groupe </w:t>
      </w:r>
      <w:r>
        <w:rPr>
          <w:lang w:val="fr-FR"/>
        </w:rPr>
        <w:t xml:space="preserve">E&amp;T </w:t>
      </w:r>
      <w:r w:rsidRPr="003D2A54">
        <w:rPr>
          <w:lang w:val="fr-FR"/>
        </w:rPr>
        <w:t xml:space="preserve">a décidé de faire figurer les modifications </w:t>
      </w:r>
      <w:r>
        <w:rPr>
          <w:lang w:val="fr-FR"/>
        </w:rPr>
        <w:t>nécessaires</w:t>
      </w:r>
      <w:r w:rsidRPr="003D2A54">
        <w:rPr>
          <w:lang w:val="fr-FR"/>
        </w:rPr>
        <w:t xml:space="preserve"> dans le projet d</w:t>
      </w:r>
      <w:r>
        <w:rPr>
          <w:lang w:val="fr-FR"/>
        </w:rPr>
        <w:t>’</w:t>
      </w:r>
      <w:r w:rsidRPr="003D2A54">
        <w:rPr>
          <w:lang w:val="fr-FR"/>
        </w:rPr>
        <w:t>amendement 40-20 au Code IMDG.</w:t>
      </w:r>
    </w:p>
    <w:p w14:paraId="5367E3C0" w14:textId="77777777" w:rsidR="00FA353F" w:rsidRPr="003D2A54" w:rsidRDefault="00FA353F" w:rsidP="00FA353F">
      <w:pPr>
        <w:pStyle w:val="SingleTxtG"/>
        <w:rPr>
          <w:lang w:val="fr-FR"/>
        </w:rPr>
      </w:pPr>
      <w:r w:rsidRPr="003D2A54">
        <w:rPr>
          <w:lang w:val="fr-FR"/>
        </w:rPr>
        <w:t>7.</w:t>
      </w:r>
      <w:r w:rsidRPr="003D2A54">
        <w:rPr>
          <w:lang w:val="fr-FR"/>
        </w:rPr>
        <w:tab/>
        <w:t xml:space="preserve">Le présent document contient des propositions de modification de certains passages du Règlement type, formulées selon la méthode décrite ci-avant. </w:t>
      </w:r>
      <w:r>
        <w:rPr>
          <w:lang w:val="fr-FR"/>
        </w:rPr>
        <w:t xml:space="preserve">Les </w:t>
      </w:r>
      <w:r w:rsidRPr="003F0F95">
        <w:rPr>
          <w:lang w:val="fr-FR"/>
        </w:rPr>
        <w:t>modifications qu</w:t>
      </w:r>
      <w:r>
        <w:rPr>
          <w:lang w:val="fr-FR"/>
        </w:rPr>
        <w:t>’</w:t>
      </w:r>
      <w:r w:rsidRPr="003F0F95">
        <w:rPr>
          <w:lang w:val="fr-FR"/>
        </w:rPr>
        <w:t>il est proposé d</w:t>
      </w:r>
      <w:r>
        <w:rPr>
          <w:lang w:val="fr-FR"/>
        </w:rPr>
        <w:t>’</w:t>
      </w:r>
      <w:r w:rsidRPr="003F0F95">
        <w:rPr>
          <w:lang w:val="fr-FR"/>
        </w:rPr>
        <w:t xml:space="preserve">apporter au texte actuel figurent en caractères </w:t>
      </w:r>
      <w:r>
        <w:rPr>
          <w:lang w:val="fr-FR"/>
        </w:rPr>
        <w:t>soulignés</w:t>
      </w:r>
      <w:r w:rsidRPr="003D2A54">
        <w:rPr>
          <w:lang w:val="fr-FR"/>
        </w:rPr>
        <w:t xml:space="preserve"> </w:t>
      </w:r>
      <w:r w:rsidRPr="003F0F95">
        <w:rPr>
          <w:lang w:val="fr-FR"/>
        </w:rPr>
        <w:t>pour les ajouts et biffés pour les suppressions</w:t>
      </w:r>
      <w:r w:rsidRPr="003D2A54">
        <w:rPr>
          <w:lang w:val="fr-FR"/>
        </w:rPr>
        <w:t>.</w:t>
      </w:r>
    </w:p>
    <w:p w14:paraId="53991D68" w14:textId="77777777" w:rsidR="00FA353F" w:rsidRPr="003D2A54" w:rsidRDefault="00FA353F" w:rsidP="00FA353F">
      <w:pPr>
        <w:pStyle w:val="HChG"/>
        <w:rPr>
          <w:lang w:val="fr-FR"/>
        </w:rPr>
      </w:pPr>
      <w:r w:rsidRPr="003D2A54">
        <w:rPr>
          <w:lang w:val="fr-FR"/>
        </w:rPr>
        <w:tab/>
      </w:r>
      <w:r w:rsidRPr="003D2A54">
        <w:rPr>
          <w:lang w:val="fr-FR"/>
        </w:rPr>
        <w:tab/>
      </w:r>
      <w:r w:rsidRPr="003D2A54">
        <w:rPr>
          <w:bCs/>
          <w:lang w:val="fr-FR"/>
        </w:rPr>
        <w:t>Propositions</w:t>
      </w:r>
    </w:p>
    <w:p w14:paraId="340A04C2" w14:textId="77777777" w:rsidR="00FA353F" w:rsidRPr="003D2A54" w:rsidRDefault="00FA353F" w:rsidP="00FA353F">
      <w:pPr>
        <w:pStyle w:val="SingleTxtG"/>
        <w:rPr>
          <w:lang w:val="fr-FR"/>
        </w:rPr>
      </w:pPr>
      <w:r w:rsidRPr="003D2A54">
        <w:rPr>
          <w:lang w:val="fr-FR"/>
        </w:rPr>
        <w:t>8.</w:t>
      </w:r>
      <w:r w:rsidRPr="003D2A54">
        <w:rPr>
          <w:lang w:val="fr-FR"/>
        </w:rPr>
        <w:tab/>
      </w:r>
      <w:r>
        <w:rPr>
          <w:lang w:val="fr-FR"/>
        </w:rPr>
        <w:t>L</w:t>
      </w:r>
      <w:r w:rsidRPr="003D2A54">
        <w:rPr>
          <w:lang w:val="fr-FR"/>
        </w:rPr>
        <w:t>es notes de bas de page du Code IMDG n</w:t>
      </w:r>
      <w:r>
        <w:rPr>
          <w:lang w:val="fr-FR"/>
        </w:rPr>
        <w:t>’étant</w:t>
      </w:r>
      <w:r w:rsidRPr="003D2A54">
        <w:rPr>
          <w:lang w:val="fr-FR"/>
        </w:rPr>
        <w:t xml:space="preserve"> pas considérées comme </w:t>
      </w:r>
      <w:r>
        <w:rPr>
          <w:lang w:val="fr-FR"/>
        </w:rPr>
        <w:t>des parties intégrantes</w:t>
      </w:r>
      <w:r w:rsidRPr="003D2A54">
        <w:rPr>
          <w:lang w:val="fr-FR"/>
        </w:rPr>
        <w:t xml:space="preserve"> du texte faisant foi</w:t>
      </w:r>
      <w:r>
        <w:rPr>
          <w:lang w:val="fr-FR"/>
        </w:rPr>
        <w:t>,</w:t>
      </w:r>
      <w:r w:rsidRPr="003D2A54">
        <w:rPr>
          <w:lang w:val="fr-FR"/>
        </w:rPr>
        <w:t xml:space="preserve"> de nombreux États </w:t>
      </w:r>
      <w:r>
        <w:rPr>
          <w:lang w:val="fr-FR"/>
        </w:rPr>
        <w:t>n’en tiennent pas compte</w:t>
      </w:r>
      <w:r w:rsidRPr="003D2A54">
        <w:rPr>
          <w:lang w:val="fr-FR"/>
        </w:rPr>
        <w:t xml:space="preserve"> dans leur législation nationale</w:t>
      </w:r>
      <w:r>
        <w:rPr>
          <w:lang w:val="fr-FR"/>
        </w:rPr>
        <w:t>. L</w:t>
      </w:r>
      <w:r w:rsidRPr="003D2A54">
        <w:rPr>
          <w:lang w:val="fr-FR"/>
        </w:rPr>
        <w:t xml:space="preserve">e Sous-Comité est invité à </w:t>
      </w:r>
      <w:r>
        <w:rPr>
          <w:lang w:val="fr-FR"/>
        </w:rPr>
        <w:t>étudier les</w:t>
      </w:r>
      <w:r w:rsidRPr="003D2A54">
        <w:rPr>
          <w:lang w:val="fr-FR"/>
        </w:rPr>
        <w:t xml:space="preserve"> propositions ci-après et à </w:t>
      </w:r>
      <w:r>
        <w:rPr>
          <w:lang w:val="fr-FR"/>
        </w:rPr>
        <w:t>procéder aux</w:t>
      </w:r>
      <w:r w:rsidRPr="003D2A54">
        <w:rPr>
          <w:lang w:val="fr-FR"/>
        </w:rPr>
        <w:t xml:space="preserve"> modifications correspondantes, </w:t>
      </w:r>
      <w:r>
        <w:rPr>
          <w:lang w:val="fr-FR"/>
        </w:rPr>
        <w:t>s’il y a lieu</w:t>
      </w:r>
      <w:r w:rsidRPr="003D2A54">
        <w:rPr>
          <w:lang w:val="fr-FR"/>
        </w:rPr>
        <w:t>.</w:t>
      </w:r>
    </w:p>
    <w:p w14:paraId="7F65687B" w14:textId="77777777" w:rsidR="00FA353F" w:rsidRPr="003D2A54" w:rsidRDefault="00FA353F" w:rsidP="00FA353F">
      <w:pPr>
        <w:pStyle w:val="H1G"/>
        <w:rPr>
          <w:lang w:val="fr-FR"/>
        </w:rPr>
      </w:pPr>
      <w:r w:rsidRPr="003D2A54">
        <w:rPr>
          <w:lang w:val="fr-FR"/>
        </w:rPr>
        <w:tab/>
      </w:r>
      <w:r w:rsidRPr="003D2A54">
        <w:rPr>
          <w:lang w:val="fr-FR"/>
        </w:rPr>
        <w:tab/>
      </w:r>
      <w:r w:rsidRPr="003D2A54">
        <w:rPr>
          <w:bCs/>
          <w:lang w:val="fr-FR"/>
        </w:rPr>
        <w:t>Proposition 1</w:t>
      </w:r>
    </w:p>
    <w:p w14:paraId="70662700" w14:textId="77777777" w:rsidR="00FA353F" w:rsidRPr="003D2A54" w:rsidRDefault="00FA353F" w:rsidP="00FA353F">
      <w:pPr>
        <w:pStyle w:val="SingleTxtG"/>
        <w:ind w:left="1701" w:hanging="567"/>
        <w:rPr>
          <w:lang w:val="fr-FR"/>
        </w:rPr>
      </w:pPr>
      <w:r w:rsidRPr="003D2A54">
        <w:rPr>
          <w:lang w:val="fr-FR"/>
        </w:rPr>
        <w:t>9.</w:t>
      </w:r>
      <w:r w:rsidRPr="003D2A54">
        <w:rPr>
          <w:lang w:val="fr-FR"/>
        </w:rPr>
        <w:tab/>
        <w:t>Au 1.4.3.2.3, supprimer les notes de bas de page et modifier le paragraphe comme suit</w:t>
      </w:r>
      <w:r>
        <w:rPr>
          <w:lang w:val="fr-FR"/>
        </w:rPr>
        <w:t> </w:t>
      </w:r>
      <w:r w:rsidRPr="003D2A54">
        <w:rPr>
          <w:lang w:val="fr-FR"/>
        </w:rPr>
        <w:t>:</w:t>
      </w:r>
    </w:p>
    <w:p w14:paraId="19F30FA2" w14:textId="77777777" w:rsidR="00FA353F" w:rsidRPr="003D2A54" w:rsidRDefault="00FA353F" w:rsidP="00FA353F">
      <w:pPr>
        <w:pStyle w:val="SingleTxtG"/>
        <w:ind w:left="1701"/>
        <w:rPr>
          <w:lang w:val="fr-FR"/>
        </w:rPr>
      </w:pPr>
      <w:r>
        <w:rPr>
          <w:lang w:val="fr-FR"/>
        </w:rPr>
        <w:t>« </w:t>
      </w:r>
      <w:r w:rsidRPr="003D2A54">
        <w:rPr>
          <w:lang w:val="fr-FR"/>
        </w:rPr>
        <w:t>Pour les matières radioactives, les dispositions du présent chapitre sont considérées comme satisfaites lorsque les dispositions de la Convention sur la protection physique des matières nucléaires</w:t>
      </w:r>
      <w:r w:rsidRPr="003D2A54">
        <w:rPr>
          <w:strike/>
          <w:vertAlign w:val="superscript"/>
          <w:lang w:val="fr-FR"/>
        </w:rPr>
        <w:t>1</w:t>
      </w:r>
      <w:r w:rsidRPr="003D2A54">
        <w:rPr>
          <w:lang w:val="fr-FR"/>
        </w:rPr>
        <w:t xml:space="preserve"> </w:t>
      </w:r>
      <w:r w:rsidRPr="003D2A54">
        <w:rPr>
          <w:u w:val="single"/>
          <w:lang w:val="fr-FR"/>
        </w:rPr>
        <w:t>(INFCIRC/274/Rev.1, AIEA, Vienne (1980))</w:t>
      </w:r>
      <w:r w:rsidRPr="003D2A54">
        <w:rPr>
          <w:lang w:val="fr-FR"/>
        </w:rPr>
        <w:t xml:space="preserve"> et de la circulaire de l</w:t>
      </w:r>
      <w:r>
        <w:rPr>
          <w:lang w:val="fr-FR"/>
        </w:rPr>
        <w:t>’</w:t>
      </w:r>
      <w:r w:rsidRPr="003D2A54">
        <w:rPr>
          <w:lang w:val="fr-FR"/>
        </w:rPr>
        <w:t xml:space="preserve">AIEA sur </w:t>
      </w:r>
      <w:r w:rsidR="00091BA6">
        <w:rPr>
          <w:lang w:val="fr-FR"/>
        </w:rPr>
        <w:t>« </w:t>
      </w:r>
      <w:r w:rsidRPr="003D2A54">
        <w:rPr>
          <w:lang w:val="fr-FR"/>
        </w:rPr>
        <w:t>La protection physique des matières et des installations nucléaires</w:t>
      </w:r>
      <w:r w:rsidR="00091BA6">
        <w:rPr>
          <w:lang w:val="fr-FR"/>
        </w:rPr>
        <w:t> »</w:t>
      </w:r>
      <w:r w:rsidRPr="003D2A54">
        <w:rPr>
          <w:strike/>
          <w:vertAlign w:val="superscript"/>
          <w:lang w:val="fr-FR"/>
        </w:rPr>
        <w:t>2</w:t>
      </w:r>
      <w:r w:rsidRPr="003D2A54">
        <w:rPr>
          <w:u w:val="single"/>
          <w:lang w:val="fr-FR"/>
        </w:rPr>
        <w:t xml:space="preserve"> (INFCIRC/225/Rev.4 (rectifié)</w:t>
      </w:r>
      <w:r w:rsidRPr="00091BA6">
        <w:rPr>
          <w:u w:val="single"/>
          <w:lang w:val="fr-FR"/>
        </w:rPr>
        <w:t>, AIEA, Vienne (1999))</w:t>
      </w:r>
      <w:r w:rsidRPr="00091BA6">
        <w:rPr>
          <w:lang w:val="fr-FR"/>
        </w:rPr>
        <w:t xml:space="preserve"> </w:t>
      </w:r>
      <w:r w:rsidRPr="003D2A54">
        <w:rPr>
          <w:lang w:val="fr-FR"/>
        </w:rPr>
        <w:t>sont appliquées.</w:t>
      </w:r>
    </w:p>
    <w:p w14:paraId="1CAB6B3B" w14:textId="77777777" w:rsidR="00FA353F" w:rsidRPr="00091BA6" w:rsidRDefault="00FA353F" w:rsidP="00091BA6">
      <w:pPr>
        <w:pStyle w:val="SingleTxtG"/>
        <w:spacing w:after="0"/>
        <w:ind w:left="1701"/>
        <w:rPr>
          <w:strike/>
          <w:sz w:val="18"/>
          <w:szCs w:val="18"/>
          <w:lang w:val="fr-FR"/>
        </w:rPr>
      </w:pPr>
      <w:r w:rsidRPr="00091BA6">
        <w:rPr>
          <w:strike/>
          <w:sz w:val="18"/>
          <w:szCs w:val="18"/>
          <w:vertAlign w:val="superscript"/>
          <w:lang w:val="fr-FR"/>
        </w:rPr>
        <w:t>1</w:t>
      </w:r>
      <w:r w:rsidRPr="00091BA6">
        <w:rPr>
          <w:strike/>
          <w:sz w:val="18"/>
          <w:szCs w:val="18"/>
          <w:lang w:val="fr-FR"/>
        </w:rPr>
        <w:t xml:space="preserve"> </w:t>
      </w:r>
      <w:r w:rsidR="00091BA6">
        <w:rPr>
          <w:strike/>
          <w:sz w:val="18"/>
          <w:szCs w:val="18"/>
          <w:lang w:val="fr-FR"/>
        </w:rPr>
        <w:t xml:space="preserve"> </w:t>
      </w:r>
      <w:r w:rsidRPr="00091BA6">
        <w:rPr>
          <w:strike/>
          <w:sz w:val="18"/>
          <w:szCs w:val="18"/>
          <w:lang w:val="fr-FR"/>
        </w:rPr>
        <w:t>INFCIRC/274/Rev.1, AIEA, Vienne (1980).</w:t>
      </w:r>
    </w:p>
    <w:p w14:paraId="773D84CE" w14:textId="77777777" w:rsidR="00FA353F" w:rsidRPr="003D2A54" w:rsidRDefault="00FA353F" w:rsidP="00091BA6">
      <w:pPr>
        <w:pStyle w:val="SingleTxtG"/>
        <w:ind w:left="1701"/>
        <w:rPr>
          <w:lang w:val="fr-FR"/>
        </w:rPr>
      </w:pPr>
      <w:r w:rsidRPr="00091BA6">
        <w:rPr>
          <w:strike/>
          <w:sz w:val="18"/>
          <w:szCs w:val="18"/>
          <w:vertAlign w:val="superscript"/>
          <w:lang w:val="fr-FR"/>
        </w:rPr>
        <w:t>2</w:t>
      </w:r>
      <w:r w:rsidRPr="00091BA6">
        <w:rPr>
          <w:strike/>
          <w:sz w:val="18"/>
          <w:szCs w:val="18"/>
          <w:lang w:val="fr-FR"/>
        </w:rPr>
        <w:t xml:space="preserve"> </w:t>
      </w:r>
      <w:r w:rsidR="00091BA6">
        <w:rPr>
          <w:strike/>
          <w:sz w:val="18"/>
          <w:szCs w:val="18"/>
          <w:lang w:val="fr-FR"/>
        </w:rPr>
        <w:t xml:space="preserve"> </w:t>
      </w:r>
      <w:r w:rsidRPr="00091BA6">
        <w:rPr>
          <w:strike/>
          <w:sz w:val="18"/>
          <w:szCs w:val="18"/>
          <w:lang w:val="fr-FR"/>
        </w:rPr>
        <w:t>INFCIRC/225/Rev.4 (rectifié), AIEA, Vienne (1999).</w:t>
      </w:r>
      <w:r w:rsidRPr="00091BA6">
        <w:rPr>
          <w:sz w:val="18"/>
          <w:szCs w:val="18"/>
          <w:lang w:val="fr-FR"/>
        </w:rPr>
        <w:t> </w:t>
      </w:r>
      <w:r>
        <w:rPr>
          <w:lang w:val="fr-FR"/>
        </w:rPr>
        <w:t>».</w:t>
      </w:r>
    </w:p>
    <w:p w14:paraId="0E1CD2E4" w14:textId="77777777" w:rsidR="00FA353F" w:rsidRPr="003D2A54" w:rsidRDefault="00FA353F" w:rsidP="00FA353F">
      <w:pPr>
        <w:pStyle w:val="H1G"/>
        <w:rPr>
          <w:lang w:val="fr-FR"/>
        </w:rPr>
      </w:pPr>
      <w:r w:rsidRPr="003D2A54">
        <w:rPr>
          <w:lang w:val="fr-FR"/>
        </w:rPr>
        <w:tab/>
      </w:r>
      <w:r w:rsidRPr="003D2A54">
        <w:rPr>
          <w:lang w:val="fr-FR"/>
        </w:rPr>
        <w:tab/>
      </w:r>
      <w:r w:rsidRPr="003D2A54">
        <w:rPr>
          <w:bCs/>
          <w:lang w:val="fr-FR"/>
        </w:rPr>
        <w:t>Justification</w:t>
      </w:r>
    </w:p>
    <w:p w14:paraId="02D338A4" w14:textId="77777777" w:rsidR="00FA353F" w:rsidRPr="003D2A54" w:rsidRDefault="00FA353F" w:rsidP="00FA353F">
      <w:pPr>
        <w:pStyle w:val="SingleTxtG"/>
        <w:rPr>
          <w:lang w:val="fr-FR"/>
        </w:rPr>
      </w:pPr>
      <w:r w:rsidRPr="003D2A54">
        <w:rPr>
          <w:lang w:val="fr-FR"/>
        </w:rPr>
        <w:t>10.</w:t>
      </w:r>
      <w:r w:rsidRPr="003D2A54">
        <w:rPr>
          <w:lang w:val="fr-FR"/>
        </w:rPr>
        <w:tab/>
        <w:t xml:space="preserve">Cette note de bas de page fournit des renseignements </w:t>
      </w:r>
      <w:r>
        <w:rPr>
          <w:lang w:val="fr-FR"/>
        </w:rPr>
        <w:t>permettant à</w:t>
      </w:r>
      <w:r w:rsidRPr="003D2A54">
        <w:rPr>
          <w:lang w:val="fr-FR"/>
        </w:rPr>
        <w:t xml:space="preserve"> l</w:t>
      </w:r>
      <w:r>
        <w:rPr>
          <w:lang w:val="fr-FR"/>
        </w:rPr>
        <w:t>’</w:t>
      </w:r>
      <w:r w:rsidRPr="003D2A54">
        <w:rPr>
          <w:lang w:val="fr-FR"/>
        </w:rPr>
        <w:t xml:space="preserve">utilisateur </w:t>
      </w:r>
      <w:r>
        <w:rPr>
          <w:lang w:val="fr-FR"/>
        </w:rPr>
        <w:t>d’</w:t>
      </w:r>
      <w:r w:rsidRPr="003D2A54">
        <w:rPr>
          <w:lang w:val="fr-FR"/>
        </w:rPr>
        <w:t xml:space="preserve">évaluer la conformité </w:t>
      </w:r>
      <w:r>
        <w:rPr>
          <w:lang w:val="fr-FR"/>
        </w:rPr>
        <w:t>aux</w:t>
      </w:r>
      <w:r w:rsidRPr="003D2A54">
        <w:rPr>
          <w:lang w:val="fr-FR"/>
        </w:rPr>
        <w:t xml:space="preserve"> prescriptions réglementaires. Il est donc plus pertinent de faire figurer ces renseignements dans le texte du Règlement, ce qui facilitera le report de la prescription correspondante dans le texte faisant foi du Code IMDG. Il convient de noter que les auteurs du document informel INF.27 (cinquante-sixième session) </w:t>
      </w:r>
      <w:r>
        <w:rPr>
          <w:lang w:val="fr-FR"/>
        </w:rPr>
        <w:t>et</w:t>
      </w:r>
      <w:r w:rsidRPr="003D2A54">
        <w:rPr>
          <w:lang w:val="fr-FR"/>
        </w:rPr>
        <w:t xml:space="preserve"> le secrétariat de l</w:t>
      </w:r>
      <w:r>
        <w:rPr>
          <w:lang w:val="fr-FR"/>
        </w:rPr>
        <w:t>’</w:t>
      </w:r>
      <w:r w:rsidRPr="003D2A54">
        <w:rPr>
          <w:lang w:val="fr-FR"/>
        </w:rPr>
        <w:t>OMI ont demandé s</w:t>
      </w:r>
      <w:r>
        <w:rPr>
          <w:lang w:val="fr-FR"/>
        </w:rPr>
        <w:t>’</w:t>
      </w:r>
      <w:r w:rsidRPr="003D2A54">
        <w:rPr>
          <w:lang w:val="fr-FR"/>
        </w:rPr>
        <w:t xml:space="preserve">il fallait incorporer la version la plus récente de la norme à laquelle il est fait référence dans la note de bas de page </w:t>
      </w:r>
      <w:r w:rsidRPr="003D2A54">
        <w:rPr>
          <w:vertAlign w:val="superscript"/>
          <w:lang w:val="fr-FR"/>
        </w:rPr>
        <w:t>1</w:t>
      </w:r>
      <w:r w:rsidRPr="003D2A54">
        <w:rPr>
          <w:lang w:val="fr-FR"/>
        </w:rPr>
        <w:t xml:space="preserve"> de cette section (INFCIRC/274/Rev.1/Mod.1) mais que cette question reste à confirmer.</w:t>
      </w:r>
    </w:p>
    <w:p w14:paraId="7C30ADD0" w14:textId="77777777" w:rsidR="00FA353F" w:rsidRPr="003D2A54" w:rsidRDefault="00FA353F" w:rsidP="00FA353F">
      <w:pPr>
        <w:pStyle w:val="H1G"/>
        <w:rPr>
          <w:lang w:val="fr-FR"/>
        </w:rPr>
      </w:pPr>
      <w:r w:rsidRPr="003D2A54">
        <w:rPr>
          <w:lang w:val="fr-FR"/>
        </w:rPr>
        <w:lastRenderedPageBreak/>
        <w:tab/>
      </w:r>
      <w:r w:rsidRPr="003D2A54">
        <w:rPr>
          <w:lang w:val="fr-FR"/>
        </w:rPr>
        <w:tab/>
      </w:r>
      <w:r w:rsidRPr="003D2A54">
        <w:rPr>
          <w:bCs/>
          <w:lang w:val="fr-FR"/>
        </w:rPr>
        <w:t>Proposition 2</w:t>
      </w:r>
    </w:p>
    <w:p w14:paraId="7288F448" w14:textId="77777777" w:rsidR="00FA353F" w:rsidRPr="003D2A54" w:rsidRDefault="00FA353F" w:rsidP="00091BA6">
      <w:pPr>
        <w:pStyle w:val="SingleTxtG"/>
        <w:rPr>
          <w:lang w:val="fr-FR"/>
        </w:rPr>
      </w:pPr>
      <w:r w:rsidRPr="003D2A54">
        <w:rPr>
          <w:lang w:val="fr-FR"/>
        </w:rPr>
        <w:t>11.</w:t>
      </w:r>
      <w:r w:rsidRPr="003D2A54">
        <w:rPr>
          <w:lang w:val="fr-FR"/>
        </w:rPr>
        <w:tab/>
        <w:t xml:space="preserve">Aux 5.4.1.5.9.2, 5.4.1.5.15, 6.1.3.8 h), 6.2.2.7.2 c), 6.2.2.7.4 n), 6.2.2.7.7 a), 6.2.2.9.2 c), 6.2.2.9.4 a), 6.3.4.2 e), 6.4.23.11 a), 6.5.2.1.1.5, 6.6.3.1 e), 6.7.2.18.1, 6.7.3.14.1, 6.7.4.13.1, 6.7.5.11.1 et 6.9.5.5.1 e), supprimer la note de bas de page relative au </w:t>
      </w:r>
      <w:r>
        <w:rPr>
          <w:lang w:val="fr-FR"/>
        </w:rPr>
        <w:t>« </w:t>
      </w:r>
      <w:r w:rsidRPr="003D2A54">
        <w:rPr>
          <w:lang w:val="fr-FR"/>
        </w:rPr>
        <w:t>Signe distinctif de l</w:t>
      </w:r>
      <w:r>
        <w:rPr>
          <w:lang w:val="fr-FR"/>
        </w:rPr>
        <w:t>’</w:t>
      </w:r>
      <w:r w:rsidRPr="003D2A54">
        <w:rPr>
          <w:lang w:val="fr-FR"/>
        </w:rPr>
        <w:t>État d</w:t>
      </w:r>
      <w:r>
        <w:rPr>
          <w:lang w:val="fr-FR"/>
        </w:rPr>
        <w:t>’</w:t>
      </w:r>
      <w:r w:rsidRPr="003D2A54">
        <w:rPr>
          <w:lang w:val="fr-FR"/>
        </w:rPr>
        <w:t>immatriculation utilisé sur les automobiles et les remorques en circulation routière internationale, par exemple en vertu de la Convention de Genève sur la circulation routière de 1949 ou de la Convention de Vienne sur la circulation routière de 1968</w:t>
      </w:r>
      <w:r>
        <w:rPr>
          <w:lang w:val="fr-FR"/>
        </w:rPr>
        <w:t> »</w:t>
      </w:r>
      <w:r w:rsidRPr="003D2A54">
        <w:rPr>
          <w:lang w:val="fr-FR"/>
        </w:rPr>
        <w:t xml:space="preserve"> et créer, dans la section 1.2.1, une nouvelle définition du signe distinctif utilisé sur les véhicules en circulation routière internationale, libellée comme suit :</w:t>
      </w:r>
    </w:p>
    <w:p w14:paraId="0B105855" w14:textId="77777777" w:rsidR="00FA353F" w:rsidRPr="004A5F6A" w:rsidRDefault="00FA353F" w:rsidP="00FA353F">
      <w:pPr>
        <w:pStyle w:val="SingleTxtG"/>
        <w:ind w:left="1701"/>
        <w:rPr>
          <w:u w:val="single"/>
          <w:lang w:val="fr-FR"/>
        </w:rPr>
      </w:pPr>
      <w:r w:rsidRPr="004A5F6A">
        <w:rPr>
          <w:u w:val="single"/>
          <w:lang w:val="fr-FR"/>
        </w:rPr>
        <w:t>« </w:t>
      </w:r>
      <w:r w:rsidRPr="004A5F6A">
        <w:rPr>
          <w:i/>
          <w:iCs/>
          <w:u w:val="single"/>
          <w:lang w:val="fr-FR"/>
        </w:rPr>
        <w:t>Signe distinctif utilisé sur les véhicules en circulation routière internationale</w:t>
      </w:r>
      <w:r w:rsidRPr="004A5F6A">
        <w:rPr>
          <w:u w:val="single"/>
          <w:lang w:val="fr-FR"/>
        </w:rPr>
        <w:t>, un signe conforme à la Convention de Genève sur la circulation routière de 1949 ou à la Convention de Vienne sur la circulation routière de 1968</w:t>
      </w:r>
      <w:r w:rsidR="004A5F6A" w:rsidRPr="004A5F6A">
        <w:rPr>
          <w:u w:val="single"/>
          <w:lang w:val="fr-FR"/>
        </w:rPr>
        <w:t> </w:t>
      </w:r>
      <w:r w:rsidRPr="004A5F6A">
        <w:rPr>
          <w:u w:val="single"/>
          <w:lang w:val="fr-FR"/>
        </w:rPr>
        <w:t>; ».</w:t>
      </w:r>
    </w:p>
    <w:p w14:paraId="0D197732" w14:textId="77777777" w:rsidR="00FA353F" w:rsidRPr="003D2A54" w:rsidRDefault="00FA353F" w:rsidP="00FA353F">
      <w:pPr>
        <w:pStyle w:val="H1G"/>
        <w:rPr>
          <w:lang w:val="fr-FR"/>
        </w:rPr>
      </w:pPr>
      <w:r w:rsidRPr="003D2A54">
        <w:rPr>
          <w:lang w:val="fr-FR"/>
        </w:rPr>
        <w:tab/>
      </w:r>
      <w:r w:rsidRPr="003D2A54">
        <w:rPr>
          <w:lang w:val="fr-FR"/>
        </w:rPr>
        <w:tab/>
      </w:r>
      <w:r w:rsidRPr="003D2A54">
        <w:rPr>
          <w:bCs/>
          <w:lang w:val="fr-FR"/>
        </w:rPr>
        <w:t>Justification</w:t>
      </w:r>
    </w:p>
    <w:p w14:paraId="24FE6320" w14:textId="77777777" w:rsidR="00FA353F" w:rsidRPr="003D2A54" w:rsidRDefault="00FA353F" w:rsidP="00FA353F">
      <w:pPr>
        <w:pStyle w:val="SingleTxtG"/>
        <w:rPr>
          <w:lang w:val="fr-FR"/>
        </w:rPr>
      </w:pPr>
      <w:r w:rsidRPr="003D2A54">
        <w:rPr>
          <w:lang w:val="fr-FR"/>
        </w:rPr>
        <w:t>12.</w:t>
      </w:r>
      <w:r w:rsidRPr="003D2A54">
        <w:rPr>
          <w:lang w:val="fr-FR"/>
        </w:rPr>
        <w:tab/>
      </w:r>
      <w:r>
        <w:rPr>
          <w:lang w:val="fr-FR"/>
        </w:rPr>
        <w:t>Cette note de bas de page, qui figure à 17 reprises</w:t>
      </w:r>
      <w:r w:rsidRPr="003D2A54">
        <w:rPr>
          <w:lang w:val="fr-FR"/>
        </w:rPr>
        <w:t xml:space="preserve"> dans le Règlement type, </w:t>
      </w:r>
      <w:r>
        <w:rPr>
          <w:lang w:val="fr-FR"/>
        </w:rPr>
        <w:t>pourrait être remplacée par une simple</w:t>
      </w:r>
      <w:r w:rsidRPr="003D2A54">
        <w:rPr>
          <w:lang w:val="fr-FR"/>
        </w:rPr>
        <w:t xml:space="preserve"> définition. Une telle modification facilitera le report des critères de définition ainsi établis dans le texte faisant foi du Code IMDG.</w:t>
      </w:r>
    </w:p>
    <w:p w14:paraId="4E2D91AC" w14:textId="77777777" w:rsidR="00FA353F" w:rsidRPr="003D2A54" w:rsidRDefault="00FA353F" w:rsidP="00FA353F">
      <w:pPr>
        <w:pStyle w:val="H1G"/>
        <w:rPr>
          <w:lang w:val="fr-FR"/>
        </w:rPr>
      </w:pPr>
      <w:r w:rsidRPr="003D2A54">
        <w:rPr>
          <w:lang w:val="fr-FR"/>
        </w:rPr>
        <w:tab/>
      </w:r>
      <w:r w:rsidRPr="003D2A54">
        <w:rPr>
          <w:lang w:val="fr-FR"/>
        </w:rPr>
        <w:tab/>
      </w:r>
      <w:r w:rsidRPr="003D2A54">
        <w:rPr>
          <w:bCs/>
          <w:lang w:val="fr-FR"/>
        </w:rPr>
        <w:t>Proposition 3</w:t>
      </w:r>
    </w:p>
    <w:p w14:paraId="453A6586" w14:textId="77777777" w:rsidR="00FA353F" w:rsidRPr="003D2A54" w:rsidRDefault="00FA353F" w:rsidP="00FA353F">
      <w:pPr>
        <w:pStyle w:val="SingleTxtG"/>
        <w:keepNext/>
        <w:keepLines/>
        <w:rPr>
          <w:lang w:val="fr-FR"/>
        </w:rPr>
      </w:pPr>
      <w:r w:rsidRPr="003D2A54">
        <w:rPr>
          <w:lang w:val="fr-FR"/>
        </w:rPr>
        <w:t>13.</w:t>
      </w:r>
      <w:r w:rsidRPr="003D2A54">
        <w:rPr>
          <w:lang w:val="fr-FR"/>
        </w:rPr>
        <w:tab/>
        <w:t>Modifier le deuxième paragraphe du 5.4.1.6.1 comme suit :</w:t>
      </w:r>
    </w:p>
    <w:p w14:paraId="6C55B10D" w14:textId="77777777" w:rsidR="00FA353F" w:rsidRPr="003D2A54" w:rsidRDefault="00FA353F" w:rsidP="00FA353F">
      <w:pPr>
        <w:pStyle w:val="SingleTxtG"/>
        <w:keepNext/>
        <w:keepLines/>
        <w:ind w:left="1701"/>
        <w:rPr>
          <w:lang w:val="fr-FR"/>
        </w:rPr>
      </w:pPr>
      <w:r>
        <w:rPr>
          <w:lang w:val="fr-FR"/>
        </w:rPr>
        <w:t>« </w:t>
      </w:r>
      <w:r w:rsidRPr="003D2A54">
        <w:rPr>
          <w:lang w:val="fr-FR"/>
        </w:rPr>
        <w:t xml:space="preserve">Je déclare que le contenu de ce chargement est </w:t>
      </w:r>
      <w:r w:rsidRPr="003D2A54">
        <w:rPr>
          <w:u w:val="single"/>
          <w:lang w:val="fr-FR"/>
        </w:rPr>
        <w:t>ici</w:t>
      </w:r>
      <w:r w:rsidRPr="003D2A54">
        <w:rPr>
          <w:lang w:val="fr-FR"/>
        </w:rPr>
        <w:t xml:space="preserve"> décrit </w:t>
      </w:r>
      <w:r w:rsidRPr="003D2A54">
        <w:rPr>
          <w:strike/>
          <w:lang w:val="fr-FR"/>
        </w:rPr>
        <w:t>ci-dessus</w:t>
      </w:r>
      <w:r w:rsidRPr="003D2A54">
        <w:rPr>
          <w:strike/>
          <w:vertAlign w:val="superscript"/>
          <w:lang w:val="fr-FR"/>
        </w:rPr>
        <w:t>4</w:t>
      </w:r>
      <w:r w:rsidRPr="003D2A54">
        <w:rPr>
          <w:lang w:val="fr-FR"/>
        </w:rPr>
        <w:t xml:space="preserve"> de façon complète et exacte par la désignation officielle de transport et qu</w:t>
      </w:r>
      <w:r>
        <w:rPr>
          <w:lang w:val="fr-FR"/>
        </w:rPr>
        <w:t>’</w:t>
      </w:r>
      <w:r w:rsidRPr="003D2A54">
        <w:rPr>
          <w:lang w:val="fr-FR"/>
        </w:rPr>
        <w:t>il est convenablement classé, emballé, marqué, étiqueté, muni de plaques-étiquettes et à tous égards bien conditionné pour être transporté conformément aux réglementations internationales et nationales applicables.</w:t>
      </w:r>
      <w:r>
        <w:rPr>
          <w:lang w:val="fr-FR"/>
        </w:rPr>
        <w:t> ».</w:t>
      </w:r>
    </w:p>
    <w:p w14:paraId="2E7624BA" w14:textId="77777777" w:rsidR="00FA353F" w:rsidRPr="004A5F6A" w:rsidRDefault="004A5F6A" w:rsidP="00FA353F">
      <w:pPr>
        <w:pStyle w:val="SingleTxtG"/>
        <w:ind w:left="1701"/>
        <w:rPr>
          <w:strike/>
          <w:sz w:val="18"/>
          <w:szCs w:val="18"/>
          <w:lang w:val="fr-FR"/>
        </w:rPr>
      </w:pPr>
      <w:r w:rsidRPr="004A5F6A">
        <w:rPr>
          <w:strike/>
          <w:sz w:val="18"/>
          <w:szCs w:val="18"/>
          <w:lang w:val="fr-FR"/>
        </w:rPr>
        <w:t>« </w:t>
      </w:r>
      <w:r w:rsidR="00FA353F" w:rsidRPr="004A5F6A">
        <w:rPr>
          <w:strike/>
          <w:sz w:val="18"/>
          <w:szCs w:val="18"/>
          <w:vertAlign w:val="superscript"/>
          <w:lang w:val="fr-FR"/>
        </w:rPr>
        <w:t>4</w:t>
      </w:r>
      <w:r w:rsidR="00FA353F" w:rsidRPr="004A5F6A">
        <w:rPr>
          <w:strike/>
          <w:sz w:val="18"/>
          <w:szCs w:val="18"/>
          <w:lang w:val="fr-FR"/>
        </w:rPr>
        <w:t xml:space="preserve"> ou ci-dessous.</w:t>
      </w:r>
      <w:r w:rsidRPr="004A5F6A">
        <w:rPr>
          <w:strike/>
          <w:sz w:val="18"/>
          <w:szCs w:val="18"/>
          <w:lang w:val="fr-FR"/>
        </w:rPr>
        <w:t> »</w:t>
      </w:r>
    </w:p>
    <w:p w14:paraId="056BC7B8" w14:textId="77777777" w:rsidR="00FA353F" w:rsidRPr="003D2A54" w:rsidRDefault="00FA353F" w:rsidP="00FA353F">
      <w:pPr>
        <w:pStyle w:val="H1G"/>
        <w:rPr>
          <w:lang w:val="fr-FR"/>
        </w:rPr>
      </w:pPr>
      <w:r w:rsidRPr="003D2A54">
        <w:rPr>
          <w:lang w:val="fr-FR"/>
        </w:rPr>
        <w:tab/>
      </w:r>
      <w:r w:rsidRPr="003D2A54">
        <w:rPr>
          <w:lang w:val="fr-FR"/>
        </w:rPr>
        <w:tab/>
      </w:r>
      <w:r w:rsidRPr="003D2A54">
        <w:rPr>
          <w:bCs/>
          <w:lang w:val="fr-FR"/>
        </w:rPr>
        <w:t>Justification</w:t>
      </w:r>
    </w:p>
    <w:p w14:paraId="12D990A6" w14:textId="77777777" w:rsidR="00FA353F" w:rsidRPr="003D2A54" w:rsidRDefault="00FA353F" w:rsidP="00FA353F">
      <w:pPr>
        <w:pStyle w:val="SingleTxtG"/>
        <w:rPr>
          <w:lang w:val="fr-FR"/>
        </w:rPr>
      </w:pPr>
      <w:r w:rsidRPr="003D2A54">
        <w:rPr>
          <w:lang w:val="fr-FR"/>
        </w:rPr>
        <w:t>14.</w:t>
      </w:r>
      <w:r w:rsidRPr="003D2A54">
        <w:rPr>
          <w:lang w:val="fr-FR"/>
        </w:rPr>
        <w:tab/>
        <w:t>Cette note de bas de page donne une équivalence acceptable pour une prescription réglementaire (c</w:t>
      </w:r>
      <w:r>
        <w:rPr>
          <w:lang w:val="fr-FR"/>
        </w:rPr>
        <w:t>’</w:t>
      </w:r>
      <w:r w:rsidRPr="003D2A54">
        <w:rPr>
          <w:lang w:val="fr-FR"/>
        </w:rPr>
        <w:t xml:space="preserve">est-à-dire une formulation particulière). Il est préférable de </w:t>
      </w:r>
      <w:r>
        <w:rPr>
          <w:lang w:val="fr-FR"/>
        </w:rPr>
        <w:t>faire figurer les différentes possibilités</w:t>
      </w:r>
      <w:r w:rsidRPr="003D2A54">
        <w:rPr>
          <w:lang w:val="fr-FR"/>
        </w:rPr>
        <w:t xml:space="preserve"> dans le corps du texte réglementaire. L</w:t>
      </w:r>
      <w:r>
        <w:rPr>
          <w:lang w:val="fr-FR"/>
        </w:rPr>
        <w:t>’</w:t>
      </w:r>
      <w:r w:rsidRPr="003D2A54">
        <w:rPr>
          <w:lang w:val="fr-FR"/>
        </w:rPr>
        <w:t>emploi d</w:t>
      </w:r>
      <w:r>
        <w:rPr>
          <w:lang w:val="fr-FR"/>
        </w:rPr>
        <w:t>’</w:t>
      </w:r>
      <w:r w:rsidRPr="003D2A54">
        <w:rPr>
          <w:lang w:val="fr-FR"/>
        </w:rPr>
        <w:t xml:space="preserve">un terme plus général tel que </w:t>
      </w:r>
      <w:r>
        <w:rPr>
          <w:lang w:val="fr-FR"/>
        </w:rPr>
        <w:t>« </w:t>
      </w:r>
      <w:r w:rsidRPr="003D2A54">
        <w:rPr>
          <w:lang w:val="fr-FR"/>
        </w:rPr>
        <w:t>ici</w:t>
      </w:r>
      <w:r>
        <w:rPr>
          <w:lang w:val="fr-FR"/>
        </w:rPr>
        <w:t> »</w:t>
      </w:r>
      <w:r w:rsidRPr="003D2A54">
        <w:rPr>
          <w:lang w:val="fr-FR"/>
        </w:rPr>
        <w:t xml:space="preserve"> </w:t>
      </w:r>
      <w:r>
        <w:rPr>
          <w:lang w:val="fr-FR"/>
        </w:rPr>
        <w:t>permet de prévoir</w:t>
      </w:r>
      <w:r w:rsidRPr="003D2A54">
        <w:rPr>
          <w:lang w:val="fr-FR"/>
        </w:rPr>
        <w:t xml:space="preserve"> les cas où l</w:t>
      </w:r>
      <w:r>
        <w:rPr>
          <w:lang w:val="fr-FR"/>
        </w:rPr>
        <w:t>’</w:t>
      </w:r>
      <w:r w:rsidRPr="003D2A54">
        <w:rPr>
          <w:lang w:val="fr-FR"/>
        </w:rPr>
        <w:t>information requise est placée au</w:t>
      </w:r>
      <w:r w:rsidR="004A5F6A">
        <w:rPr>
          <w:lang w:val="fr-FR"/>
        </w:rPr>
        <w:noBreakHyphen/>
      </w:r>
      <w:r w:rsidRPr="003D2A54">
        <w:rPr>
          <w:lang w:val="fr-FR"/>
        </w:rPr>
        <w:t>dessus ou au-dessous de la certification sur le document de transport. S</w:t>
      </w:r>
      <w:r>
        <w:rPr>
          <w:lang w:val="fr-FR"/>
        </w:rPr>
        <w:t>’</w:t>
      </w:r>
      <w:r w:rsidRPr="003D2A54">
        <w:rPr>
          <w:lang w:val="fr-FR"/>
        </w:rPr>
        <w:t>il n</w:t>
      </w:r>
      <w:r>
        <w:rPr>
          <w:lang w:val="fr-FR"/>
        </w:rPr>
        <w:t>’</w:t>
      </w:r>
      <w:r w:rsidRPr="003D2A54">
        <w:rPr>
          <w:lang w:val="fr-FR"/>
        </w:rPr>
        <w:t>est pas souhaitable d</w:t>
      </w:r>
      <w:r>
        <w:rPr>
          <w:lang w:val="fr-FR"/>
        </w:rPr>
        <w:t>’</w:t>
      </w:r>
      <w:r w:rsidRPr="003D2A54">
        <w:rPr>
          <w:lang w:val="fr-FR"/>
        </w:rPr>
        <w:t>opérer cette modification au motif qu</w:t>
      </w:r>
      <w:r>
        <w:rPr>
          <w:lang w:val="fr-FR"/>
        </w:rPr>
        <w:t>’</w:t>
      </w:r>
      <w:r w:rsidRPr="003D2A54">
        <w:rPr>
          <w:lang w:val="fr-FR"/>
        </w:rPr>
        <w:t>il faudrait, pour ce faire, apporter des changements à des documents préimprimés existants ou bien effectuer d</w:t>
      </w:r>
      <w:r>
        <w:rPr>
          <w:lang w:val="fr-FR"/>
        </w:rPr>
        <w:t>’</w:t>
      </w:r>
      <w:r w:rsidRPr="003D2A54">
        <w:rPr>
          <w:lang w:val="fr-FR"/>
        </w:rPr>
        <w:t xml:space="preserve">éventuelles mises à jour logicielles, la possibilité de recourir à un nota </w:t>
      </w:r>
      <w:r>
        <w:rPr>
          <w:lang w:val="fr-FR"/>
        </w:rPr>
        <w:t xml:space="preserve">plutôt qu’à </w:t>
      </w:r>
      <w:r w:rsidRPr="003D2A54">
        <w:rPr>
          <w:lang w:val="fr-FR"/>
        </w:rPr>
        <w:t xml:space="preserve">une note de bas de page devrait être </w:t>
      </w:r>
      <w:r>
        <w:rPr>
          <w:lang w:val="fr-FR"/>
        </w:rPr>
        <w:t>envisagée</w:t>
      </w:r>
      <w:r w:rsidRPr="003D2A54">
        <w:rPr>
          <w:lang w:val="fr-FR"/>
        </w:rPr>
        <w:t>.</w:t>
      </w:r>
    </w:p>
    <w:p w14:paraId="3F8EE9A0" w14:textId="77777777" w:rsidR="00FA353F" w:rsidRPr="003D2A54" w:rsidRDefault="00FA353F" w:rsidP="00FA353F">
      <w:pPr>
        <w:pStyle w:val="H1G"/>
        <w:rPr>
          <w:lang w:val="fr-FR"/>
        </w:rPr>
      </w:pPr>
      <w:r w:rsidRPr="003D2A54">
        <w:rPr>
          <w:lang w:val="fr-FR"/>
        </w:rPr>
        <w:tab/>
      </w:r>
      <w:r w:rsidRPr="003D2A54">
        <w:rPr>
          <w:lang w:val="fr-FR"/>
        </w:rPr>
        <w:tab/>
      </w:r>
      <w:r w:rsidRPr="003D2A54">
        <w:rPr>
          <w:bCs/>
          <w:lang w:val="fr-FR"/>
        </w:rPr>
        <w:t>Proposition 4</w:t>
      </w:r>
    </w:p>
    <w:p w14:paraId="68A5773D" w14:textId="77777777" w:rsidR="00FA353F" w:rsidRPr="003D2A54" w:rsidRDefault="00FA353F" w:rsidP="00FA353F">
      <w:pPr>
        <w:pStyle w:val="SingleTxtG"/>
        <w:rPr>
          <w:lang w:val="fr-FR"/>
        </w:rPr>
      </w:pPr>
      <w:r w:rsidRPr="003D2A54">
        <w:rPr>
          <w:lang w:val="fr-FR"/>
        </w:rPr>
        <w:t>15.</w:t>
      </w:r>
      <w:r w:rsidRPr="003D2A54">
        <w:rPr>
          <w:lang w:val="fr-FR"/>
        </w:rPr>
        <w:tab/>
        <w:t>Au 6.2.4.3 c), lire</w:t>
      </w:r>
      <w:r w:rsidR="004A5F6A">
        <w:rPr>
          <w:lang w:val="fr-FR"/>
        </w:rPr>
        <w:t> </w:t>
      </w:r>
      <w:r w:rsidRPr="003D2A54">
        <w:rPr>
          <w:lang w:val="fr-FR"/>
        </w:rPr>
        <w:t>:</w:t>
      </w:r>
    </w:p>
    <w:p w14:paraId="2EDC5061" w14:textId="77777777" w:rsidR="00FA353F" w:rsidRPr="003D2A54" w:rsidRDefault="00FA353F" w:rsidP="00FA353F">
      <w:pPr>
        <w:pStyle w:val="SingleTxtG"/>
        <w:ind w:left="1701"/>
        <w:rPr>
          <w:u w:val="single"/>
          <w:lang w:val="fr-FR"/>
        </w:rPr>
      </w:pPr>
      <w:r>
        <w:rPr>
          <w:lang w:val="fr-FR"/>
        </w:rPr>
        <w:t>« </w:t>
      </w:r>
      <w:r w:rsidRPr="003D2A54">
        <w:rPr>
          <w:lang w:val="fr-FR"/>
        </w:rPr>
        <w:t>c)</w:t>
      </w:r>
      <w:r w:rsidR="004A5F6A">
        <w:rPr>
          <w:lang w:val="fr-FR"/>
        </w:rPr>
        <w:tab/>
      </w:r>
      <w:r w:rsidRPr="003D2A54">
        <w:rPr>
          <w:lang w:val="fr-FR"/>
        </w:rPr>
        <w:t>pour les produits pharmaceutiques conformément aux a) i) et iii) ci-dessus, ils soient fabriqués sous l</w:t>
      </w:r>
      <w:r>
        <w:rPr>
          <w:lang w:val="fr-FR"/>
        </w:rPr>
        <w:t>’</w:t>
      </w:r>
      <w:r w:rsidRPr="003D2A54">
        <w:rPr>
          <w:lang w:val="fr-FR"/>
        </w:rPr>
        <w:t>autorité d</w:t>
      </w:r>
      <w:r>
        <w:rPr>
          <w:lang w:val="fr-FR"/>
        </w:rPr>
        <w:t>’</w:t>
      </w:r>
      <w:r w:rsidRPr="003D2A54">
        <w:rPr>
          <w:lang w:val="fr-FR"/>
        </w:rPr>
        <w:t>une administration médicale nationale. Si cela est exigé par l</w:t>
      </w:r>
      <w:r>
        <w:rPr>
          <w:lang w:val="fr-FR"/>
        </w:rPr>
        <w:t>’</w:t>
      </w:r>
      <w:r w:rsidRPr="003D2A54">
        <w:rPr>
          <w:lang w:val="fr-FR"/>
        </w:rPr>
        <w:t>autorité compétente, les principes de bonnes pratiques de fabrication établis par l</w:t>
      </w:r>
      <w:r>
        <w:rPr>
          <w:lang w:val="fr-FR"/>
        </w:rPr>
        <w:t>’</w:t>
      </w:r>
      <w:r w:rsidRPr="003D2A54">
        <w:rPr>
          <w:lang w:val="fr-FR"/>
        </w:rPr>
        <w:t>Organisation mondiale de la santé (OMS)</w:t>
      </w:r>
      <w:r w:rsidRPr="003D2A54">
        <w:rPr>
          <w:strike/>
          <w:vertAlign w:val="superscript"/>
          <w:lang w:val="fr-FR"/>
        </w:rPr>
        <w:t>3</w:t>
      </w:r>
      <w:r w:rsidRPr="003D2A54">
        <w:rPr>
          <w:lang w:val="fr-FR"/>
        </w:rPr>
        <w:t xml:space="preserve"> doivent être suivis </w:t>
      </w:r>
      <w:r w:rsidRPr="004A5F6A">
        <w:rPr>
          <w:u w:val="single"/>
          <w:lang w:val="fr-FR"/>
        </w:rPr>
        <w:t xml:space="preserve">(voir Publication de l’OMS intitulée </w:t>
      </w:r>
      <w:r w:rsidR="004A5F6A" w:rsidRPr="004A5F6A">
        <w:rPr>
          <w:u w:val="single"/>
        </w:rPr>
        <w:t>“</w:t>
      </w:r>
      <w:r w:rsidRPr="004A5F6A">
        <w:rPr>
          <w:u w:val="single"/>
          <w:lang w:val="fr-FR"/>
        </w:rPr>
        <w:t>Assurance de la qualité des produits pharmaceutiques. Recueil de directives et autres documents. Volume 2: Bonnes pratiques de fabrication et inspection</w:t>
      </w:r>
      <w:r w:rsidR="004A5F6A" w:rsidRPr="004A5F6A">
        <w:rPr>
          <w:u w:val="single"/>
        </w:rPr>
        <w:t>”</w:t>
      </w:r>
      <w:r w:rsidRPr="004A5F6A">
        <w:rPr>
          <w:u w:val="single"/>
          <w:lang w:val="fr-FR"/>
        </w:rPr>
        <w:t>).</w:t>
      </w:r>
      <w:r w:rsidRPr="004A5F6A">
        <w:rPr>
          <w:lang w:val="fr-FR"/>
        </w:rPr>
        <w:t> ».</w:t>
      </w:r>
    </w:p>
    <w:p w14:paraId="55045E52" w14:textId="77777777" w:rsidR="00FA353F" w:rsidRPr="004A5F6A" w:rsidRDefault="004A5F6A" w:rsidP="00FA353F">
      <w:pPr>
        <w:pStyle w:val="SingleTxtG"/>
        <w:ind w:left="1701"/>
        <w:rPr>
          <w:strike/>
          <w:sz w:val="18"/>
          <w:szCs w:val="18"/>
          <w:lang w:val="fr-FR"/>
        </w:rPr>
      </w:pPr>
      <w:r w:rsidRPr="004A5F6A">
        <w:rPr>
          <w:strike/>
          <w:sz w:val="18"/>
          <w:szCs w:val="18"/>
          <w:lang w:val="fr-FR"/>
        </w:rPr>
        <w:lastRenderedPageBreak/>
        <w:t>« </w:t>
      </w:r>
      <w:r w:rsidR="00FA353F" w:rsidRPr="004A5F6A">
        <w:rPr>
          <w:strike/>
          <w:sz w:val="18"/>
          <w:szCs w:val="18"/>
          <w:vertAlign w:val="superscript"/>
          <w:lang w:val="fr-FR"/>
        </w:rPr>
        <w:t>3</w:t>
      </w:r>
      <w:r w:rsidR="00FA353F" w:rsidRPr="004A5F6A">
        <w:rPr>
          <w:strike/>
          <w:sz w:val="18"/>
          <w:szCs w:val="18"/>
          <w:lang w:val="fr-FR"/>
        </w:rPr>
        <w:t xml:space="preserve"> Publication de l’OMS intitulée Assurance de la qualité des produits pharmaceutiques. Recueil de directives et autres documents. Volume 2</w:t>
      </w:r>
      <w:r>
        <w:rPr>
          <w:strike/>
          <w:sz w:val="18"/>
          <w:szCs w:val="18"/>
          <w:lang w:val="fr-FR"/>
        </w:rPr>
        <w:t> </w:t>
      </w:r>
      <w:r w:rsidR="00FA353F" w:rsidRPr="004A5F6A">
        <w:rPr>
          <w:strike/>
          <w:sz w:val="18"/>
          <w:szCs w:val="18"/>
          <w:lang w:val="fr-FR"/>
        </w:rPr>
        <w:t>: Bonnes pratiques de fabrication et inspection</w:t>
      </w:r>
      <w:r w:rsidRPr="004A5F6A">
        <w:rPr>
          <w:strike/>
          <w:sz w:val="18"/>
          <w:szCs w:val="18"/>
          <w:lang w:val="fr-FR"/>
        </w:rPr>
        <w:t> »</w:t>
      </w:r>
      <w:r w:rsidR="00FA353F" w:rsidRPr="004A5F6A">
        <w:rPr>
          <w:strike/>
          <w:sz w:val="18"/>
          <w:szCs w:val="18"/>
          <w:lang w:val="fr-FR"/>
        </w:rPr>
        <w:t>.</w:t>
      </w:r>
    </w:p>
    <w:p w14:paraId="23A35BC3" w14:textId="77777777" w:rsidR="00FA353F" w:rsidRPr="003D2A54" w:rsidRDefault="00FA353F" w:rsidP="00FA353F">
      <w:pPr>
        <w:pStyle w:val="H1G"/>
        <w:rPr>
          <w:lang w:val="fr-FR"/>
        </w:rPr>
      </w:pPr>
      <w:r w:rsidRPr="003D2A54">
        <w:rPr>
          <w:lang w:val="fr-FR"/>
        </w:rPr>
        <w:tab/>
      </w:r>
      <w:r w:rsidRPr="003D2A54">
        <w:rPr>
          <w:lang w:val="fr-FR"/>
        </w:rPr>
        <w:tab/>
      </w:r>
      <w:r w:rsidRPr="003D2A54">
        <w:rPr>
          <w:bCs/>
          <w:lang w:val="fr-FR"/>
        </w:rPr>
        <w:t>Justification</w:t>
      </w:r>
    </w:p>
    <w:p w14:paraId="4D0417DD" w14:textId="77777777" w:rsidR="00FA353F" w:rsidRPr="003D2A54" w:rsidRDefault="00FA353F" w:rsidP="00FA353F">
      <w:pPr>
        <w:pStyle w:val="SingleTxtG"/>
        <w:rPr>
          <w:lang w:val="fr-FR"/>
        </w:rPr>
      </w:pPr>
      <w:r w:rsidRPr="003D2A54">
        <w:rPr>
          <w:lang w:val="fr-FR"/>
        </w:rPr>
        <w:t>16.</w:t>
      </w:r>
      <w:r w:rsidRPr="003D2A54">
        <w:rPr>
          <w:lang w:val="fr-FR"/>
        </w:rPr>
        <w:tab/>
        <w:t>Même s</w:t>
      </w:r>
      <w:r>
        <w:rPr>
          <w:lang w:val="fr-FR"/>
        </w:rPr>
        <w:t>’</w:t>
      </w:r>
      <w:r w:rsidRPr="003D2A54">
        <w:rPr>
          <w:lang w:val="fr-FR"/>
        </w:rPr>
        <w:t>il appartient à l</w:t>
      </w:r>
      <w:r>
        <w:rPr>
          <w:lang w:val="fr-FR"/>
        </w:rPr>
        <w:t>’</w:t>
      </w:r>
      <w:r w:rsidRPr="003D2A54">
        <w:rPr>
          <w:lang w:val="fr-FR"/>
        </w:rPr>
        <w:t>autorité compétente de rendre ou non obligatoire l</w:t>
      </w:r>
      <w:r>
        <w:rPr>
          <w:lang w:val="fr-FR"/>
        </w:rPr>
        <w:t>’</w:t>
      </w:r>
      <w:r w:rsidRPr="003D2A54">
        <w:rPr>
          <w:lang w:val="fr-FR"/>
        </w:rPr>
        <w:t>application du document, il sera, le cas échéant, plus pertinent de placer la référence dans le corps du texte réglementaire. L</w:t>
      </w:r>
      <w:r>
        <w:rPr>
          <w:lang w:val="fr-FR"/>
        </w:rPr>
        <w:t>’</w:t>
      </w:r>
      <w:r w:rsidRPr="003D2A54">
        <w:rPr>
          <w:lang w:val="fr-FR"/>
        </w:rPr>
        <w:t xml:space="preserve">emplacement de cette référence ne devrait avoir aucune incidence </w:t>
      </w:r>
      <w:r>
        <w:rPr>
          <w:lang w:val="fr-FR"/>
        </w:rPr>
        <w:t>pour</w:t>
      </w:r>
      <w:r w:rsidRPr="003D2A54">
        <w:rPr>
          <w:lang w:val="fr-FR"/>
        </w:rPr>
        <w:t xml:space="preserve"> les expéditeurs ou les transporteurs</w:t>
      </w:r>
      <w:r>
        <w:rPr>
          <w:lang w:val="fr-FR"/>
        </w:rPr>
        <w:t>,</w:t>
      </w:r>
      <w:r w:rsidRPr="003D2A54">
        <w:rPr>
          <w:lang w:val="fr-FR"/>
        </w:rPr>
        <w:t xml:space="preserve"> mais</w:t>
      </w:r>
      <w:r>
        <w:rPr>
          <w:lang w:val="fr-FR"/>
        </w:rPr>
        <w:t xml:space="preserve"> cela</w:t>
      </w:r>
      <w:r w:rsidRPr="003D2A54">
        <w:rPr>
          <w:lang w:val="fr-FR"/>
        </w:rPr>
        <w:t xml:space="preserve"> devrait faciliter son report dans le texte faisant foi du Code IMDG.</w:t>
      </w:r>
    </w:p>
    <w:p w14:paraId="311452D3" w14:textId="77777777" w:rsidR="00FA353F" w:rsidRPr="003D2A54" w:rsidRDefault="00FA353F" w:rsidP="00FA353F">
      <w:pPr>
        <w:pStyle w:val="H1G"/>
        <w:rPr>
          <w:lang w:val="fr-FR"/>
        </w:rPr>
      </w:pPr>
      <w:r w:rsidRPr="003D2A54">
        <w:rPr>
          <w:lang w:val="fr-FR"/>
        </w:rPr>
        <w:tab/>
      </w:r>
      <w:r w:rsidRPr="003D2A54">
        <w:rPr>
          <w:lang w:val="fr-FR"/>
        </w:rPr>
        <w:tab/>
      </w:r>
      <w:r w:rsidRPr="003D2A54">
        <w:rPr>
          <w:bCs/>
          <w:lang w:val="fr-FR"/>
        </w:rPr>
        <w:t>Proposition 5</w:t>
      </w:r>
    </w:p>
    <w:p w14:paraId="73BA44D0" w14:textId="77777777" w:rsidR="00FA353F" w:rsidRPr="003D2A54" w:rsidRDefault="00FA353F" w:rsidP="00FA353F">
      <w:pPr>
        <w:pStyle w:val="SingleTxtG"/>
        <w:rPr>
          <w:lang w:val="fr-FR"/>
        </w:rPr>
      </w:pPr>
      <w:r w:rsidRPr="003D2A54">
        <w:rPr>
          <w:lang w:val="fr-FR"/>
        </w:rPr>
        <w:t>17.</w:t>
      </w:r>
      <w:r w:rsidRPr="003D2A54">
        <w:rPr>
          <w:lang w:val="fr-FR"/>
        </w:rPr>
        <w:tab/>
        <w:t xml:space="preserve">Aux 6.7.2.20.1, 6.7.3.16.1, 6.7.4.15.1 et 6.7.5.13.1, remplacer chaque occurrence de la note de bas de page </w:t>
      </w:r>
      <w:r>
        <w:rPr>
          <w:lang w:val="fr-FR"/>
        </w:rPr>
        <w:t>« </w:t>
      </w:r>
      <w:r w:rsidRPr="003D2A54">
        <w:rPr>
          <w:vertAlign w:val="superscript"/>
          <w:lang w:val="fr-FR"/>
        </w:rPr>
        <w:t>3</w:t>
      </w:r>
      <w:r>
        <w:rPr>
          <w:lang w:val="fr-FR"/>
        </w:rPr>
        <w:t> »</w:t>
      </w:r>
      <w:r w:rsidRPr="003D2A54">
        <w:rPr>
          <w:lang w:val="fr-FR"/>
        </w:rPr>
        <w:t xml:space="preserve">par </w:t>
      </w:r>
      <w:r>
        <w:rPr>
          <w:lang w:val="fr-FR"/>
        </w:rPr>
        <w:t>« </w:t>
      </w:r>
      <w:r w:rsidRPr="003D2A54">
        <w:rPr>
          <w:u w:val="single"/>
          <w:lang w:val="fr-FR"/>
        </w:rPr>
        <w:t>l</w:t>
      </w:r>
      <w:r>
        <w:rPr>
          <w:u w:val="single"/>
          <w:lang w:val="fr-FR"/>
        </w:rPr>
        <w:t>’</w:t>
      </w:r>
      <w:r w:rsidRPr="003D2A54">
        <w:rPr>
          <w:u w:val="single"/>
          <w:lang w:val="fr-FR"/>
        </w:rPr>
        <w:t>unité utilisée doit être indiquée</w:t>
      </w:r>
      <w:r>
        <w:rPr>
          <w:lang w:val="fr-FR"/>
        </w:rPr>
        <w:t> »</w:t>
      </w:r>
      <w:r w:rsidRPr="003D2A54">
        <w:rPr>
          <w:lang w:val="fr-FR"/>
        </w:rPr>
        <w:t xml:space="preserve"> et supprimer la note de bas de page </w:t>
      </w:r>
      <w:r>
        <w:rPr>
          <w:lang w:val="fr-FR"/>
        </w:rPr>
        <w:t>« </w:t>
      </w:r>
      <w:r w:rsidRPr="003D2A54">
        <w:rPr>
          <w:vertAlign w:val="superscript"/>
          <w:lang w:val="fr-FR"/>
        </w:rPr>
        <w:t>3</w:t>
      </w:r>
      <w:r>
        <w:rPr>
          <w:lang w:val="fr-FR"/>
        </w:rPr>
        <w:t> »</w:t>
      </w:r>
      <w:r w:rsidRPr="003D2A54">
        <w:rPr>
          <w:lang w:val="fr-FR"/>
        </w:rPr>
        <w:t xml:space="preserve"> existante.</w:t>
      </w:r>
    </w:p>
    <w:p w14:paraId="4BEEC970" w14:textId="77777777" w:rsidR="00FA353F" w:rsidRPr="003D2A54" w:rsidRDefault="00FA353F" w:rsidP="00FA353F">
      <w:pPr>
        <w:pStyle w:val="H1G"/>
        <w:rPr>
          <w:lang w:val="fr-FR"/>
        </w:rPr>
      </w:pPr>
      <w:r w:rsidRPr="003D2A54">
        <w:rPr>
          <w:lang w:val="fr-FR"/>
        </w:rPr>
        <w:tab/>
      </w:r>
      <w:r w:rsidRPr="003D2A54">
        <w:rPr>
          <w:lang w:val="fr-FR"/>
        </w:rPr>
        <w:tab/>
      </w:r>
      <w:r w:rsidRPr="003D2A54">
        <w:rPr>
          <w:bCs/>
          <w:lang w:val="fr-FR"/>
        </w:rPr>
        <w:t>Justification</w:t>
      </w:r>
    </w:p>
    <w:p w14:paraId="22B29A7E" w14:textId="77777777" w:rsidR="00FA353F" w:rsidRPr="003D2A54" w:rsidRDefault="00FA353F" w:rsidP="00FA353F">
      <w:pPr>
        <w:pStyle w:val="SingleTxtG"/>
        <w:rPr>
          <w:lang w:val="fr-FR"/>
        </w:rPr>
      </w:pPr>
      <w:r w:rsidRPr="003D2A54">
        <w:rPr>
          <w:lang w:val="fr-FR"/>
        </w:rPr>
        <w:t>18.</w:t>
      </w:r>
      <w:r w:rsidRPr="003D2A54">
        <w:rPr>
          <w:lang w:val="fr-FR"/>
        </w:rPr>
        <w:tab/>
        <w:t xml:space="preserve">À chaque occurrence de la note de bas de page </w:t>
      </w:r>
      <w:r>
        <w:rPr>
          <w:lang w:val="fr-FR"/>
        </w:rPr>
        <w:t>« </w:t>
      </w:r>
      <w:r w:rsidRPr="003D2A54">
        <w:rPr>
          <w:vertAlign w:val="superscript"/>
          <w:lang w:val="fr-FR"/>
        </w:rPr>
        <w:t>3</w:t>
      </w:r>
      <w:r>
        <w:rPr>
          <w:lang w:val="fr-FR"/>
        </w:rPr>
        <w:t> »</w:t>
      </w:r>
      <w:r w:rsidRPr="003D2A54">
        <w:rPr>
          <w:lang w:val="fr-FR"/>
        </w:rPr>
        <w:t>, il est demandé à l</w:t>
      </w:r>
      <w:r>
        <w:rPr>
          <w:lang w:val="fr-FR"/>
        </w:rPr>
        <w:t>’</w:t>
      </w:r>
      <w:r w:rsidRPr="003D2A54">
        <w:rPr>
          <w:lang w:val="fr-FR"/>
        </w:rPr>
        <w:t>utilisateur d</w:t>
      </w:r>
      <w:r>
        <w:rPr>
          <w:lang w:val="fr-FR"/>
        </w:rPr>
        <w:t>’</w:t>
      </w:r>
      <w:r w:rsidRPr="003D2A54">
        <w:rPr>
          <w:lang w:val="fr-FR"/>
        </w:rPr>
        <w:t>indiquer la bonne unité de mesure (par exemple, pression manométrique en bar ou en kPa) sur différentes plaques portées par des citernes mobiles ou des CGEM. Il est plus pertinent de faire figurer cette information, de nature réglementaire, dans la section elle</w:t>
      </w:r>
      <w:r w:rsidR="004A5F6A">
        <w:rPr>
          <w:lang w:val="fr-FR"/>
        </w:rPr>
        <w:noBreakHyphen/>
      </w:r>
      <w:r w:rsidRPr="003D2A54">
        <w:rPr>
          <w:lang w:val="fr-FR"/>
        </w:rPr>
        <w:t>même, ce qui facilitera le report de la prescription dans le texte faisant foi du Code IMDG.</w:t>
      </w:r>
    </w:p>
    <w:p w14:paraId="38DD8E38" w14:textId="77777777" w:rsidR="00FA353F" w:rsidRPr="003D2A54" w:rsidRDefault="00FA353F" w:rsidP="00FA353F">
      <w:pPr>
        <w:pStyle w:val="H1G"/>
        <w:rPr>
          <w:lang w:val="fr-FR"/>
        </w:rPr>
      </w:pPr>
      <w:r w:rsidRPr="003D2A54">
        <w:rPr>
          <w:lang w:val="fr-FR"/>
        </w:rPr>
        <w:tab/>
      </w:r>
      <w:r w:rsidRPr="003D2A54">
        <w:rPr>
          <w:lang w:val="fr-FR"/>
        </w:rPr>
        <w:tab/>
      </w:r>
      <w:r w:rsidRPr="003D2A54">
        <w:rPr>
          <w:bCs/>
          <w:lang w:val="fr-FR"/>
        </w:rPr>
        <w:t>Proposition 6</w:t>
      </w:r>
    </w:p>
    <w:p w14:paraId="26A5C7E5" w14:textId="77777777" w:rsidR="00FA353F" w:rsidRPr="003D2A54" w:rsidRDefault="00FA353F" w:rsidP="004A5F6A">
      <w:pPr>
        <w:pStyle w:val="SingleTxtG"/>
        <w:rPr>
          <w:lang w:val="fr-FR"/>
        </w:rPr>
      </w:pPr>
      <w:r w:rsidRPr="003D2A54">
        <w:rPr>
          <w:lang w:val="fr-FR"/>
        </w:rPr>
        <w:t>19.</w:t>
      </w:r>
      <w:r w:rsidRPr="003D2A54">
        <w:rPr>
          <w:lang w:val="fr-FR"/>
        </w:rPr>
        <w:tab/>
        <w:t xml:space="preserve">Au 6.7.3.8.1.1, supprimer la note de bas de page </w:t>
      </w:r>
      <w:r>
        <w:rPr>
          <w:lang w:val="fr-FR"/>
        </w:rPr>
        <w:t>« </w:t>
      </w:r>
      <w:r w:rsidRPr="003D2A54">
        <w:rPr>
          <w:vertAlign w:val="superscript"/>
          <w:lang w:val="fr-FR"/>
        </w:rPr>
        <w:t>4</w:t>
      </w:r>
      <w:r>
        <w:rPr>
          <w:lang w:val="fr-FR"/>
        </w:rPr>
        <w:t> »</w:t>
      </w:r>
      <w:r w:rsidRPr="003D2A54">
        <w:rPr>
          <w:lang w:val="fr-FR"/>
        </w:rPr>
        <w:t xml:space="preserve"> et déplacer le texte de cette note à la fin de la section, comme suit</w:t>
      </w:r>
      <w:r w:rsidR="004A5F6A">
        <w:rPr>
          <w:lang w:val="fr-FR"/>
        </w:rPr>
        <w:t> </w:t>
      </w:r>
      <w:r w:rsidRPr="003D2A54">
        <w:rPr>
          <w:lang w:val="fr-FR"/>
        </w:rPr>
        <w:t>:</w:t>
      </w:r>
    </w:p>
    <w:p w14:paraId="40F275F5" w14:textId="77777777" w:rsidR="00FA353F" w:rsidRPr="004A5F6A" w:rsidRDefault="00FA353F" w:rsidP="00FA353F">
      <w:pPr>
        <w:pStyle w:val="SingleTxtG"/>
        <w:ind w:left="1701"/>
        <w:rPr>
          <w:i/>
          <w:iCs/>
          <w:u w:val="single"/>
          <w:lang w:val="fr-FR"/>
        </w:rPr>
      </w:pPr>
      <w:r w:rsidRPr="00676335">
        <w:rPr>
          <w:i/>
          <w:iCs/>
          <w:lang w:val="fr-FR"/>
        </w:rPr>
        <w:t>«</w:t>
      </w:r>
      <w:r w:rsidRPr="004A5F6A">
        <w:rPr>
          <w:i/>
          <w:iCs/>
          <w:u w:val="single"/>
          <w:lang w:val="fr-FR"/>
        </w:rPr>
        <w:t> Nota</w:t>
      </w:r>
      <w:r w:rsidR="004A5F6A" w:rsidRPr="004A5F6A">
        <w:rPr>
          <w:i/>
          <w:iCs/>
          <w:u w:val="single"/>
          <w:lang w:val="fr-FR"/>
        </w:rPr>
        <w:t> </w:t>
      </w:r>
      <w:r w:rsidRPr="004A5F6A">
        <w:rPr>
          <w:i/>
          <w:iCs/>
          <w:u w:val="single"/>
          <w:lang w:val="fr-FR"/>
        </w:rPr>
        <w:t xml:space="preserve">: Cette formule ne s’applique qu’aux gaz liquéfiés non réfrigérés dont la température critique est bien supérieure à la température à la condition d’accumulation. Pour les gaz qui ont des températures critiques proches de la température à la condition d’accumulation ou inférieure à celle-ci, le calcul du débit combiné des dispositifs de décompression doit tenir compte des autres propriétés thermodynamiques du gaz (voir par exemple CGA S-1.2-2003 </w:t>
      </w:r>
      <w:r w:rsidR="00676335" w:rsidRPr="00676335">
        <w:rPr>
          <w:i/>
          <w:iCs/>
          <w:u w:val="single"/>
        </w:rPr>
        <w:t>“</w:t>
      </w:r>
      <w:r w:rsidRPr="004A5F6A">
        <w:rPr>
          <w:i/>
          <w:iCs/>
          <w:u w:val="single"/>
          <w:lang w:val="fr-FR"/>
        </w:rPr>
        <w:t xml:space="preserve">Pressure Relief Device Standards </w:t>
      </w:r>
      <w:r w:rsidR="00676335">
        <w:rPr>
          <w:i/>
          <w:iCs/>
          <w:u w:val="single"/>
          <w:lang w:val="fr-FR"/>
        </w:rPr>
        <w:t>−</w:t>
      </w:r>
      <w:r w:rsidRPr="004A5F6A">
        <w:rPr>
          <w:i/>
          <w:iCs/>
          <w:u w:val="single"/>
          <w:lang w:val="fr-FR"/>
        </w:rPr>
        <w:t xml:space="preserve"> Part 2 </w:t>
      </w:r>
      <w:r w:rsidR="00676335">
        <w:rPr>
          <w:i/>
          <w:iCs/>
          <w:u w:val="single"/>
          <w:lang w:val="fr-FR"/>
        </w:rPr>
        <w:t>−</w:t>
      </w:r>
      <w:r w:rsidRPr="004A5F6A">
        <w:rPr>
          <w:i/>
          <w:iCs/>
          <w:u w:val="single"/>
          <w:lang w:val="fr-FR"/>
        </w:rPr>
        <w:t xml:space="preserve"> Cargo and Portable Tanks for Compressed Gases</w:t>
      </w:r>
      <w:r w:rsidR="00676335" w:rsidRPr="00676335">
        <w:rPr>
          <w:i/>
          <w:iCs/>
          <w:u w:val="single"/>
        </w:rPr>
        <w:t>”</w:t>
      </w:r>
      <w:r w:rsidRPr="004A5F6A">
        <w:rPr>
          <w:i/>
          <w:iCs/>
          <w:u w:val="single"/>
          <w:lang w:val="fr-FR"/>
        </w:rPr>
        <w:t>).</w:t>
      </w:r>
      <w:r w:rsidRPr="00676335">
        <w:rPr>
          <w:i/>
          <w:iCs/>
          <w:lang w:val="fr-FR"/>
        </w:rPr>
        <w:t> ».</w:t>
      </w:r>
    </w:p>
    <w:p w14:paraId="30A402B5" w14:textId="77777777" w:rsidR="00FA353F" w:rsidRPr="003D2A54" w:rsidRDefault="00FA353F" w:rsidP="00FA353F">
      <w:pPr>
        <w:pStyle w:val="H1G"/>
        <w:rPr>
          <w:lang w:val="fr-FR"/>
        </w:rPr>
      </w:pPr>
      <w:r w:rsidRPr="003D2A54">
        <w:rPr>
          <w:lang w:val="fr-FR"/>
        </w:rPr>
        <w:tab/>
      </w:r>
      <w:r w:rsidRPr="003D2A54">
        <w:rPr>
          <w:lang w:val="fr-FR"/>
        </w:rPr>
        <w:tab/>
      </w:r>
      <w:r w:rsidRPr="003D2A54">
        <w:rPr>
          <w:bCs/>
          <w:lang w:val="fr-FR"/>
        </w:rPr>
        <w:t>Justification</w:t>
      </w:r>
    </w:p>
    <w:p w14:paraId="1F08B744" w14:textId="77777777" w:rsidR="00FA353F" w:rsidRPr="003D2A54" w:rsidRDefault="00FA353F" w:rsidP="00FA353F">
      <w:pPr>
        <w:pStyle w:val="SingleTxtG"/>
        <w:rPr>
          <w:lang w:val="fr-FR"/>
        </w:rPr>
      </w:pPr>
      <w:r w:rsidRPr="003D2A54">
        <w:rPr>
          <w:lang w:val="fr-FR"/>
        </w:rPr>
        <w:t>20.</w:t>
      </w:r>
      <w:r w:rsidRPr="003D2A54">
        <w:rPr>
          <w:lang w:val="fr-FR"/>
        </w:rPr>
        <w:tab/>
        <w:t>L</w:t>
      </w:r>
      <w:r>
        <w:rPr>
          <w:lang w:val="fr-FR"/>
        </w:rPr>
        <w:t>’</w:t>
      </w:r>
      <w:r w:rsidRPr="003D2A54">
        <w:rPr>
          <w:lang w:val="fr-FR"/>
        </w:rPr>
        <w:t>utilisateur a besoin des informations qui figurent dans la note de bas de page pour estimer si la formule s</w:t>
      </w:r>
      <w:r>
        <w:rPr>
          <w:lang w:val="fr-FR"/>
        </w:rPr>
        <w:t>’</w:t>
      </w:r>
      <w:r w:rsidRPr="003D2A54">
        <w:rPr>
          <w:lang w:val="fr-FR"/>
        </w:rPr>
        <w:t>applique ou non à son chargement. Remplacer la note de bas de page par un nota n</w:t>
      </w:r>
      <w:r>
        <w:rPr>
          <w:lang w:val="fr-FR"/>
        </w:rPr>
        <w:t>’</w:t>
      </w:r>
      <w:r w:rsidRPr="003D2A54">
        <w:rPr>
          <w:lang w:val="fr-FR"/>
        </w:rPr>
        <w:t xml:space="preserve">aura aucune incidence </w:t>
      </w:r>
      <w:r>
        <w:rPr>
          <w:lang w:val="fr-FR"/>
        </w:rPr>
        <w:t>pour</w:t>
      </w:r>
      <w:r w:rsidRPr="003D2A54">
        <w:rPr>
          <w:lang w:val="fr-FR"/>
        </w:rPr>
        <w:t xml:space="preserve"> les expéditeurs et les transporteurs</w:t>
      </w:r>
      <w:r>
        <w:rPr>
          <w:lang w:val="fr-FR"/>
        </w:rPr>
        <w:t>,</w:t>
      </w:r>
      <w:r w:rsidRPr="003D2A54">
        <w:rPr>
          <w:lang w:val="fr-FR"/>
        </w:rPr>
        <w:t xml:space="preserve"> mais</w:t>
      </w:r>
      <w:r>
        <w:rPr>
          <w:lang w:val="fr-FR"/>
        </w:rPr>
        <w:t xml:space="preserve"> cela</w:t>
      </w:r>
      <w:r w:rsidRPr="003D2A54">
        <w:rPr>
          <w:lang w:val="fr-FR"/>
        </w:rPr>
        <w:t xml:space="preserve"> devrait faciliter le report des informations et de la référence qu</w:t>
      </w:r>
      <w:r>
        <w:rPr>
          <w:lang w:val="fr-FR"/>
        </w:rPr>
        <w:t>’</w:t>
      </w:r>
      <w:r w:rsidRPr="003D2A54">
        <w:rPr>
          <w:lang w:val="fr-FR"/>
        </w:rPr>
        <w:t>elles contiennent dans le texte faisant foi du Code IMDG.</w:t>
      </w:r>
    </w:p>
    <w:p w14:paraId="2C6B798E" w14:textId="77777777" w:rsidR="00FA353F" w:rsidRPr="003D2A54" w:rsidRDefault="00FA353F" w:rsidP="00FA353F">
      <w:pPr>
        <w:pStyle w:val="H1G"/>
        <w:rPr>
          <w:lang w:val="fr-FR"/>
        </w:rPr>
      </w:pPr>
      <w:r w:rsidRPr="003D2A54">
        <w:rPr>
          <w:lang w:val="fr-FR"/>
        </w:rPr>
        <w:tab/>
      </w:r>
      <w:r w:rsidRPr="003D2A54">
        <w:rPr>
          <w:lang w:val="fr-FR"/>
        </w:rPr>
        <w:tab/>
      </w:r>
      <w:r w:rsidRPr="003D2A54">
        <w:rPr>
          <w:bCs/>
          <w:lang w:val="fr-FR"/>
        </w:rPr>
        <w:t>Proposition 7</w:t>
      </w:r>
    </w:p>
    <w:p w14:paraId="32230BDC" w14:textId="77777777" w:rsidR="00FA353F" w:rsidRPr="003D2A54" w:rsidRDefault="00FA353F" w:rsidP="00FA353F">
      <w:pPr>
        <w:pStyle w:val="SingleTxtG"/>
        <w:rPr>
          <w:lang w:val="fr-FR"/>
        </w:rPr>
      </w:pPr>
      <w:r w:rsidRPr="003D2A54">
        <w:rPr>
          <w:lang w:val="fr-FR"/>
        </w:rPr>
        <w:t>21.</w:t>
      </w:r>
      <w:r w:rsidRPr="003D2A54">
        <w:rPr>
          <w:lang w:val="fr-FR"/>
        </w:rPr>
        <w:tab/>
        <w:t>Au 7.1.5.3.2 b), (7.3.7.2.3 du Code IMDG), supprimer la note de bas de page et lire :</w:t>
      </w:r>
    </w:p>
    <w:p w14:paraId="058AD782" w14:textId="77777777" w:rsidR="00FA353F" w:rsidRPr="003D2A54" w:rsidRDefault="00FA353F" w:rsidP="00FA353F">
      <w:pPr>
        <w:pStyle w:val="SingleTxtG"/>
        <w:ind w:left="1701"/>
        <w:rPr>
          <w:lang w:val="fr-FR"/>
        </w:rPr>
      </w:pPr>
      <w:r>
        <w:rPr>
          <w:lang w:val="fr-FR"/>
        </w:rPr>
        <w:t>« </w:t>
      </w:r>
      <w:r w:rsidRPr="003D2A54">
        <w:rPr>
          <w:lang w:val="fr-FR"/>
        </w:rPr>
        <w:t>b)</w:t>
      </w:r>
      <w:r w:rsidR="00676335">
        <w:rPr>
          <w:lang w:val="fr-FR"/>
        </w:rPr>
        <w:tab/>
      </w:r>
      <w:r w:rsidRPr="003D2A54">
        <w:rPr>
          <w:lang w:val="fr-FR"/>
        </w:rPr>
        <w:t>De matières pour lesquelles la température de décomposition accélérée (TDAA) ou la température de polymérisation auto-accélérée (TPAA)</w:t>
      </w:r>
      <w:r w:rsidRPr="003D2A54">
        <w:rPr>
          <w:strike/>
          <w:vertAlign w:val="superscript"/>
          <w:lang w:val="fr-FR"/>
        </w:rPr>
        <w:t>1</w:t>
      </w:r>
      <w:r w:rsidRPr="003D2A54">
        <w:rPr>
          <w:lang w:val="fr-FR"/>
        </w:rPr>
        <w:t xml:space="preserve"> déterminée </w:t>
      </w:r>
      <w:r w:rsidRPr="003D2A54">
        <w:rPr>
          <w:lang w:val="fr-FR"/>
        </w:rPr>
        <w:lastRenderedPageBreak/>
        <w:t>pour ces matières telles que présentées au transport (avec ou sans stabilisation chimique) est</w:t>
      </w:r>
      <w:r w:rsidR="00676335">
        <w:rPr>
          <w:lang w:val="fr-FR"/>
        </w:rPr>
        <w:t> </w:t>
      </w:r>
      <w:r w:rsidRPr="003D2A54">
        <w:rPr>
          <w:lang w:val="fr-FR"/>
        </w:rPr>
        <w:t>:</w:t>
      </w:r>
    </w:p>
    <w:p w14:paraId="3A7A4EDF" w14:textId="77777777" w:rsidR="00FA353F" w:rsidRPr="003D2A54" w:rsidRDefault="00FA353F" w:rsidP="00FA353F">
      <w:pPr>
        <w:pStyle w:val="SingleTxtG"/>
        <w:ind w:firstLine="567"/>
        <w:rPr>
          <w:lang w:val="fr-FR"/>
        </w:rPr>
      </w:pPr>
      <w:r w:rsidRPr="003D2A54">
        <w:rPr>
          <w:lang w:val="fr-FR"/>
        </w:rPr>
        <w:t>i)</w:t>
      </w:r>
      <w:r w:rsidR="00676335">
        <w:rPr>
          <w:lang w:val="fr-FR"/>
        </w:rPr>
        <w:tab/>
      </w:r>
      <w:r w:rsidRPr="003D2A54">
        <w:rPr>
          <w:lang w:val="fr-FR"/>
        </w:rPr>
        <w:t>Au maximum de 50 °C pour les emballages individuels et les GRV</w:t>
      </w:r>
      <w:r w:rsidR="00676335">
        <w:rPr>
          <w:lang w:val="fr-FR"/>
        </w:rPr>
        <w:t> </w:t>
      </w:r>
      <w:r w:rsidRPr="003D2A54">
        <w:rPr>
          <w:lang w:val="fr-FR"/>
        </w:rPr>
        <w:t>; ou</w:t>
      </w:r>
    </w:p>
    <w:p w14:paraId="0130A725" w14:textId="77777777" w:rsidR="00FA353F" w:rsidRPr="003D2A54" w:rsidRDefault="00FA353F" w:rsidP="00FA353F">
      <w:pPr>
        <w:pStyle w:val="SingleTxtG"/>
        <w:ind w:firstLine="567"/>
        <w:rPr>
          <w:lang w:val="fr-FR"/>
        </w:rPr>
      </w:pPr>
      <w:r w:rsidRPr="003D2A54">
        <w:rPr>
          <w:lang w:val="fr-FR"/>
        </w:rPr>
        <w:t>ii)</w:t>
      </w:r>
      <w:r w:rsidR="00676335">
        <w:rPr>
          <w:lang w:val="fr-FR"/>
        </w:rPr>
        <w:tab/>
      </w:r>
      <w:r w:rsidRPr="003D2A54">
        <w:rPr>
          <w:lang w:val="fr-FR"/>
        </w:rPr>
        <w:t>Au maximum de 45 °C pour les citernes mobiles.</w:t>
      </w:r>
    </w:p>
    <w:p w14:paraId="4288D9A8" w14:textId="77777777" w:rsidR="00FA353F" w:rsidRPr="003D2A54" w:rsidRDefault="00FA353F" w:rsidP="00FA353F">
      <w:pPr>
        <w:pStyle w:val="SingleTxtG"/>
        <w:ind w:left="1701"/>
        <w:rPr>
          <w:lang w:val="fr-FR"/>
        </w:rPr>
      </w:pPr>
      <w:r w:rsidRPr="003D2A54">
        <w:rPr>
          <w:lang w:val="fr-FR"/>
        </w:rPr>
        <w:t>Lorsqu</w:t>
      </w:r>
      <w:r>
        <w:rPr>
          <w:lang w:val="fr-FR"/>
        </w:rPr>
        <w:t>’</w:t>
      </w:r>
      <w:r w:rsidRPr="003D2A54">
        <w:rPr>
          <w:lang w:val="fr-FR"/>
        </w:rPr>
        <w:t>il n</w:t>
      </w:r>
      <w:r>
        <w:rPr>
          <w:lang w:val="fr-FR"/>
        </w:rPr>
        <w:t>’</w:t>
      </w:r>
      <w:r w:rsidRPr="003D2A54">
        <w:rPr>
          <w:lang w:val="fr-FR"/>
        </w:rPr>
        <w:t>est pas recouru à l</w:t>
      </w:r>
      <w:r>
        <w:rPr>
          <w:lang w:val="fr-FR"/>
        </w:rPr>
        <w:t>’</w:t>
      </w:r>
      <w:r w:rsidRPr="003D2A54">
        <w:rPr>
          <w:lang w:val="fr-FR"/>
        </w:rPr>
        <w:t>inhibition chimique pour stabiliser une matière réactive susceptible de générer des quantités dangereuses de chaleur et de gaz ou de vapeur dans des conditions normales de transport, cette matière doit être transportée sous régulation de température. Ces dispositions ne s</w:t>
      </w:r>
      <w:r>
        <w:rPr>
          <w:lang w:val="fr-FR"/>
        </w:rPr>
        <w:t>’</w:t>
      </w:r>
      <w:r w:rsidRPr="003D2A54">
        <w:rPr>
          <w:lang w:val="fr-FR"/>
        </w:rPr>
        <w:t>appliquent pas aux matières qui sont stabilisées par adjonction d</w:t>
      </w:r>
      <w:r>
        <w:rPr>
          <w:lang w:val="fr-FR"/>
        </w:rPr>
        <w:t>’</w:t>
      </w:r>
      <w:r w:rsidRPr="003D2A54">
        <w:rPr>
          <w:lang w:val="fr-FR"/>
        </w:rPr>
        <w:t>inhibiteurs chimiques de sorte que la TDAA ou la TPAA soit supérieure à ce qui est prescrit aux alinéas b) i) et ii) ci-dessus.</w:t>
      </w:r>
      <w:r>
        <w:rPr>
          <w:lang w:val="fr-FR"/>
        </w:rPr>
        <w:t> ».</w:t>
      </w:r>
    </w:p>
    <w:p w14:paraId="1712EA1C" w14:textId="77777777" w:rsidR="00FA353F" w:rsidRPr="00676335" w:rsidRDefault="00FA353F" w:rsidP="00FA353F">
      <w:pPr>
        <w:pStyle w:val="SingleTxtG"/>
        <w:ind w:left="1701"/>
        <w:rPr>
          <w:sz w:val="18"/>
          <w:szCs w:val="18"/>
          <w:lang w:val="fr-FR"/>
        </w:rPr>
      </w:pPr>
      <w:r w:rsidRPr="00676335">
        <w:rPr>
          <w:strike/>
          <w:sz w:val="18"/>
          <w:szCs w:val="18"/>
          <w:vertAlign w:val="superscript"/>
          <w:lang w:val="fr-FR"/>
        </w:rPr>
        <w:t>1</w:t>
      </w:r>
      <w:r w:rsidRPr="00676335">
        <w:rPr>
          <w:strike/>
          <w:sz w:val="18"/>
          <w:szCs w:val="18"/>
          <w:lang w:val="fr-FR"/>
        </w:rPr>
        <w:t xml:space="preserve">  La TPAA s’obtient en appliquant les mêmes procédures d’épreuve que pour déterminer la TDAA des matières autoréactives, conformément à la section 28 de la deuxième partie du Manuel d’épreuves et de critères.</w:t>
      </w:r>
    </w:p>
    <w:p w14:paraId="4BABFE93" w14:textId="77777777" w:rsidR="00FA353F" w:rsidRPr="003D2A54" w:rsidRDefault="00FA353F" w:rsidP="00FA353F">
      <w:pPr>
        <w:pStyle w:val="H1G"/>
        <w:rPr>
          <w:lang w:val="fr-FR"/>
        </w:rPr>
      </w:pPr>
      <w:r w:rsidRPr="003D2A54">
        <w:rPr>
          <w:lang w:val="fr-FR"/>
        </w:rPr>
        <w:tab/>
      </w:r>
      <w:r w:rsidRPr="003D2A54">
        <w:rPr>
          <w:lang w:val="fr-FR"/>
        </w:rPr>
        <w:tab/>
      </w:r>
      <w:r w:rsidRPr="003D2A54">
        <w:rPr>
          <w:bCs/>
          <w:lang w:val="fr-FR"/>
        </w:rPr>
        <w:t>Justification</w:t>
      </w:r>
    </w:p>
    <w:p w14:paraId="20523568" w14:textId="77777777" w:rsidR="00FA353F" w:rsidRDefault="00FA353F" w:rsidP="00FA353F">
      <w:pPr>
        <w:pStyle w:val="SingleTxtG"/>
        <w:rPr>
          <w:b/>
          <w:lang w:val="fr-FR"/>
        </w:rPr>
      </w:pPr>
      <w:r w:rsidRPr="003D2A54">
        <w:rPr>
          <w:lang w:val="fr-FR"/>
        </w:rPr>
        <w:t>22.</w:t>
      </w:r>
      <w:r w:rsidRPr="003D2A54">
        <w:rPr>
          <w:lang w:val="fr-FR"/>
        </w:rPr>
        <w:tab/>
        <w:t>La définition de la température de polymérisation auto-accélérée qui figure dans la section</w:t>
      </w:r>
      <w:r w:rsidR="00676335">
        <w:rPr>
          <w:lang w:val="fr-FR"/>
        </w:rPr>
        <w:t> </w:t>
      </w:r>
      <w:r w:rsidRPr="003D2A54">
        <w:rPr>
          <w:lang w:val="fr-FR"/>
        </w:rPr>
        <w:t>1.2.1 contient déjà la même formulation et s</w:t>
      </w:r>
      <w:r>
        <w:rPr>
          <w:lang w:val="fr-FR"/>
        </w:rPr>
        <w:t>’</w:t>
      </w:r>
      <w:r w:rsidRPr="003D2A54">
        <w:rPr>
          <w:lang w:val="fr-FR"/>
        </w:rPr>
        <w:t>applique à tous les emplois du terme.</w:t>
      </w:r>
    </w:p>
    <w:p w14:paraId="0CD78EC2" w14:textId="77777777" w:rsidR="00446FE5" w:rsidRPr="00FA353F" w:rsidRDefault="00FA353F" w:rsidP="00FA353F">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446FE5" w:rsidRPr="00FA353F" w:rsidSect="00FA353F">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23104" w14:textId="77777777" w:rsidR="000B7A18" w:rsidRDefault="000B7A18" w:rsidP="00F95C08">
      <w:pPr>
        <w:spacing w:line="240" w:lineRule="auto"/>
      </w:pPr>
    </w:p>
  </w:endnote>
  <w:endnote w:type="continuationSeparator" w:id="0">
    <w:p w14:paraId="435115D8" w14:textId="77777777" w:rsidR="000B7A18" w:rsidRPr="00AC3823" w:rsidRDefault="000B7A18" w:rsidP="00AC3823">
      <w:pPr>
        <w:pStyle w:val="Footer"/>
      </w:pPr>
    </w:p>
  </w:endnote>
  <w:endnote w:type="continuationNotice" w:id="1">
    <w:p w14:paraId="14DAC809" w14:textId="77777777" w:rsidR="000B7A18" w:rsidRDefault="000B7A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6D633" w14:textId="77777777" w:rsidR="00FA353F" w:rsidRPr="00FA353F" w:rsidRDefault="00FA353F" w:rsidP="00FA353F">
    <w:pPr>
      <w:pStyle w:val="Footer"/>
      <w:tabs>
        <w:tab w:val="right" w:pos="9638"/>
      </w:tabs>
    </w:pPr>
    <w:r w:rsidRPr="00FA353F">
      <w:rPr>
        <w:b/>
        <w:sz w:val="18"/>
      </w:rPr>
      <w:fldChar w:fldCharType="begin"/>
    </w:r>
    <w:r w:rsidRPr="00FA353F">
      <w:rPr>
        <w:b/>
        <w:sz w:val="18"/>
      </w:rPr>
      <w:instrText xml:space="preserve"> PAGE  \* MERGEFORMAT </w:instrText>
    </w:r>
    <w:r w:rsidRPr="00FA353F">
      <w:rPr>
        <w:b/>
        <w:sz w:val="18"/>
      </w:rPr>
      <w:fldChar w:fldCharType="separate"/>
    </w:r>
    <w:r w:rsidRPr="00FA353F">
      <w:rPr>
        <w:b/>
        <w:noProof/>
        <w:sz w:val="18"/>
      </w:rPr>
      <w:t>2</w:t>
    </w:r>
    <w:r w:rsidRPr="00FA353F">
      <w:rPr>
        <w:b/>
        <w:sz w:val="18"/>
      </w:rPr>
      <w:fldChar w:fldCharType="end"/>
    </w:r>
    <w:r>
      <w:rPr>
        <w:b/>
        <w:sz w:val="18"/>
      </w:rPr>
      <w:tab/>
    </w:r>
    <w:r>
      <w:t>GE.20-11955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222B2" w14:textId="77777777" w:rsidR="00FA353F" w:rsidRPr="00FA353F" w:rsidRDefault="00FA353F" w:rsidP="00FA353F">
    <w:pPr>
      <w:pStyle w:val="Footer"/>
      <w:tabs>
        <w:tab w:val="right" w:pos="9638"/>
      </w:tabs>
      <w:rPr>
        <w:b/>
        <w:sz w:val="18"/>
      </w:rPr>
    </w:pPr>
    <w:r>
      <w:t>GE.20-11955</w:t>
    </w:r>
    <w:r>
      <w:tab/>
    </w:r>
    <w:r w:rsidRPr="00FA353F">
      <w:rPr>
        <w:b/>
        <w:sz w:val="18"/>
      </w:rPr>
      <w:fldChar w:fldCharType="begin"/>
    </w:r>
    <w:r w:rsidRPr="00FA353F">
      <w:rPr>
        <w:b/>
        <w:sz w:val="18"/>
      </w:rPr>
      <w:instrText xml:space="preserve"> PAGE  \* MERGEFORMAT </w:instrText>
    </w:r>
    <w:r w:rsidRPr="00FA353F">
      <w:rPr>
        <w:b/>
        <w:sz w:val="18"/>
      </w:rPr>
      <w:fldChar w:fldCharType="separate"/>
    </w:r>
    <w:r w:rsidRPr="00FA353F">
      <w:rPr>
        <w:b/>
        <w:noProof/>
        <w:sz w:val="18"/>
      </w:rPr>
      <w:t>3</w:t>
    </w:r>
    <w:r w:rsidRPr="00FA35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DD21E" w14:textId="77777777" w:rsidR="0068456F" w:rsidRPr="00FA353F" w:rsidRDefault="00FA353F" w:rsidP="00FA353F">
    <w:pPr>
      <w:pStyle w:val="Footer"/>
      <w:spacing w:before="120"/>
      <w:rPr>
        <w:sz w:val="20"/>
      </w:rPr>
    </w:pPr>
    <w:r>
      <w:rPr>
        <w:sz w:val="20"/>
      </w:rPr>
      <w:t>GE.</w:t>
    </w:r>
    <w:r w:rsidR="0068456F">
      <w:rPr>
        <w:noProof/>
        <w:lang w:eastAsia="fr-CH"/>
      </w:rPr>
      <w:drawing>
        <wp:anchor distT="0" distB="0" distL="114300" distR="114300" simplePos="0" relativeHeight="251657216" behindDoc="0" locked="0" layoutInCell="1" allowOverlap="0" wp14:anchorId="382CFBAA" wp14:editId="30BF74F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20-11955  (F)    141020    141020</w:t>
    </w:r>
    <w:r>
      <w:rPr>
        <w:sz w:val="20"/>
      </w:rPr>
      <w:br/>
    </w:r>
    <w:r w:rsidRPr="00FA353F">
      <w:rPr>
        <w:rFonts w:ascii="C39T30Lfz" w:hAnsi="C39T30Lfz"/>
        <w:sz w:val="56"/>
      </w:rPr>
      <w:t>*2011955*</w:t>
    </w:r>
    <w:r>
      <w:rPr>
        <w:noProof/>
        <w:sz w:val="20"/>
      </w:rPr>
      <w:drawing>
        <wp:anchor distT="0" distB="0" distL="114300" distR="114300" simplePos="0" relativeHeight="251658240" behindDoc="0" locked="0" layoutInCell="1" allowOverlap="1" wp14:anchorId="3BF6D0CB" wp14:editId="06B4C3E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F36B8" w14:textId="77777777" w:rsidR="000B7A18" w:rsidRPr="00AC3823" w:rsidRDefault="000B7A18" w:rsidP="00AC3823">
      <w:pPr>
        <w:pStyle w:val="Footer"/>
        <w:tabs>
          <w:tab w:val="right" w:pos="2155"/>
        </w:tabs>
        <w:spacing w:after="80" w:line="240" w:lineRule="atLeast"/>
        <w:ind w:left="680"/>
        <w:rPr>
          <w:u w:val="single"/>
        </w:rPr>
      </w:pPr>
      <w:r>
        <w:rPr>
          <w:u w:val="single"/>
        </w:rPr>
        <w:tab/>
      </w:r>
    </w:p>
  </w:footnote>
  <w:footnote w:type="continuationSeparator" w:id="0">
    <w:p w14:paraId="525C321B" w14:textId="77777777" w:rsidR="000B7A18" w:rsidRPr="00AC3823" w:rsidRDefault="000B7A18" w:rsidP="00AC3823">
      <w:pPr>
        <w:pStyle w:val="Footer"/>
        <w:tabs>
          <w:tab w:val="right" w:pos="2155"/>
        </w:tabs>
        <w:spacing w:after="80" w:line="240" w:lineRule="atLeast"/>
        <w:ind w:left="680"/>
        <w:rPr>
          <w:u w:val="single"/>
        </w:rPr>
      </w:pPr>
      <w:r>
        <w:rPr>
          <w:u w:val="single"/>
        </w:rPr>
        <w:tab/>
      </w:r>
    </w:p>
  </w:footnote>
  <w:footnote w:type="continuationNotice" w:id="1">
    <w:p w14:paraId="7F851794" w14:textId="77777777" w:rsidR="000B7A18" w:rsidRPr="00AC3823" w:rsidRDefault="000B7A18">
      <w:pPr>
        <w:spacing w:line="240" w:lineRule="auto"/>
        <w:rPr>
          <w:sz w:val="2"/>
          <w:szCs w:val="2"/>
        </w:rPr>
      </w:pPr>
    </w:p>
  </w:footnote>
  <w:footnote w:id="2">
    <w:p w14:paraId="5FCC4BAF" w14:textId="77777777" w:rsidR="00FA353F" w:rsidRPr="00FA353F" w:rsidRDefault="00FA353F">
      <w:pPr>
        <w:pStyle w:val="FootnoteText"/>
      </w:pPr>
      <w:r>
        <w:rPr>
          <w:rStyle w:val="FootnoteReference"/>
        </w:rPr>
        <w:tab/>
      </w:r>
      <w:r w:rsidRPr="00FA353F">
        <w:rPr>
          <w:rStyle w:val="FootnoteReference"/>
          <w:sz w:val="20"/>
          <w:vertAlign w:val="baseline"/>
        </w:rPr>
        <w:t>*</w:t>
      </w:r>
      <w:r>
        <w:rPr>
          <w:rStyle w:val="FootnoteReference"/>
          <w:sz w:val="20"/>
          <w:vertAlign w:val="baseline"/>
        </w:rPr>
        <w:tab/>
      </w:r>
      <w:r>
        <w:rPr>
          <w:lang w:val="fr-FR"/>
        </w:rPr>
        <w:t>Sous-programme 2 du budget-programme pour 2020 (A/74/6 (Sect.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EE39A" w14:textId="77777777" w:rsidR="00FA353F" w:rsidRPr="00FA353F" w:rsidRDefault="008A3FC2">
    <w:pPr>
      <w:pStyle w:val="Header"/>
    </w:pPr>
    <w:r>
      <w:fldChar w:fldCharType="begin"/>
    </w:r>
    <w:r>
      <w:instrText xml:space="preserve"> TITLE  \* MERGEFORMAT </w:instrText>
    </w:r>
    <w:r>
      <w:fldChar w:fldCharType="separate"/>
    </w:r>
    <w:r w:rsidR="00FA353F">
      <w:t>ST/SG/AC.10/C.3/2020/74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946B5" w14:textId="77777777" w:rsidR="00FA353F" w:rsidRPr="00FA353F" w:rsidRDefault="008A3FC2" w:rsidP="00FA353F">
    <w:pPr>
      <w:pStyle w:val="Header"/>
      <w:jc w:val="right"/>
    </w:pPr>
    <w:r>
      <w:fldChar w:fldCharType="begin"/>
    </w:r>
    <w:r>
      <w:instrText xml:space="preserve"> TITLE  \* MERGEFORMAT </w:instrText>
    </w:r>
    <w:r>
      <w:fldChar w:fldCharType="separate"/>
    </w:r>
    <w:r w:rsidR="00FA353F">
      <w:t>ST/SG/AC.10/C.3/2020/74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18"/>
    <w:rsid w:val="00017F94"/>
    <w:rsid w:val="00023842"/>
    <w:rsid w:val="000305D3"/>
    <w:rsid w:val="000334F9"/>
    <w:rsid w:val="0007796D"/>
    <w:rsid w:val="00091BA6"/>
    <w:rsid w:val="000B7790"/>
    <w:rsid w:val="000B7A18"/>
    <w:rsid w:val="00111F2F"/>
    <w:rsid w:val="00132EA9"/>
    <w:rsid w:val="0014365E"/>
    <w:rsid w:val="00176178"/>
    <w:rsid w:val="001F525A"/>
    <w:rsid w:val="00223272"/>
    <w:rsid w:val="0024779E"/>
    <w:rsid w:val="00283190"/>
    <w:rsid w:val="002832AC"/>
    <w:rsid w:val="002D7C93"/>
    <w:rsid w:val="00441C3B"/>
    <w:rsid w:val="00446FE5"/>
    <w:rsid w:val="00452396"/>
    <w:rsid w:val="004A5F6A"/>
    <w:rsid w:val="004E468C"/>
    <w:rsid w:val="005505B7"/>
    <w:rsid w:val="00573BE5"/>
    <w:rsid w:val="00584DC4"/>
    <w:rsid w:val="00586ED3"/>
    <w:rsid w:val="00596AA9"/>
    <w:rsid w:val="00676335"/>
    <w:rsid w:val="0068456F"/>
    <w:rsid w:val="0071601D"/>
    <w:rsid w:val="007A62E6"/>
    <w:rsid w:val="0080684C"/>
    <w:rsid w:val="00871C75"/>
    <w:rsid w:val="008776DC"/>
    <w:rsid w:val="008A3FC2"/>
    <w:rsid w:val="008B40CD"/>
    <w:rsid w:val="009705C8"/>
    <w:rsid w:val="009C1CF4"/>
    <w:rsid w:val="00A30353"/>
    <w:rsid w:val="00A51F91"/>
    <w:rsid w:val="00AC3823"/>
    <w:rsid w:val="00AE323C"/>
    <w:rsid w:val="00B00181"/>
    <w:rsid w:val="00B00B0D"/>
    <w:rsid w:val="00B765F7"/>
    <w:rsid w:val="00BA0CA9"/>
    <w:rsid w:val="00BC374B"/>
    <w:rsid w:val="00C02897"/>
    <w:rsid w:val="00D3439C"/>
    <w:rsid w:val="00DB1831"/>
    <w:rsid w:val="00DD3BFD"/>
    <w:rsid w:val="00DF6678"/>
    <w:rsid w:val="00EF2E22"/>
    <w:rsid w:val="00F01738"/>
    <w:rsid w:val="00F660DF"/>
    <w:rsid w:val="00F730C8"/>
    <w:rsid w:val="00F95C08"/>
    <w:rsid w:val="00FA353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F7D13"/>
  <w15:docId w15:val="{253344B2-17E2-4370-92D6-99592739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FA353F"/>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FA353F"/>
    <w:rPr>
      <w:rFonts w:ascii="Times New Roman" w:eastAsiaTheme="minorHAnsi" w:hAnsi="Times New Roman" w:cs="Times New Roman"/>
      <w:sz w:val="20"/>
      <w:szCs w:val="20"/>
      <w:lang w:eastAsia="en-US"/>
    </w:rPr>
  </w:style>
  <w:style w:type="character" w:customStyle="1" w:styleId="H1GChar">
    <w:name w:val="_ H_1_G Char"/>
    <w:link w:val="H1G"/>
    <w:locked/>
    <w:rsid w:val="00FA353F"/>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FFC860-4812-4805-B1E7-02838B0C3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D3BAD-DD9B-4986-ABFA-BDB537E4E828}">
  <ds:schemaRefs>
    <ds:schemaRef ds:uri="http://schemas.microsoft.com/sharepoint/v3/contenttype/forms"/>
  </ds:schemaRefs>
</ds:datastoreItem>
</file>

<file path=customXml/itemProps3.xml><?xml version="1.0" encoding="utf-8"?>
<ds:datastoreItem xmlns:ds="http://schemas.openxmlformats.org/officeDocument/2006/customXml" ds:itemID="{9537A35C-395B-465C-B9AF-1B0AB67EE3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1818</Words>
  <Characters>10364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ST/SG/AC.10/C.3/2020/74</vt:lpstr>
    </vt:vector>
  </TitlesOfParts>
  <Company>DCM</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ST/SG/AC.10/C.3/2020/74</dc:title>
  <dc:subject/>
  <dc:creator>Sandrine CLERE</dc:creator>
  <cp:keywords/>
  <cp:lastModifiedBy>Laurence Berthet</cp:lastModifiedBy>
  <cp:revision>2</cp:revision>
  <cp:lastPrinted>2014-05-14T10:59:00Z</cp:lastPrinted>
  <dcterms:created xsi:type="dcterms:W3CDTF">2020-10-28T13:18:00Z</dcterms:created>
  <dcterms:modified xsi:type="dcterms:W3CDTF">2020-10-28T13:18:00Z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