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3C6CCF59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7C42571" w14:textId="77777777" w:rsidR="00132EA9" w:rsidRPr="00DB58B5" w:rsidRDefault="00132EA9" w:rsidP="002761A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DD519B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7907888" w14:textId="77777777" w:rsidR="00132EA9" w:rsidRPr="00DB58B5" w:rsidRDefault="002761A0" w:rsidP="002761A0">
            <w:pPr>
              <w:jc w:val="right"/>
            </w:pPr>
            <w:r w:rsidRPr="002761A0">
              <w:rPr>
                <w:sz w:val="40"/>
              </w:rPr>
              <w:t>ST</w:t>
            </w:r>
            <w:r>
              <w:t>/SG/AC</w:t>
            </w:r>
            <w:r w:rsidR="00B03DF4" w:rsidRPr="00B03DF4">
              <w:t>.</w:t>
            </w:r>
            <w:r>
              <w:t>10/C</w:t>
            </w:r>
            <w:r w:rsidR="00B03DF4" w:rsidRPr="00B03DF4">
              <w:t>.</w:t>
            </w:r>
            <w:r>
              <w:t>3/2020/72</w:t>
            </w:r>
          </w:p>
        </w:tc>
      </w:tr>
      <w:tr w:rsidR="00132EA9" w:rsidRPr="00DB58B5" w14:paraId="49A53C76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5B7049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7A3F72E" wp14:editId="484E86E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EF6A07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C34949" w14:textId="77777777" w:rsidR="00132EA9" w:rsidRDefault="002761A0" w:rsidP="00F01738">
            <w:pPr>
              <w:spacing w:before="240"/>
            </w:pPr>
            <w:proofErr w:type="spellStart"/>
            <w:r>
              <w:t>Distr</w:t>
            </w:r>
            <w:proofErr w:type="spellEnd"/>
            <w:r w:rsidR="00B03DF4" w:rsidRPr="00B03DF4">
              <w:t>.</w:t>
            </w:r>
            <w:r>
              <w:t xml:space="preserve"> </w:t>
            </w:r>
            <w:proofErr w:type="gramStart"/>
            <w:r>
              <w:t>générale</w:t>
            </w:r>
            <w:proofErr w:type="gramEnd"/>
          </w:p>
          <w:p w14:paraId="54DF5EF1" w14:textId="77777777" w:rsidR="002761A0" w:rsidRDefault="002761A0" w:rsidP="002761A0">
            <w:pPr>
              <w:spacing w:line="240" w:lineRule="exact"/>
            </w:pPr>
            <w:r>
              <w:t>7 septembre 2020</w:t>
            </w:r>
          </w:p>
          <w:p w14:paraId="184A3346" w14:textId="77777777" w:rsidR="002761A0" w:rsidRDefault="002761A0" w:rsidP="002761A0">
            <w:pPr>
              <w:spacing w:line="240" w:lineRule="exact"/>
            </w:pPr>
            <w:r>
              <w:t>Français</w:t>
            </w:r>
          </w:p>
          <w:p w14:paraId="719DB13C" w14:textId="77777777" w:rsidR="002761A0" w:rsidRPr="00DB58B5" w:rsidRDefault="002761A0" w:rsidP="002761A0">
            <w:pPr>
              <w:spacing w:line="240" w:lineRule="exact"/>
            </w:pPr>
            <w:r>
              <w:t>Original : anglais</w:t>
            </w:r>
          </w:p>
        </w:tc>
      </w:tr>
    </w:tbl>
    <w:p w14:paraId="630D69D6" w14:textId="77777777" w:rsidR="002761A0" w:rsidRPr="00401E7E" w:rsidRDefault="002761A0" w:rsidP="002761A0">
      <w:pPr>
        <w:spacing w:before="120"/>
        <w:ind w:right="3260"/>
        <w:rPr>
          <w:b/>
          <w:sz w:val="24"/>
          <w:szCs w:val="24"/>
          <w:lang w:val="fr-FR"/>
        </w:rPr>
      </w:pPr>
      <w:r w:rsidRPr="00401E7E">
        <w:rPr>
          <w:b/>
          <w:sz w:val="24"/>
          <w:szCs w:val="24"/>
          <w:lang w:val="fr-FR"/>
        </w:rPr>
        <w:t>Comité d</w:t>
      </w:r>
      <w:r>
        <w:rPr>
          <w:b/>
          <w:sz w:val="24"/>
          <w:szCs w:val="24"/>
          <w:lang w:val="fr-FR"/>
        </w:rPr>
        <w:t>’</w:t>
      </w:r>
      <w:r w:rsidRPr="00401E7E">
        <w:rPr>
          <w:b/>
          <w:sz w:val="24"/>
          <w:szCs w:val="24"/>
          <w:lang w:val="fr-FR"/>
        </w:rPr>
        <w:t>experts du transport des marchandises dangereuses et du Système général harmonisé de classification et d</w:t>
      </w:r>
      <w:r>
        <w:rPr>
          <w:b/>
          <w:sz w:val="24"/>
          <w:szCs w:val="24"/>
          <w:lang w:val="fr-FR"/>
        </w:rPr>
        <w:t>’</w:t>
      </w:r>
      <w:r w:rsidRPr="00401E7E">
        <w:rPr>
          <w:b/>
          <w:sz w:val="24"/>
          <w:szCs w:val="24"/>
          <w:lang w:val="fr-FR"/>
        </w:rPr>
        <w:t>étiquetage des produits chimiques</w:t>
      </w:r>
    </w:p>
    <w:p w14:paraId="14A210F5" w14:textId="77777777" w:rsidR="002761A0" w:rsidRPr="00401E7E" w:rsidRDefault="002761A0" w:rsidP="002761A0">
      <w:pPr>
        <w:spacing w:before="120"/>
        <w:ind w:right="3260"/>
        <w:rPr>
          <w:rFonts w:ascii="Helv" w:hAnsi="Helv" w:cs="Helv"/>
          <w:b/>
          <w:color w:val="000000"/>
          <w:lang w:val="fr-FR"/>
        </w:rPr>
      </w:pPr>
      <w:r w:rsidRPr="00401E7E">
        <w:rPr>
          <w:b/>
          <w:lang w:val="fr-FR"/>
        </w:rPr>
        <w:t>Sous-Comité d</w:t>
      </w:r>
      <w:r>
        <w:rPr>
          <w:b/>
          <w:lang w:val="fr-FR"/>
        </w:rPr>
        <w:t>’</w:t>
      </w:r>
      <w:r w:rsidRPr="00401E7E">
        <w:rPr>
          <w:b/>
          <w:lang w:val="fr-FR"/>
        </w:rPr>
        <w:t>experts du transport des marchandises dangereuses</w:t>
      </w:r>
    </w:p>
    <w:p w14:paraId="28715528" w14:textId="77777777" w:rsidR="002761A0" w:rsidRPr="00401E7E" w:rsidRDefault="002761A0" w:rsidP="002761A0">
      <w:pPr>
        <w:spacing w:before="120"/>
        <w:ind w:right="3260"/>
        <w:rPr>
          <w:b/>
          <w:lang w:val="fr-FR"/>
        </w:rPr>
      </w:pPr>
      <w:r w:rsidRPr="00401E7E">
        <w:rPr>
          <w:b/>
          <w:lang w:val="fr-FR"/>
        </w:rPr>
        <w:t>Cinquante-septième session</w:t>
      </w:r>
    </w:p>
    <w:p w14:paraId="1EDCA451" w14:textId="77777777" w:rsidR="002761A0" w:rsidRPr="00401E7E" w:rsidRDefault="002761A0" w:rsidP="002761A0">
      <w:pPr>
        <w:tabs>
          <w:tab w:val="left" w:pos="6361"/>
          <w:tab w:val="left" w:pos="6939"/>
        </w:tabs>
        <w:spacing w:before="40"/>
        <w:ind w:right="3260"/>
        <w:outlineLvl w:val="0"/>
        <w:rPr>
          <w:bCs/>
          <w:lang w:val="fr-FR"/>
        </w:rPr>
      </w:pPr>
      <w:r w:rsidRPr="00401E7E">
        <w:rPr>
          <w:lang w:val="fr-FR"/>
        </w:rPr>
        <w:t>Genève, 30 novembre-8 décembre 2020</w:t>
      </w:r>
    </w:p>
    <w:p w14:paraId="11988787" w14:textId="77777777" w:rsidR="002761A0" w:rsidRPr="00401E7E" w:rsidRDefault="002761A0" w:rsidP="002761A0">
      <w:pPr>
        <w:rPr>
          <w:lang w:val="fr-FR"/>
        </w:rPr>
      </w:pPr>
      <w:r w:rsidRPr="00401E7E">
        <w:rPr>
          <w:lang w:val="fr-FR"/>
        </w:rPr>
        <w:t>Point 3 de l</w:t>
      </w:r>
      <w:r>
        <w:rPr>
          <w:lang w:val="fr-FR"/>
        </w:rPr>
        <w:t>’</w:t>
      </w:r>
      <w:r w:rsidRPr="00401E7E">
        <w:rPr>
          <w:lang w:val="fr-FR"/>
        </w:rPr>
        <w:t>ordre du jour provisoire</w:t>
      </w:r>
    </w:p>
    <w:p w14:paraId="23940030" w14:textId="77777777" w:rsidR="002761A0" w:rsidRPr="00401E7E" w:rsidRDefault="002761A0" w:rsidP="002761A0">
      <w:pPr>
        <w:rPr>
          <w:b/>
          <w:bCs/>
          <w:lang w:val="fr-FR"/>
        </w:rPr>
      </w:pPr>
      <w:r w:rsidRPr="00401E7E">
        <w:rPr>
          <w:b/>
          <w:bCs/>
          <w:lang w:val="fr-FR"/>
        </w:rPr>
        <w:t>Inscription, classement et emballage</w:t>
      </w:r>
    </w:p>
    <w:p w14:paraId="7FD8097A" w14:textId="77777777" w:rsidR="002761A0" w:rsidRPr="00401E7E" w:rsidRDefault="002761A0" w:rsidP="002761A0">
      <w:pPr>
        <w:pStyle w:val="HChG"/>
        <w:rPr>
          <w:lang w:val="fr-FR"/>
        </w:rPr>
      </w:pPr>
      <w:r w:rsidRPr="00401E7E">
        <w:rPr>
          <w:lang w:val="fr-FR"/>
        </w:rPr>
        <w:tab/>
      </w:r>
      <w:r w:rsidRPr="00401E7E">
        <w:rPr>
          <w:lang w:val="fr-FR"/>
        </w:rPr>
        <w:tab/>
        <w:t xml:space="preserve">Classement du </w:t>
      </w:r>
      <w:bookmarkStart w:id="1" w:name="_Hlk52737325"/>
      <w:r w:rsidRPr="00401E7E">
        <w:rPr>
          <w:lang w:val="fr-FR"/>
        </w:rPr>
        <w:t>N</w:t>
      </w:r>
      <w:r w:rsidRPr="00401E7E">
        <w:rPr>
          <w:vertAlign w:val="superscript"/>
          <w:lang w:val="fr-FR"/>
        </w:rPr>
        <w:t>o</w:t>
      </w:r>
      <w:r w:rsidRPr="00401E7E">
        <w:rPr>
          <w:lang w:val="fr-FR"/>
        </w:rPr>
        <w:t xml:space="preserve"> ONU 1891 BROMURE D</w:t>
      </w:r>
      <w:r>
        <w:rPr>
          <w:lang w:val="fr-FR"/>
        </w:rPr>
        <w:t>’</w:t>
      </w:r>
      <w:r w:rsidRPr="00401E7E">
        <w:rPr>
          <w:lang w:val="fr-FR"/>
        </w:rPr>
        <w:t>ÉTHYLE</w:t>
      </w:r>
      <w:bookmarkEnd w:id="1"/>
    </w:p>
    <w:p w14:paraId="1DF07792" w14:textId="77777777" w:rsidR="002761A0" w:rsidRPr="00401E7E" w:rsidRDefault="002761A0" w:rsidP="002761A0">
      <w:pPr>
        <w:pStyle w:val="H1G"/>
        <w:rPr>
          <w:lang w:val="fr-FR"/>
        </w:rPr>
      </w:pPr>
      <w:r w:rsidRPr="00401E7E">
        <w:rPr>
          <w:lang w:val="fr-FR"/>
        </w:rPr>
        <w:tab/>
      </w:r>
      <w:r w:rsidRPr="00401E7E">
        <w:rPr>
          <w:lang w:val="fr-FR"/>
        </w:rPr>
        <w:tab/>
        <w:t>Communication de l</w:t>
      </w:r>
      <w:r>
        <w:rPr>
          <w:lang w:val="fr-FR"/>
        </w:rPr>
        <w:t>’</w:t>
      </w:r>
      <w:r w:rsidRPr="00401E7E">
        <w:rPr>
          <w:lang w:val="fr-FR"/>
        </w:rPr>
        <w:t>expert de la Belgique</w:t>
      </w:r>
      <w:r w:rsidRPr="002761A0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2D27E565" w14:textId="77777777" w:rsidR="002761A0" w:rsidRPr="00401E7E" w:rsidRDefault="002761A0" w:rsidP="002761A0">
      <w:pPr>
        <w:pStyle w:val="H1G"/>
        <w:rPr>
          <w:lang w:val="fr-FR"/>
        </w:rPr>
      </w:pPr>
      <w:r w:rsidRPr="00401E7E">
        <w:rPr>
          <w:lang w:val="fr-FR"/>
        </w:rPr>
        <w:tab/>
      </w:r>
      <w:r w:rsidRPr="00401E7E">
        <w:rPr>
          <w:lang w:val="fr-FR"/>
        </w:rPr>
        <w:tab/>
        <w:t>Introduction</w:t>
      </w:r>
    </w:p>
    <w:p w14:paraId="6E9826DC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1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>À la cinquante-sixième session</w:t>
      </w:r>
      <w:r>
        <w:rPr>
          <w:lang w:val="fr-FR"/>
        </w:rPr>
        <w:t xml:space="preserve"> du </w:t>
      </w:r>
      <w:r w:rsidRPr="00941262">
        <w:rPr>
          <w:lang w:val="fr-FR"/>
        </w:rPr>
        <w:t>Sous-Comité d</w:t>
      </w:r>
      <w:r>
        <w:rPr>
          <w:lang w:val="fr-FR"/>
        </w:rPr>
        <w:t>’</w:t>
      </w:r>
      <w:r w:rsidRPr="00941262">
        <w:rPr>
          <w:lang w:val="fr-FR"/>
        </w:rPr>
        <w:t>experts du transport des marchandises dangereuses</w:t>
      </w:r>
      <w:r w:rsidRPr="00401E7E">
        <w:rPr>
          <w:lang w:val="fr-FR"/>
        </w:rPr>
        <w:t>, la Belgique a présenté le document informel INF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11 (cinquante-sixième session), dans lequel il est expliqué qu</w:t>
      </w:r>
      <w:r>
        <w:rPr>
          <w:lang w:val="fr-FR"/>
        </w:rPr>
        <w:t>’</w:t>
      </w:r>
      <w:r w:rsidRPr="00401E7E">
        <w:rPr>
          <w:lang w:val="fr-FR"/>
        </w:rPr>
        <w:t xml:space="preserve">il existe des données scientifiques indiquant que le </w:t>
      </w:r>
      <w:bookmarkStart w:id="2" w:name="_Hlk53409406"/>
      <w:r w:rsidRPr="00401E7E">
        <w:rPr>
          <w:lang w:val="fr-FR"/>
        </w:rPr>
        <w:t>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>ONU</w:t>
      </w:r>
      <w:bookmarkEnd w:id="2"/>
      <w:r w:rsidRPr="00401E7E">
        <w:rPr>
          <w:lang w:val="fr-FR"/>
        </w:rPr>
        <w:t xml:space="preserve"> 1891 BROMURE D</w:t>
      </w:r>
      <w:r>
        <w:rPr>
          <w:lang w:val="fr-FR"/>
        </w:rPr>
        <w:t>’</w:t>
      </w:r>
      <w:r w:rsidRPr="00401E7E">
        <w:rPr>
          <w:lang w:val="fr-FR"/>
        </w:rPr>
        <w:t>ÉTHYLE n</w:t>
      </w:r>
      <w:r>
        <w:rPr>
          <w:lang w:val="fr-FR"/>
        </w:rPr>
        <w:t>’</w:t>
      </w:r>
      <w:r w:rsidRPr="00401E7E">
        <w:rPr>
          <w:lang w:val="fr-FR"/>
        </w:rPr>
        <w:t>est actuellement pas classé conformément au danger qu</w:t>
      </w:r>
      <w:r>
        <w:rPr>
          <w:lang w:val="fr-FR"/>
        </w:rPr>
        <w:t>’</w:t>
      </w:r>
      <w:r w:rsidRPr="00401E7E">
        <w:rPr>
          <w:lang w:val="fr-FR"/>
        </w:rPr>
        <w:t>il représente</w:t>
      </w:r>
      <w:r w:rsidR="00B03DF4" w:rsidRPr="00B03DF4">
        <w:rPr>
          <w:lang w:val="fr-FR"/>
        </w:rPr>
        <w:t>.</w:t>
      </w:r>
    </w:p>
    <w:p w14:paraId="5E17B796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>Plus précisément, différentes sources indiquent que son point d</w:t>
      </w:r>
      <w:r>
        <w:rPr>
          <w:lang w:val="fr-FR"/>
        </w:rPr>
        <w:t>’</w:t>
      </w:r>
      <w:r w:rsidRPr="00401E7E">
        <w:rPr>
          <w:lang w:val="fr-FR"/>
        </w:rPr>
        <w:t>éclair (</w:t>
      </w:r>
      <w:r w:rsidR="009768D4">
        <w:rPr>
          <w:lang w:val="fr-FR"/>
        </w:rPr>
        <w:t>-</w:t>
      </w:r>
      <w:r w:rsidRPr="00401E7E">
        <w:rPr>
          <w:lang w:val="fr-FR"/>
        </w:rPr>
        <w:t>20 °C) et son point d</w:t>
      </w:r>
      <w:r>
        <w:rPr>
          <w:lang w:val="fr-FR"/>
        </w:rPr>
        <w:t>’</w:t>
      </w:r>
      <w:r w:rsidRPr="00401E7E">
        <w:rPr>
          <w:lang w:val="fr-FR"/>
        </w:rPr>
        <w:t>ébullition (38 °C) satisfont clairement aux critères d</w:t>
      </w:r>
      <w:r>
        <w:rPr>
          <w:lang w:val="fr-FR"/>
        </w:rPr>
        <w:t>’</w:t>
      </w:r>
      <w:r w:rsidRPr="00401E7E">
        <w:rPr>
          <w:lang w:val="fr-FR"/>
        </w:rPr>
        <w:t>inclusion dans la classe 3, groupe d</w:t>
      </w:r>
      <w:r>
        <w:rPr>
          <w:lang w:val="fr-FR"/>
        </w:rPr>
        <w:t>’</w:t>
      </w:r>
      <w:r w:rsidRPr="00401E7E">
        <w:rPr>
          <w:lang w:val="fr-FR"/>
        </w:rPr>
        <w:t>emballage II (définie par un point d</w:t>
      </w:r>
      <w:r>
        <w:rPr>
          <w:lang w:val="fr-FR"/>
        </w:rPr>
        <w:t>’</w:t>
      </w:r>
      <w:r w:rsidRPr="00401E7E">
        <w:rPr>
          <w:lang w:val="fr-FR"/>
        </w:rPr>
        <w:t>éclair inférieur à 23 °C et un point d</w:t>
      </w:r>
      <w:r>
        <w:rPr>
          <w:lang w:val="fr-FR"/>
        </w:rPr>
        <w:t>’</w:t>
      </w:r>
      <w:r w:rsidRPr="00401E7E">
        <w:rPr>
          <w:lang w:val="fr-FR"/>
        </w:rPr>
        <w:t>ébullition supérieur à 35 °C, voir par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 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3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6)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En outre, comme il est également expliqué dans le document informel INF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11 (cinquante-sixième session), compte tenu de la classification actuelle du 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>ONU 1891 en tant que matière de la division 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1, groupe d</w:t>
      </w:r>
      <w:r>
        <w:rPr>
          <w:lang w:val="fr-FR"/>
        </w:rPr>
        <w:t>’</w:t>
      </w:r>
      <w:r w:rsidRPr="00401E7E">
        <w:rPr>
          <w:lang w:val="fr-FR"/>
        </w:rPr>
        <w:t xml:space="preserve">emballage II, il semble que, </w:t>
      </w:r>
      <w:r>
        <w:rPr>
          <w:lang w:val="fr-FR"/>
        </w:rPr>
        <w:t xml:space="preserve">en </w:t>
      </w:r>
      <w:r w:rsidRPr="00401E7E">
        <w:rPr>
          <w:lang w:val="fr-FR"/>
        </w:rPr>
        <w:t>appli</w:t>
      </w:r>
      <w:r>
        <w:rPr>
          <w:lang w:val="fr-FR"/>
        </w:rPr>
        <w:t>cation d</w:t>
      </w:r>
      <w:r w:rsidRPr="00401E7E">
        <w:rPr>
          <w:lang w:val="fr-FR"/>
        </w:rPr>
        <w:t xml:space="preserve">es principes de priorité des dangers énoncés au </w:t>
      </w:r>
      <w:r>
        <w:rPr>
          <w:lang w:val="fr-FR"/>
        </w:rPr>
        <w:t>paragraphe</w:t>
      </w:r>
      <w:r w:rsidRPr="00401E7E">
        <w:rPr>
          <w:lang w:val="fr-FR"/>
        </w:rPr>
        <w:t xml:space="preserve"> 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0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3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3, le</w:t>
      </w:r>
      <w:r>
        <w:rPr>
          <w:lang w:val="fr-FR"/>
        </w:rPr>
        <w:t>dit</w:t>
      </w:r>
      <w:r w:rsidRPr="00401E7E">
        <w:rPr>
          <w:lang w:val="fr-FR"/>
        </w:rPr>
        <w:t xml:space="preserve"> 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>ONU 1891</w:t>
      </w:r>
      <w:r>
        <w:rPr>
          <w:lang w:val="fr-FR"/>
        </w:rPr>
        <w:t xml:space="preserve"> </w:t>
      </w:r>
      <w:r w:rsidRPr="00401E7E">
        <w:rPr>
          <w:lang w:val="fr-FR"/>
        </w:rPr>
        <w:t>devrait plutôt être classé comme matière de la classe 3, groupe d</w:t>
      </w:r>
      <w:r>
        <w:rPr>
          <w:lang w:val="fr-FR"/>
        </w:rPr>
        <w:t>’</w:t>
      </w:r>
      <w:r w:rsidRPr="00401E7E">
        <w:rPr>
          <w:lang w:val="fr-FR"/>
        </w:rPr>
        <w:t>emballage II, et affecté d</w:t>
      </w:r>
      <w:r>
        <w:rPr>
          <w:lang w:val="fr-FR"/>
        </w:rPr>
        <w:t>’</w:t>
      </w:r>
      <w:r w:rsidRPr="00401E7E">
        <w:rPr>
          <w:lang w:val="fr-FR"/>
        </w:rPr>
        <w:t>un danger subsidiaire de la division 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</w:t>
      </w:r>
      <w:r w:rsidR="00B03DF4" w:rsidRPr="00B03DF4">
        <w:rPr>
          <w:lang w:val="fr-FR"/>
        </w:rPr>
        <w:t>.</w:t>
      </w:r>
    </w:p>
    <w:p w14:paraId="4EEAE476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3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>Comme déjà indiqué dans le document informel INF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11 (cinquante-sixième session), le règlement européen CLP indique également que le principal danger de cette matière est l</w:t>
      </w:r>
      <w:r>
        <w:rPr>
          <w:lang w:val="fr-FR"/>
        </w:rPr>
        <w:t>’</w:t>
      </w:r>
      <w:r w:rsidRPr="00401E7E">
        <w:rPr>
          <w:lang w:val="fr-FR"/>
        </w:rPr>
        <w:t>inflammabilité plutôt que la toxicité, car elle est classée comme un liquide inflammable de catégorie 2, tout en étant classée dans la catégorie 4 pour la toxicité orale aiguë et la toxicité aiguë par inhalation</w:t>
      </w:r>
      <w:r w:rsidR="00B03DF4" w:rsidRPr="00B03DF4">
        <w:rPr>
          <w:lang w:val="fr-FR"/>
        </w:rPr>
        <w:t>.</w:t>
      </w:r>
    </w:p>
    <w:p w14:paraId="244B5D15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4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>Outre le fait que le danger principal devrait être l</w:t>
      </w:r>
      <w:r>
        <w:rPr>
          <w:lang w:val="fr-FR"/>
        </w:rPr>
        <w:t>’</w:t>
      </w:r>
      <w:r w:rsidRPr="00401E7E">
        <w:rPr>
          <w:lang w:val="fr-FR"/>
        </w:rPr>
        <w:t>inflammabilité plutôt que la toxicité, les données scientifiques obtenues font douter que le 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>ONU 1891 réponde effectivement aux critères d</w:t>
      </w:r>
      <w:r>
        <w:rPr>
          <w:lang w:val="fr-FR"/>
        </w:rPr>
        <w:t>’</w:t>
      </w:r>
      <w:r w:rsidRPr="00401E7E">
        <w:rPr>
          <w:lang w:val="fr-FR"/>
        </w:rPr>
        <w:t>inclusion dans la division 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 selon les principes de classification du Règlement type de l</w:t>
      </w:r>
      <w:r>
        <w:rPr>
          <w:lang w:val="fr-FR"/>
        </w:rPr>
        <w:t>’</w:t>
      </w:r>
      <w:r w:rsidRPr="00401E7E">
        <w:rPr>
          <w:lang w:val="fr-FR"/>
        </w:rPr>
        <w:t>ONU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La valeur obtenue pour la DL</w:t>
      </w:r>
      <w:r w:rsidRPr="00401E7E">
        <w:rPr>
          <w:vertAlign w:val="subscript"/>
          <w:lang w:val="fr-FR"/>
        </w:rPr>
        <w:t>50</w:t>
      </w:r>
      <w:r w:rsidRPr="00401E7E">
        <w:rPr>
          <w:lang w:val="fr-FR"/>
        </w:rPr>
        <w:t xml:space="preserve"> pour la toxicité </w:t>
      </w:r>
      <w:r w:rsidRPr="00401E7E">
        <w:rPr>
          <w:lang w:val="fr-FR"/>
        </w:rPr>
        <w:lastRenderedPageBreak/>
        <w:t>orale (1 350 mg/kg) est clairement supérieure à la limite supérieure pour l</w:t>
      </w:r>
      <w:r>
        <w:rPr>
          <w:lang w:val="fr-FR"/>
        </w:rPr>
        <w:t>’</w:t>
      </w:r>
      <w:r w:rsidRPr="00401E7E">
        <w:rPr>
          <w:lang w:val="fr-FR"/>
        </w:rPr>
        <w:t>inclusion dans la division 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1 pour cause de toxicité orale (300 mg/kg, voir </w:t>
      </w:r>
      <w:r w:rsidRPr="00941262">
        <w:rPr>
          <w:lang w:val="fr-FR"/>
        </w:rPr>
        <w:t>par</w:t>
      </w:r>
      <w:r w:rsidR="00B03DF4" w:rsidRPr="00B03DF4">
        <w:rPr>
          <w:lang w:val="fr-FR"/>
        </w:rPr>
        <w:t>.</w:t>
      </w:r>
      <w:r w:rsidRPr="00941262">
        <w:rPr>
          <w:lang w:val="fr-FR"/>
        </w:rPr>
        <w:t xml:space="preserve"> </w:t>
      </w:r>
      <w:r w:rsidRPr="00401E7E">
        <w:rPr>
          <w:lang w:val="fr-FR"/>
        </w:rPr>
        <w:t>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4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1)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En outre, aucune des sources de données n</w:t>
      </w:r>
      <w:r>
        <w:rPr>
          <w:lang w:val="fr-FR"/>
        </w:rPr>
        <w:t>’</w:t>
      </w:r>
      <w:r w:rsidRPr="00401E7E">
        <w:rPr>
          <w:lang w:val="fr-FR"/>
        </w:rPr>
        <w:t>indique que le 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 xml:space="preserve">ONU 1891 </w:t>
      </w:r>
      <w:r>
        <w:rPr>
          <w:lang w:val="fr-FR"/>
        </w:rPr>
        <w:t>soit</w:t>
      </w:r>
      <w:r w:rsidRPr="00401E7E">
        <w:rPr>
          <w:lang w:val="fr-FR"/>
        </w:rPr>
        <w:t xml:space="preserve"> toxique par voie cutanée</w:t>
      </w:r>
      <w:r w:rsidR="00B03DF4" w:rsidRPr="00B03DF4">
        <w:rPr>
          <w:lang w:val="fr-FR"/>
        </w:rPr>
        <w:t>.</w:t>
      </w:r>
    </w:p>
    <w:p w14:paraId="7A3EBCC7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5</w:t>
      </w:r>
      <w:r w:rsidRPr="00401E7E">
        <w:rPr>
          <w:lang w:val="fr-FR"/>
        </w:rPr>
        <w:tab/>
        <w:t>Toutefois, après une nouvelle analyse des données obtenues concernant la toxicité par inhalation, il n</w:t>
      </w:r>
      <w:r>
        <w:rPr>
          <w:lang w:val="fr-FR"/>
        </w:rPr>
        <w:t>’</w:t>
      </w:r>
      <w:r w:rsidRPr="00401E7E">
        <w:rPr>
          <w:lang w:val="fr-FR"/>
        </w:rPr>
        <w:t>est pas certain que l</w:t>
      </w:r>
      <w:r>
        <w:rPr>
          <w:lang w:val="fr-FR"/>
        </w:rPr>
        <w:t>’</w:t>
      </w:r>
      <w:r w:rsidRPr="00401E7E">
        <w:rPr>
          <w:lang w:val="fr-FR"/>
        </w:rPr>
        <w:t>on puisse conclure que le bromure d</w:t>
      </w:r>
      <w:r>
        <w:rPr>
          <w:lang w:val="fr-FR"/>
        </w:rPr>
        <w:t>’</w:t>
      </w:r>
      <w:r w:rsidRPr="00401E7E">
        <w:rPr>
          <w:lang w:val="fr-FR"/>
        </w:rPr>
        <w:t>éthyle satisfa</w:t>
      </w:r>
      <w:r>
        <w:rPr>
          <w:lang w:val="fr-FR"/>
        </w:rPr>
        <w:t>sse</w:t>
      </w:r>
      <w:r w:rsidRPr="00401E7E">
        <w:rPr>
          <w:lang w:val="fr-FR"/>
        </w:rPr>
        <w:t xml:space="preserve"> ou non aux critères de toxicité par inhalation de vapeurs énoncés au </w:t>
      </w:r>
      <w:r>
        <w:rPr>
          <w:lang w:val="fr-FR"/>
        </w:rPr>
        <w:t>paragraphe </w:t>
      </w:r>
      <w:r w:rsidRPr="00401E7E">
        <w:rPr>
          <w:lang w:val="fr-FR"/>
        </w:rPr>
        <w:t>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4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3 du Règlement type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Néanmoins, la classification selon le règlement CLP (c</w:t>
      </w:r>
      <w:r>
        <w:rPr>
          <w:lang w:val="fr-FR"/>
        </w:rPr>
        <w:t>’</w:t>
      </w:r>
      <w:r w:rsidRPr="00401E7E">
        <w:rPr>
          <w:lang w:val="fr-FR"/>
        </w:rPr>
        <w:t>est-à-dire la catégorie 4 pour la toxicité aiguë par inhalation) suggère que le N</w:t>
      </w:r>
      <w:r w:rsidRPr="002A02B5">
        <w:rPr>
          <w:vertAlign w:val="superscript"/>
          <w:lang w:val="fr-FR"/>
        </w:rPr>
        <w:t>o</w:t>
      </w:r>
      <w:r w:rsidRPr="00401E7E">
        <w:rPr>
          <w:lang w:val="fr-FR"/>
        </w:rPr>
        <w:t> ONU 1891 BROMURE D</w:t>
      </w:r>
      <w:r>
        <w:rPr>
          <w:lang w:val="fr-FR"/>
        </w:rPr>
        <w:t>’</w:t>
      </w:r>
      <w:r w:rsidRPr="00401E7E">
        <w:rPr>
          <w:lang w:val="fr-FR"/>
        </w:rPr>
        <w:t>ÉTHYLE ne devrait effectivement pas être classé comme toxique par inhalation selon le Règlement type</w:t>
      </w:r>
      <w:r>
        <w:rPr>
          <w:lang w:val="fr-FR"/>
        </w:rPr>
        <w:t>,</w:t>
      </w:r>
      <w:r w:rsidRPr="00401E7E">
        <w:rPr>
          <w:lang w:val="fr-FR"/>
        </w:rPr>
        <w:t xml:space="preserve"> car le tableau A1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18 de l</w:t>
      </w:r>
      <w:r>
        <w:rPr>
          <w:lang w:val="fr-FR"/>
        </w:rPr>
        <w:t>’</w:t>
      </w:r>
      <w:r w:rsidRPr="00401E7E">
        <w:rPr>
          <w:lang w:val="fr-FR"/>
        </w:rPr>
        <w:t>annexe</w:t>
      </w:r>
      <w:r>
        <w:rPr>
          <w:lang w:val="fr-FR"/>
        </w:rPr>
        <w:t> </w:t>
      </w:r>
      <w:r w:rsidRPr="00401E7E">
        <w:rPr>
          <w:lang w:val="fr-FR"/>
        </w:rPr>
        <w:t>1 du S</w:t>
      </w:r>
      <w:r>
        <w:rPr>
          <w:lang w:val="fr-FR"/>
        </w:rPr>
        <w:t>ystème général harmonisé</w:t>
      </w:r>
      <w:r w:rsidRPr="00401E7E">
        <w:rPr>
          <w:lang w:val="fr-FR"/>
        </w:rPr>
        <w:t xml:space="preserve"> indique que la catégorie 4 pour la toxicité aiguë ne nécessite pas de </w:t>
      </w:r>
      <w:r>
        <w:rPr>
          <w:lang w:val="fr-FR"/>
        </w:rPr>
        <w:t xml:space="preserve">le </w:t>
      </w:r>
      <w:r w:rsidRPr="00401E7E">
        <w:rPr>
          <w:lang w:val="fr-FR"/>
        </w:rPr>
        <w:t>classe</w:t>
      </w:r>
      <w:r>
        <w:rPr>
          <w:lang w:val="fr-FR"/>
        </w:rPr>
        <w:t>r</w:t>
      </w:r>
      <w:r w:rsidRPr="00401E7E">
        <w:rPr>
          <w:lang w:val="fr-FR"/>
        </w:rPr>
        <w:t xml:space="preserve"> </w:t>
      </w:r>
      <w:r>
        <w:rPr>
          <w:lang w:val="fr-FR"/>
        </w:rPr>
        <w:t xml:space="preserve">dans </w:t>
      </w:r>
      <w:r w:rsidRPr="00401E7E">
        <w:rPr>
          <w:lang w:val="fr-FR"/>
        </w:rPr>
        <w:t>la division 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1 </w:t>
      </w:r>
      <w:r>
        <w:rPr>
          <w:lang w:val="fr-FR"/>
        </w:rPr>
        <w:t xml:space="preserve">conformément au </w:t>
      </w:r>
      <w:r w:rsidRPr="00401E7E">
        <w:rPr>
          <w:lang w:val="fr-FR"/>
        </w:rPr>
        <w:t>Règlement type</w:t>
      </w:r>
      <w:r w:rsidR="00B03DF4" w:rsidRPr="00B03DF4">
        <w:rPr>
          <w:lang w:val="fr-FR"/>
        </w:rPr>
        <w:t>.</w:t>
      </w:r>
    </w:p>
    <w:p w14:paraId="53DD0971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>Lors de l</w:t>
      </w:r>
      <w:r>
        <w:rPr>
          <w:lang w:val="fr-FR"/>
        </w:rPr>
        <w:t>’</w:t>
      </w:r>
      <w:r w:rsidRPr="00401E7E">
        <w:rPr>
          <w:lang w:val="fr-FR"/>
        </w:rPr>
        <w:t>examen du document informel INF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11 (cinquante-sixième session), le Sous-Comité a décidé que le classement devrait être revu et, avec quelques réserves, il a appuyé le reclassement du N</w:t>
      </w:r>
      <w:r w:rsidRPr="00401E7E">
        <w:rPr>
          <w:vertAlign w:val="superscript"/>
          <w:lang w:val="fr-FR"/>
        </w:rPr>
        <w:t>o</w:t>
      </w:r>
      <w:r w:rsidRPr="00401E7E">
        <w:rPr>
          <w:lang w:val="fr-FR"/>
        </w:rPr>
        <w:t xml:space="preserve"> ONU 1891 BROMURE D</w:t>
      </w:r>
      <w:r>
        <w:rPr>
          <w:lang w:val="fr-FR"/>
        </w:rPr>
        <w:t>’</w:t>
      </w:r>
      <w:r w:rsidRPr="00401E7E">
        <w:rPr>
          <w:lang w:val="fr-FR"/>
        </w:rPr>
        <w:t xml:space="preserve">ÉTHYLE </w:t>
      </w:r>
      <w:r>
        <w:rPr>
          <w:lang w:val="fr-FR"/>
        </w:rPr>
        <w:t xml:space="preserve">dans </w:t>
      </w:r>
      <w:r w:rsidRPr="00401E7E">
        <w:rPr>
          <w:lang w:val="fr-FR"/>
        </w:rPr>
        <w:t>la classe 3, groupe d</w:t>
      </w:r>
      <w:r>
        <w:rPr>
          <w:lang w:val="fr-FR"/>
        </w:rPr>
        <w:t>’</w:t>
      </w:r>
      <w:r w:rsidRPr="00401E7E">
        <w:rPr>
          <w:lang w:val="fr-FR"/>
        </w:rPr>
        <w:t>emballage II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En ce qui concerne le classement </w:t>
      </w:r>
      <w:r>
        <w:rPr>
          <w:lang w:val="fr-FR"/>
        </w:rPr>
        <w:t xml:space="preserve">dans </w:t>
      </w:r>
      <w:r w:rsidRPr="00401E7E">
        <w:rPr>
          <w:lang w:val="fr-FR"/>
        </w:rPr>
        <w:t>la division 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1, certains ont exprimé le besoin de disposer de plus de données et de connaître la justification ou les données à l</w:t>
      </w:r>
      <w:r>
        <w:rPr>
          <w:lang w:val="fr-FR"/>
        </w:rPr>
        <w:t>’</w:t>
      </w:r>
      <w:r w:rsidRPr="00401E7E">
        <w:rPr>
          <w:lang w:val="fr-FR"/>
        </w:rPr>
        <w:t xml:space="preserve">appui du classement initial </w:t>
      </w:r>
      <w:r>
        <w:rPr>
          <w:lang w:val="fr-FR"/>
        </w:rPr>
        <w:t xml:space="preserve">dans </w:t>
      </w:r>
      <w:r w:rsidRPr="00401E7E">
        <w:rPr>
          <w:lang w:val="fr-FR"/>
        </w:rPr>
        <w:t>la division 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 (voir le document ST/SG/AC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10/C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3/112, par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39)</w:t>
      </w:r>
      <w:r w:rsidR="00B03DF4" w:rsidRPr="00B03DF4">
        <w:rPr>
          <w:lang w:val="fr-FR"/>
        </w:rPr>
        <w:t>.</w:t>
      </w:r>
    </w:p>
    <w:p w14:paraId="61C0044C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7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>En ce qui concerne l</w:t>
      </w:r>
      <w:r>
        <w:rPr>
          <w:lang w:val="fr-FR"/>
        </w:rPr>
        <w:t>’</w:t>
      </w:r>
      <w:r w:rsidRPr="00401E7E">
        <w:rPr>
          <w:lang w:val="fr-FR"/>
        </w:rPr>
        <w:t xml:space="preserve">inflammabilité, certaines sources de données mentionnent que la valeur de </w:t>
      </w:r>
      <w:r w:rsidR="009768D4">
        <w:rPr>
          <w:lang w:val="fr-FR"/>
        </w:rPr>
        <w:t>-</w:t>
      </w:r>
      <w:r w:rsidRPr="00401E7E">
        <w:rPr>
          <w:lang w:val="fr-FR"/>
        </w:rPr>
        <w:t>20 °C pour le point d</w:t>
      </w:r>
      <w:r>
        <w:rPr>
          <w:lang w:val="fr-FR"/>
        </w:rPr>
        <w:t>’</w:t>
      </w:r>
      <w:r w:rsidRPr="00401E7E">
        <w:rPr>
          <w:lang w:val="fr-FR"/>
        </w:rPr>
        <w:t>éclair a été obtenue en utilisant la méthode du vase clos, ce qui est conforme aux prescriptions du tableau 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3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6 du Règlement type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En outre, en 2009, l</w:t>
      </w:r>
      <w:r>
        <w:rPr>
          <w:lang w:val="fr-FR"/>
        </w:rPr>
        <w:t>’</w:t>
      </w:r>
      <w:r w:rsidRPr="00401E7E">
        <w:rPr>
          <w:lang w:val="fr-FR"/>
        </w:rPr>
        <w:t>examen</w:t>
      </w:r>
      <w:r>
        <w:rPr>
          <w:lang w:val="fr-FR"/>
        </w:rPr>
        <w:t>,</w:t>
      </w:r>
      <w:r w:rsidRPr="00401E7E">
        <w:rPr>
          <w:lang w:val="fr-FR"/>
        </w:rPr>
        <w:t xml:space="preserve"> par le Groupe d</w:t>
      </w:r>
      <w:r>
        <w:rPr>
          <w:lang w:val="fr-FR"/>
        </w:rPr>
        <w:t>’</w:t>
      </w:r>
      <w:r w:rsidRPr="00401E7E">
        <w:rPr>
          <w:lang w:val="fr-FR"/>
        </w:rPr>
        <w:t>experts sur les marchandises dangereuses de l</w:t>
      </w:r>
      <w:r>
        <w:rPr>
          <w:lang w:val="fr-FR"/>
        </w:rPr>
        <w:t>’</w:t>
      </w:r>
      <w:r w:rsidRPr="00401E7E">
        <w:rPr>
          <w:lang w:val="fr-FR"/>
        </w:rPr>
        <w:t>Organisation de l</w:t>
      </w:r>
      <w:r>
        <w:rPr>
          <w:lang w:val="fr-FR"/>
        </w:rPr>
        <w:t>’</w:t>
      </w:r>
      <w:r w:rsidRPr="00401E7E">
        <w:rPr>
          <w:lang w:val="fr-FR"/>
        </w:rPr>
        <w:t>aviation civile internationale (OACI) à sa vingt-deuxième session</w:t>
      </w:r>
      <w:r>
        <w:rPr>
          <w:lang w:val="fr-FR"/>
        </w:rPr>
        <w:t>,</w:t>
      </w:r>
      <w:r w:rsidRPr="00401E7E">
        <w:rPr>
          <w:lang w:val="fr-FR"/>
        </w:rPr>
        <w:t xml:space="preserve"> du document de travail 44 sur la classification du N</w:t>
      </w:r>
      <w:r w:rsidRPr="00401E7E">
        <w:rPr>
          <w:vertAlign w:val="superscript"/>
          <w:lang w:val="fr-FR"/>
        </w:rPr>
        <w:t>o</w:t>
      </w:r>
      <w:r w:rsidRPr="00401E7E">
        <w:rPr>
          <w:lang w:val="fr-FR"/>
        </w:rPr>
        <w:t> ONU 1891 BROMURE D</w:t>
      </w:r>
      <w:r>
        <w:rPr>
          <w:lang w:val="fr-FR"/>
        </w:rPr>
        <w:t>’</w:t>
      </w:r>
      <w:r w:rsidRPr="00401E7E">
        <w:rPr>
          <w:lang w:val="fr-FR"/>
        </w:rPr>
        <w:t>ÉTHYLE (document informel INF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21) a apporté des éléments supplémentaires indiquant que le 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>ONU 1891 répondait effectivement aux critères de class</w:t>
      </w:r>
      <w:r>
        <w:rPr>
          <w:lang w:val="fr-FR"/>
        </w:rPr>
        <w:t>ement</w:t>
      </w:r>
      <w:r w:rsidRPr="00401E7E">
        <w:rPr>
          <w:lang w:val="fr-FR"/>
        </w:rPr>
        <w:t xml:space="preserve"> dans la classe 3, groupe d</w:t>
      </w:r>
      <w:r>
        <w:rPr>
          <w:lang w:val="fr-FR"/>
        </w:rPr>
        <w:t>’</w:t>
      </w:r>
      <w:r w:rsidRPr="00401E7E">
        <w:rPr>
          <w:lang w:val="fr-FR"/>
        </w:rPr>
        <w:t>emballage II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Toutefois, il a été noté dans le rapport du Groupe d</w:t>
      </w:r>
      <w:r>
        <w:rPr>
          <w:lang w:val="fr-FR"/>
        </w:rPr>
        <w:t>’</w:t>
      </w:r>
      <w:r w:rsidRPr="00401E7E">
        <w:rPr>
          <w:lang w:val="fr-FR"/>
        </w:rPr>
        <w:t>experts de l</w:t>
      </w:r>
      <w:r>
        <w:rPr>
          <w:lang w:val="fr-FR"/>
        </w:rPr>
        <w:t>’</w:t>
      </w:r>
      <w:r w:rsidRPr="00401E7E">
        <w:rPr>
          <w:lang w:val="fr-FR"/>
        </w:rPr>
        <w:t>OACI (par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 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3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4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1) que cette proposition avait été retirée parce qu</w:t>
      </w:r>
      <w:r>
        <w:rPr>
          <w:lang w:val="fr-FR"/>
        </w:rPr>
        <w:t>’</w:t>
      </w:r>
      <w:r w:rsidRPr="00401E7E">
        <w:rPr>
          <w:lang w:val="fr-FR"/>
        </w:rPr>
        <w:t>elle devait être examinée par le Sous-Comité</w:t>
      </w:r>
      <w:r w:rsidR="00B03DF4" w:rsidRPr="00B03DF4">
        <w:rPr>
          <w:lang w:val="fr-FR"/>
        </w:rPr>
        <w:t>.</w:t>
      </w:r>
    </w:p>
    <w:p w14:paraId="1E71C60E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8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>Une recherche a été entreprise par le secrétariat et les services de bibliothèque de l</w:t>
      </w:r>
      <w:r>
        <w:rPr>
          <w:lang w:val="fr-FR"/>
        </w:rPr>
        <w:t>’</w:t>
      </w:r>
      <w:r w:rsidRPr="00401E7E">
        <w:rPr>
          <w:lang w:val="fr-FR"/>
        </w:rPr>
        <w:t>ONU et il semble que le bromure d</w:t>
      </w:r>
      <w:r>
        <w:rPr>
          <w:lang w:val="fr-FR"/>
        </w:rPr>
        <w:t>’</w:t>
      </w:r>
      <w:r w:rsidRPr="00401E7E">
        <w:rPr>
          <w:lang w:val="fr-FR"/>
        </w:rPr>
        <w:t>éthyle ait été initialement inclus dans la « Liste des marchandises dangereuses de l</w:t>
      </w:r>
      <w:r>
        <w:rPr>
          <w:lang w:val="fr-FR"/>
        </w:rPr>
        <w:t>’</w:t>
      </w:r>
      <w:r w:rsidRPr="00401E7E">
        <w:rPr>
          <w:lang w:val="fr-FR"/>
        </w:rPr>
        <w:t>ONU » par le « Comité d</w:t>
      </w:r>
      <w:r>
        <w:rPr>
          <w:lang w:val="fr-FR"/>
        </w:rPr>
        <w:t>’</w:t>
      </w:r>
      <w:r w:rsidRPr="00401E7E">
        <w:rPr>
          <w:lang w:val="fr-FR"/>
        </w:rPr>
        <w:t>experts chargé de poursuivre l</w:t>
      </w:r>
      <w:r>
        <w:rPr>
          <w:lang w:val="fr-FR"/>
        </w:rPr>
        <w:t>’</w:t>
      </w:r>
      <w:r w:rsidRPr="00401E7E">
        <w:rPr>
          <w:lang w:val="fr-FR"/>
        </w:rPr>
        <w:t>étude du transport des marchandises dangereuses » à sa deuxième session, tenue en 1961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Cette inscription était fondée sur sa présence sur une liste communiquée par l</w:t>
      </w:r>
      <w:r>
        <w:rPr>
          <w:lang w:val="fr-FR"/>
        </w:rPr>
        <w:t>’</w:t>
      </w:r>
      <w:r w:rsidRPr="00401E7E">
        <w:rPr>
          <w:lang w:val="fr-FR"/>
        </w:rPr>
        <w:t>Association internationale du transport aérien (IATA) en tant qu</w:t>
      </w:r>
      <w:proofErr w:type="gramStart"/>
      <w:r>
        <w:rPr>
          <w:lang w:val="fr-FR"/>
        </w:rPr>
        <w:t>’</w:t>
      </w:r>
      <w:r w:rsidRPr="00401E7E">
        <w:rPr>
          <w:lang w:val="fr-FR"/>
        </w:rPr>
        <w:t>«</w:t>
      </w:r>
      <w:proofErr w:type="gramEnd"/>
      <w:r w:rsidRPr="00401E7E">
        <w:rPr>
          <w:lang w:val="fr-FR"/>
        </w:rPr>
        <w:t> autre article faisant l</w:t>
      </w:r>
      <w:r>
        <w:rPr>
          <w:lang w:val="fr-FR"/>
        </w:rPr>
        <w:t>’</w:t>
      </w:r>
      <w:r w:rsidRPr="00401E7E">
        <w:rPr>
          <w:lang w:val="fr-FR"/>
        </w:rPr>
        <w:t>objet de restrictions », ce qui signifiait qu</w:t>
      </w:r>
      <w:r>
        <w:rPr>
          <w:lang w:val="fr-FR"/>
        </w:rPr>
        <w:t>’</w:t>
      </w:r>
      <w:r w:rsidRPr="00401E7E">
        <w:rPr>
          <w:lang w:val="fr-FR"/>
        </w:rPr>
        <w:t>il était considéré dans certains cas comme un</w:t>
      </w:r>
      <w:r>
        <w:rPr>
          <w:lang w:val="fr-FR"/>
        </w:rPr>
        <w:t>e</w:t>
      </w:r>
      <w:r w:rsidRPr="00401E7E">
        <w:rPr>
          <w:lang w:val="fr-FR"/>
        </w:rPr>
        <w:t xml:space="preserve"> </w:t>
      </w:r>
      <w:r>
        <w:rPr>
          <w:lang w:val="fr-FR"/>
        </w:rPr>
        <w:t>matière</w:t>
      </w:r>
      <w:r w:rsidRPr="00401E7E">
        <w:rPr>
          <w:lang w:val="fr-FR"/>
        </w:rPr>
        <w:t xml:space="preserve"> dangereu</w:t>
      </w:r>
      <w:r>
        <w:rPr>
          <w:lang w:val="fr-FR"/>
        </w:rPr>
        <w:t>se</w:t>
      </w:r>
      <w:r w:rsidRPr="00401E7E">
        <w:rPr>
          <w:lang w:val="fr-FR"/>
        </w:rPr>
        <w:t xml:space="preserve"> pour le transport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Aucune explication de la raison pour laquelle cette matière a par la suite été classée dans la classe 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 n</w:t>
      </w:r>
      <w:r>
        <w:rPr>
          <w:lang w:val="fr-FR"/>
        </w:rPr>
        <w:t>’</w:t>
      </w:r>
      <w:r w:rsidRPr="00401E7E">
        <w:rPr>
          <w:lang w:val="fr-FR"/>
        </w:rPr>
        <w:t xml:space="preserve">a </w:t>
      </w:r>
      <w:r>
        <w:rPr>
          <w:lang w:val="fr-FR"/>
        </w:rPr>
        <w:t xml:space="preserve">été </w:t>
      </w:r>
      <w:r w:rsidRPr="00401E7E">
        <w:rPr>
          <w:lang w:val="fr-FR"/>
        </w:rPr>
        <w:t>fournie (document informel INF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22)</w:t>
      </w:r>
      <w:r w:rsidR="00B03DF4" w:rsidRPr="00B03DF4">
        <w:rPr>
          <w:lang w:val="fr-FR"/>
        </w:rPr>
        <w:t>.</w:t>
      </w:r>
    </w:p>
    <w:p w14:paraId="0DC7D6E3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9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>En dépit des recherches entreprises, aucun autre élément appuyant ou réfutant incontestablement la classification du N</w:t>
      </w:r>
      <w:r w:rsidRPr="00401E7E">
        <w:rPr>
          <w:vertAlign w:val="superscript"/>
          <w:lang w:val="fr-FR"/>
        </w:rPr>
        <w:t>o</w:t>
      </w:r>
      <w:r w:rsidRPr="00401E7E">
        <w:rPr>
          <w:lang w:val="fr-FR"/>
        </w:rPr>
        <w:t xml:space="preserve"> ONU 1891 BROMURE D</w:t>
      </w:r>
      <w:r>
        <w:rPr>
          <w:lang w:val="fr-FR"/>
        </w:rPr>
        <w:t>’</w:t>
      </w:r>
      <w:r w:rsidRPr="00401E7E">
        <w:rPr>
          <w:lang w:val="fr-FR"/>
        </w:rPr>
        <w:t>ÉTHYLE en tant que matière répondant aux critères du paragraphe 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4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3 pour la toxicité par inhalation n</w:t>
      </w:r>
      <w:r>
        <w:rPr>
          <w:lang w:val="fr-FR"/>
        </w:rPr>
        <w:t>’</w:t>
      </w:r>
      <w:r w:rsidRPr="00401E7E">
        <w:rPr>
          <w:lang w:val="fr-FR"/>
        </w:rPr>
        <w:t>a été retrouvé à ce jour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Dans le cas où des renseignements seraient obtenus avant la prochaine session, ils seraient communiqués sous la forme d</w:t>
      </w:r>
      <w:r>
        <w:rPr>
          <w:lang w:val="fr-FR"/>
        </w:rPr>
        <w:t>’</w:t>
      </w:r>
      <w:r w:rsidRPr="00401E7E">
        <w:rPr>
          <w:lang w:val="fr-FR"/>
        </w:rPr>
        <w:t>un document informel</w:t>
      </w:r>
      <w:r w:rsidR="00B03DF4" w:rsidRPr="00B03DF4">
        <w:rPr>
          <w:lang w:val="fr-FR"/>
        </w:rPr>
        <w:t>.</w:t>
      </w:r>
    </w:p>
    <w:p w14:paraId="468B8719" w14:textId="77777777" w:rsidR="002761A0" w:rsidRPr="00401E7E" w:rsidRDefault="002761A0" w:rsidP="002761A0">
      <w:pPr>
        <w:pStyle w:val="H1G"/>
        <w:rPr>
          <w:lang w:val="fr-FR"/>
        </w:rPr>
      </w:pPr>
      <w:r w:rsidRPr="00401E7E">
        <w:rPr>
          <w:lang w:val="fr-FR"/>
        </w:rPr>
        <w:tab/>
      </w:r>
      <w:r w:rsidRPr="00401E7E">
        <w:rPr>
          <w:lang w:val="fr-FR"/>
        </w:rPr>
        <w:tab/>
        <w:t>Conséquences du reclassement du N</w:t>
      </w:r>
      <w:r w:rsidRPr="00401E7E">
        <w:rPr>
          <w:vertAlign w:val="superscript"/>
          <w:lang w:val="fr-FR"/>
        </w:rPr>
        <w:t>o</w:t>
      </w:r>
      <w:r w:rsidRPr="00401E7E">
        <w:rPr>
          <w:lang w:val="fr-FR"/>
        </w:rPr>
        <w:t xml:space="preserve"> ONU 1891 </w:t>
      </w:r>
      <w:r>
        <w:rPr>
          <w:lang w:val="fr-FR"/>
        </w:rPr>
        <w:t>dans</w:t>
      </w:r>
      <w:r w:rsidRPr="00401E7E">
        <w:rPr>
          <w:lang w:val="fr-FR"/>
        </w:rPr>
        <w:t> la classe 3, groupe d</w:t>
      </w:r>
      <w:r>
        <w:rPr>
          <w:lang w:val="fr-FR"/>
        </w:rPr>
        <w:t>’</w:t>
      </w:r>
      <w:r w:rsidRPr="00401E7E">
        <w:rPr>
          <w:lang w:val="fr-FR"/>
        </w:rPr>
        <w:t>emballage II</w:t>
      </w:r>
    </w:p>
    <w:p w14:paraId="71CAB29B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10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>Pour mieux comprendre les conséquences de la décision de reclasser ou non le N</w:t>
      </w:r>
      <w:r w:rsidRPr="00401E7E">
        <w:rPr>
          <w:vertAlign w:val="superscript"/>
          <w:lang w:val="fr-FR"/>
        </w:rPr>
        <w:t>o</w:t>
      </w:r>
      <w:r w:rsidRPr="00401E7E">
        <w:rPr>
          <w:lang w:val="fr-FR"/>
        </w:rPr>
        <w:t> ONU 1891 pour les raisons susmentionnées, il a semblé intéressant d</w:t>
      </w:r>
      <w:r>
        <w:rPr>
          <w:lang w:val="fr-FR"/>
        </w:rPr>
        <w:t>’</w:t>
      </w:r>
      <w:r w:rsidRPr="00401E7E">
        <w:rPr>
          <w:lang w:val="fr-FR"/>
        </w:rPr>
        <w:t>analyser les changements dans la liste des marchandises dangereuses qui résulteraient de ce reclassement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Pour faciliter la comparaison, la rubrique actuelle du 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>ONU 1891 dans le Règlement type est indiquée à la figure 1</w:t>
      </w:r>
      <w:r w:rsidR="00B03DF4" w:rsidRPr="00B03DF4">
        <w:rPr>
          <w:lang w:val="fr-FR"/>
        </w:rPr>
        <w:t>.</w:t>
      </w:r>
    </w:p>
    <w:p w14:paraId="0832CD10" w14:textId="77777777" w:rsidR="002761A0" w:rsidRPr="002761A0" w:rsidRDefault="002761A0" w:rsidP="002761A0">
      <w:pPr>
        <w:pStyle w:val="Heading1"/>
        <w:spacing w:after="120"/>
        <w:rPr>
          <w:lang w:val="fr-FR"/>
        </w:rPr>
      </w:pPr>
      <w:r w:rsidRPr="00401E7E">
        <w:rPr>
          <w:b/>
          <w:bCs/>
          <w:lang w:val="fr-FR"/>
        </w:rPr>
        <w:lastRenderedPageBreak/>
        <w:t xml:space="preserve">Figure 1 </w:t>
      </w:r>
      <w:r>
        <w:rPr>
          <w:b/>
          <w:bCs/>
          <w:lang w:val="fr-FR"/>
        </w:rPr>
        <w:br/>
      </w:r>
      <w:r w:rsidRPr="00401E7E">
        <w:rPr>
          <w:lang w:val="fr-FR"/>
        </w:rPr>
        <w:t>Rubrique actuelle du N</w:t>
      </w:r>
      <w:r w:rsidRPr="00401E7E">
        <w:rPr>
          <w:vertAlign w:val="superscript"/>
          <w:lang w:val="fr-FR"/>
        </w:rPr>
        <w:t>o</w:t>
      </w:r>
      <w:r w:rsidRPr="00401E7E">
        <w:rPr>
          <w:lang w:val="fr-FR"/>
        </w:rPr>
        <w:t> ONU 1891 dans la liste des marchandises dangereuses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85"/>
        <w:gridCol w:w="406"/>
        <w:gridCol w:w="322"/>
        <w:gridCol w:w="476"/>
        <w:gridCol w:w="350"/>
        <w:gridCol w:w="671"/>
        <w:gridCol w:w="504"/>
        <w:gridCol w:w="728"/>
        <w:gridCol w:w="448"/>
        <w:gridCol w:w="518"/>
        <w:gridCol w:w="595"/>
      </w:tblGrid>
      <w:tr w:rsidR="002761A0" w:rsidRPr="00401E7E" w14:paraId="6F6A6F92" w14:textId="77777777" w:rsidTr="002761A0">
        <w:trPr>
          <w:cantSplit/>
          <w:trHeight w:val="20"/>
          <w:jc w:val="center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F18FE5" w14:textId="77777777" w:rsidR="002761A0" w:rsidRPr="00401E7E" w:rsidRDefault="002761A0" w:rsidP="00B03DF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40" w:lineRule="auto"/>
              <w:ind w:left="57" w:right="57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401E7E">
              <w:rPr>
                <w:rFonts w:eastAsia="Times New Roman"/>
                <w:sz w:val="16"/>
                <w:szCs w:val="16"/>
                <w:lang w:val="fr-FR"/>
              </w:rPr>
              <w:t>1891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29F6B2" w14:textId="77777777" w:rsidR="002761A0" w:rsidRPr="00401E7E" w:rsidRDefault="002761A0" w:rsidP="00B03DF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40" w:lineRule="auto"/>
              <w:ind w:left="57" w:right="57"/>
              <w:rPr>
                <w:rFonts w:eastAsia="Times New Roman"/>
                <w:sz w:val="16"/>
                <w:szCs w:val="16"/>
                <w:lang w:val="fr-FR"/>
              </w:rPr>
            </w:pPr>
            <w:r w:rsidRPr="00401E7E">
              <w:rPr>
                <w:rFonts w:eastAsia="Times New Roman"/>
                <w:sz w:val="16"/>
                <w:szCs w:val="16"/>
                <w:lang w:val="fr-FR"/>
              </w:rPr>
              <w:t>BROMURE D</w:t>
            </w:r>
            <w:r>
              <w:rPr>
                <w:rFonts w:eastAsia="Times New Roman"/>
                <w:sz w:val="16"/>
                <w:szCs w:val="16"/>
                <w:lang w:val="fr-FR"/>
              </w:rPr>
              <w:t>’</w:t>
            </w:r>
            <w:r w:rsidRPr="00401E7E">
              <w:rPr>
                <w:rFonts w:eastAsia="Times New Roman"/>
                <w:sz w:val="16"/>
                <w:szCs w:val="16"/>
                <w:lang w:val="fr-FR"/>
              </w:rPr>
              <w:t>ÉTHYLE</w:t>
            </w:r>
          </w:p>
        </w:tc>
        <w:tc>
          <w:tcPr>
            <w:tcW w:w="40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9CE7A" w14:textId="77777777" w:rsidR="002761A0" w:rsidRPr="00401E7E" w:rsidRDefault="002761A0" w:rsidP="00B03DF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40" w:lineRule="auto"/>
              <w:ind w:left="57" w:right="57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401E7E">
              <w:rPr>
                <w:rFonts w:eastAsia="Times New Roman"/>
                <w:sz w:val="16"/>
                <w:szCs w:val="16"/>
                <w:lang w:val="fr-FR"/>
              </w:rPr>
              <w:t>6</w:t>
            </w:r>
            <w:r w:rsidR="00B03DF4" w:rsidRPr="00B03DF4">
              <w:rPr>
                <w:rFonts w:eastAsia="Times New Roman"/>
                <w:sz w:val="16"/>
                <w:szCs w:val="16"/>
                <w:lang w:val="fr-FR"/>
              </w:rPr>
              <w:t>.</w:t>
            </w:r>
            <w:r w:rsidRPr="00401E7E">
              <w:rPr>
                <w:rFonts w:eastAsia="Times New Roman"/>
                <w:sz w:val="16"/>
                <w:szCs w:val="16"/>
                <w:lang w:val="fr-FR"/>
              </w:rPr>
              <w:t>1</w:t>
            </w:r>
          </w:p>
        </w:tc>
        <w:tc>
          <w:tcPr>
            <w:tcW w:w="3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A2E08E" w14:textId="77777777" w:rsidR="002761A0" w:rsidRPr="00401E7E" w:rsidRDefault="002761A0" w:rsidP="00B03DF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40" w:lineRule="auto"/>
              <w:ind w:left="57" w:right="57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4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8D974D" w14:textId="77777777" w:rsidR="002761A0" w:rsidRPr="00401E7E" w:rsidRDefault="002761A0" w:rsidP="00B03DF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40" w:lineRule="auto"/>
              <w:ind w:left="57" w:right="57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401E7E">
              <w:rPr>
                <w:rFonts w:eastAsia="Times New Roman"/>
                <w:sz w:val="16"/>
                <w:szCs w:val="16"/>
                <w:lang w:val="fr-FR"/>
              </w:rPr>
              <w:t>II</w:t>
            </w:r>
          </w:p>
        </w:tc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25E83" w14:textId="77777777" w:rsidR="002761A0" w:rsidRPr="00401E7E" w:rsidRDefault="002761A0" w:rsidP="00B03DF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40" w:lineRule="auto"/>
              <w:ind w:left="57" w:right="57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06CAE" w14:textId="77777777" w:rsidR="002761A0" w:rsidRPr="00401E7E" w:rsidRDefault="002761A0" w:rsidP="00B03DF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40" w:lineRule="auto"/>
              <w:ind w:left="57" w:right="57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401E7E">
              <w:rPr>
                <w:rFonts w:eastAsia="Times New Roman"/>
                <w:sz w:val="16"/>
                <w:szCs w:val="16"/>
                <w:lang w:val="fr-FR"/>
              </w:rPr>
              <w:t>100 ml</w:t>
            </w:r>
          </w:p>
        </w:tc>
        <w:tc>
          <w:tcPr>
            <w:tcW w:w="50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F625AF" w14:textId="77777777" w:rsidR="002761A0" w:rsidRPr="00401E7E" w:rsidRDefault="002761A0" w:rsidP="00B03DF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40" w:lineRule="auto"/>
              <w:ind w:left="57" w:right="57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401E7E">
              <w:rPr>
                <w:rFonts w:eastAsia="Times New Roman"/>
                <w:sz w:val="16"/>
                <w:szCs w:val="16"/>
                <w:lang w:val="fr-FR"/>
              </w:rPr>
              <w:t>E4</w:t>
            </w:r>
          </w:p>
        </w:tc>
        <w:tc>
          <w:tcPr>
            <w:tcW w:w="72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06637" w14:textId="77777777" w:rsidR="002761A0" w:rsidRPr="00401E7E" w:rsidRDefault="002761A0" w:rsidP="00B03DF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40" w:lineRule="auto"/>
              <w:ind w:left="57" w:right="57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401E7E">
              <w:rPr>
                <w:rFonts w:eastAsia="Times New Roman"/>
                <w:sz w:val="16"/>
                <w:szCs w:val="16"/>
                <w:lang w:val="fr-FR"/>
              </w:rPr>
              <w:t>P001</w:t>
            </w:r>
            <w:r w:rsidRPr="00401E7E">
              <w:rPr>
                <w:rFonts w:eastAsia="Times New Roman"/>
                <w:sz w:val="16"/>
                <w:szCs w:val="16"/>
                <w:lang w:val="fr-FR"/>
              </w:rPr>
              <w:br/>
              <w:t>IBC02</w:t>
            </w:r>
          </w:p>
        </w:tc>
        <w:tc>
          <w:tcPr>
            <w:tcW w:w="44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2E3C4C" w14:textId="77777777" w:rsidR="002761A0" w:rsidRPr="00401E7E" w:rsidRDefault="002761A0" w:rsidP="00B03DF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40" w:lineRule="auto"/>
              <w:ind w:left="57" w:right="57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401E7E">
              <w:rPr>
                <w:rFonts w:eastAsia="Times New Roman"/>
                <w:sz w:val="16"/>
                <w:szCs w:val="16"/>
                <w:lang w:val="fr-FR"/>
              </w:rPr>
              <w:br/>
              <w:t>B8</w:t>
            </w:r>
          </w:p>
        </w:tc>
        <w:tc>
          <w:tcPr>
            <w:tcW w:w="5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C143C" w14:textId="77777777" w:rsidR="002761A0" w:rsidRPr="00401E7E" w:rsidRDefault="002761A0" w:rsidP="00B03DF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40" w:lineRule="auto"/>
              <w:ind w:left="57" w:right="57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401E7E">
              <w:rPr>
                <w:rFonts w:eastAsia="Times New Roman"/>
                <w:sz w:val="16"/>
                <w:szCs w:val="16"/>
                <w:lang w:val="fr-FR"/>
              </w:rPr>
              <w:t>T7</w:t>
            </w: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313FD4" w14:textId="77777777" w:rsidR="002761A0" w:rsidRPr="00401E7E" w:rsidRDefault="002761A0" w:rsidP="00B03DF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40" w:lineRule="auto"/>
              <w:ind w:left="57" w:right="57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401E7E">
              <w:rPr>
                <w:rFonts w:eastAsia="Times New Roman"/>
                <w:sz w:val="16"/>
                <w:szCs w:val="16"/>
                <w:lang w:val="fr-FR"/>
              </w:rPr>
              <w:t>TP2</w:t>
            </w:r>
            <w:r w:rsidRPr="00401E7E">
              <w:rPr>
                <w:rFonts w:eastAsia="Times New Roman"/>
                <w:sz w:val="16"/>
                <w:szCs w:val="16"/>
                <w:lang w:val="fr-FR"/>
              </w:rPr>
              <w:br/>
              <w:t>TP13</w:t>
            </w:r>
          </w:p>
        </w:tc>
      </w:tr>
    </w:tbl>
    <w:p w14:paraId="61471FC9" w14:textId="77777777" w:rsidR="002761A0" w:rsidRPr="00401E7E" w:rsidRDefault="002761A0" w:rsidP="002761A0">
      <w:pPr>
        <w:pStyle w:val="H1G"/>
        <w:rPr>
          <w:lang w:val="fr-FR"/>
        </w:rPr>
      </w:pPr>
      <w:r w:rsidRPr="00401E7E">
        <w:rPr>
          <w:lang w:val="fr-FR"/>
        </w:rPr>
        <w:tab/>
      </w:r>
      <w:r w:rsidRPr="00401E7E">
        <w:rPr>
          <w:lang w:val="fr-FR"/>
        </w:rPr>
        <w:tab/>
        <w:t xml:space="preserve">Quantité exceptée et </w:t>
      </w:r>
      <w:bookmarkStart w:id="3" w:name="_Hlk53164176"/>
      <w:r w:rsidRPr="00401E7E">
        <w:rPr>
          <w:lang w:val="fr-FR"/>
        </w:rPr>
        <w:t xml:space="preserve">quantité limitée </w:t>
      </w:r>
      <w:bookmarkEnd w:id="3"/>
    </w:p>
    <w:p w14:paraId="009B43A8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11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>En raison de son classement actuel dans la division 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1, groupe d</w:t>
      </w:r>
      <w:r>
        <w:rPr>
          <w:lang w:val="fr-FR"/>
        </w:rPr>
        <w:t>’</w:t>
      </w:r>
      <w:r w:rsidRPr="00401E7E">
        <w:rPr>
          <w:lang w:val="fr-FR"/>
        </w:rPr>
        <w:t>emballage II, la limite supérieure de la quantité limitée du 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>ONU 1891 est de 100 ml et sa quantité exceptée est E4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Conformément aux </w:t>
      </w:r>
      <w:r>
        <w:rPr>
          <w:lang w:val="fr-FR"/>
        </w:rPr>
        <w:t>Principes directeurs</w:t>
      </w:r>
      <w:r w:rsidRPr="00401E7E">
        <w:rPr>
          <w:lang w:val="fr-FR"/>
        </w:rPr>
        <w:t xml:space="preserve"> concernant les matières de la classe 3, groupe d</w:t>
      </w:r>
      <w:r>
        <w:rPr>
          <w:lang w:val="fr-FR"/>
        </w:rPr>
        <w:t>’</w:t>
      </w:r>
      <w:r w:rsidRPr="00401E7E">
        <w:rPr>
          <w:lang w:val="fr-FR"/>
        </w:rPr>
        <w:t>emballage II, la limite supérieure de la quantité limitée est de 1 litre et la quantité exceptée est E2</w:t>
      </w:r>
      <w:r w:rsidR="00B03DF4" w:rsidRPr="00B03DF4">
        <w:rPr>
          <w:lang w:val="fr-FR"/>
        </w:rPr>
        <w:t>.</w:t>
      </w:r>
    </w:p>
    <w:p w14:paraId="5F7F2B24" w14:textId="77777777" w:rsidR="002761A0" w:rsidRPr="00401E7E" w:rsidRDefault="002761A0" w:rsidP="002761A0">
      <w:pPr>
        <w:pStyle w:val="H1G"/>
        <w:rPr>
          <w:lang w:val="fr-FR"/>
        </w:rPr>
      </w:pPr>
      <w:r w:rsidRPr="00401E7E">
        <w:rPr>
          <w:lang w:val="fr-FR"/>
        </w:rPr>
        <w:tab/>
      </w:r>
      <w:r w:rsidRPr="00401E7E">
        <w:rPr>
          <w:lang w:val="fr-FR"/>
        </w:rPr>
        <w:tab/>
        <w:t>Instruction d</w:t>
      </w:r>
      <w:r>
        <w:rPr>
          <w:lang w:val="fr-FR"/>
        </w:rPr>
        <w:t>’</w:t>
      </w:r>
      <w:r w:rsidRPr="00401E7E">
        <w:rPr>
          <w:lang w:val="fr-FR"/>
        </w:rPr>
        <w:t>emballage P001</w:t>
      </w:r>
    </w:p>
    <w:p w14:paraId="2CA6FD3D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12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>Actuellement, l</w:t>
      </w:r>
      <w:r>
        <w:rPr>
          <w:lang w:val="fr-FR"/>
        </w:rPr>
        <w:t>’</w:t>
      </w:r>
      <w:r w:rsidRPr="00401E7E">
        <w:rPr>
          <w:lang w:val="fr-FR"/>
        </w:rPr>
        <w:t>instruction d</w:t>
      </w:r>
      <w:r>
        <w:rPr>
          <w:lang w:val="fr-FR"/>
        </w:rPr>
        <w:t>’</w:t>
      </w:r>
      <w:r w:rsidRPr="00401E7E">
        <w:rPr>
          <w:lang w:val="fr-FR"/>
        </w:rPr>
        <w:t>emballage P001 est affectée au 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>ONU 1891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Il s</w:t>
      </w:r>
      <w:r>
        <w:rPr>
          <w:lang w:val="fr-FR"/>
        </w:rPr>
        <w:t>’</w:t>
      </w:r>
      <w:r w:rsidRPr="00401E7E">
        <w:rPr>
          <w:lang w:val="fr-FR"/>
        </w:rPr>
        <w:t>agit d</w:t>
      </w:r>
      <w:r>
        <w:rPr>
          <w:lang w:val="fr-FR"/>
        </w:rPr>
        <w:t>’</w:t>
      </w:r>
      <w:r w:rsidRPr="00401E7E">
        <w:rPr>
          <w:lang w:val="fr-FR"/>
        </w:rPr>
        <w:t>une instruction générale d</w:t>
      </w:r>
      <w:r>
        <w:rPr>
          <w:lang w:val="fr-FR"/>
        </w:rPr>
        <w:t>’</w:t>
      </w:r>
      <w:r w:rsidRPr="00401E7E">
        <w:rPr>
          <w:lang w:val="fr-FR"/>
        </w:rPr>
        <w:t>emballage pour les liquides, qui est utilisée comme instruction d</w:t>
      </w:r>
      <w:r>
        <w:rPr>
          <w:lang w:val="fr-FR"/>
        </w:rPr>
        <w:t>’</w:t>
      </w:r>
      <w:r w:rsidRPr="00401E7E">
        <w:rPr>
          <w:lang w:val="fr-FR"/>
        </w:rPr>
        <w:t>emballage pour les liquides de différentes classes de marchandises dangereuses et qui est déjà affectée à de nombreuses autres matières de la classe 3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Le reclassement du 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>ONU</w:t>
      </w:r>
      <w:r w:rsidR="00B03DF4">
        <w:rPr>
          <w:lang w:val="fr-FR"/>
        </w:rPr>
        <w:t> </w:t>
      </w:r>
      <w:r w:rsidRPr="00401E7E">
        <w:rPr>
          <w:lang w:val="fr-FR"/>
        </w:rPr>
        <w:t>1891 en matière de la classe 3, groupe d</w:t>
      </w:r>
      <w:r>
        <w:rPr>
          <w:lang w:val="fr-FR"/>
        </w:rPr>
        <w:t>’</w:t>
      </w:r>
      <w:r w:rsidRPr="00401E7E">
        <w:rPr>
          <w:lang w:val="fr-FR"/>
        </w:rPr>
        <w:t>emballage II, ne semblerait donc pas nécessiter de modification de l</w:t>
      </w:r>
      <w:r>
        <w:rPr>
          <w:lang w:val="fr-FR"/>
        </w:rPr>
        <w:t>’</w:t>
      </w:r>
      <w:r w:rsidRPr="00401E7E">
        <w:rPr>
          <w:lang w:val="fr-FR"/>
        </w:rPr>
        <w:t xml:space="preserve">affectation de </w:t>
      </w:r>
      <w:r>
        <w:rPr>
          <w:lang w:val="fr-FR"/>
        </w:rPr>
        <w:t xml:space="preserve">l’instruction d’emballage </w:t>
      </w:r>
      <w:r w:rsidRPr="00401E7E">
        <w:rPr>
          <w:lang w:val="fr-FR"/>
        </w:rPr>
        <w:t xml:space="preserve">P001 audit </w:t>
      </w:r>
      <w:bookmarkStart w:id="4" w:name="_Hlk52740714"/>
      <w:r w:rsidRPr="00401E7E">
        <w:rPr>
          <w:lang w:val="fr-FR"/>
        </w:rPr>
        <w:t>N</w:t>
      </w:r>
      <w:r w:rsidRPr="009E74AF">
        <w:rPr>
          <w:vertAlign w:val="superscript"/>
          <w:lang w:val="fr-FR"/>
        </w:rPr>
        <w:t>o</w:t>
      </w:r>
      <w:r w:rsidRPr="00401E7E">
        <w:rPr>
          <w:lang w:val="fr-FR"/>
        </w:rPr>
        <w:t> ONU</w:t>
      </w:r>
      <w:bookmarkEnd w:id="4"/>
      <w:r w:rsidR="00B03DF4">
        <w:rPr>
          <w:lang w:val="fr-FR"/>
        </w:rPr>
        <w:t> </w:t>
      </w:r>
      <w:r w:rsidRPr="00401E7E">
        <w:rPr>
          <w:lang w:val="fr-FR"/>
        </w:rPr>
        <w:t>1891 dans la liste des marchandises dangereuses</w:t>
      </w:r>
      <w:r w:rsidR="00B03DF4" w:rsidRPr="00B03DF4">
        <w:rPr>
          <w:lang w:val="fr-FR"/>
        </w:rPr>
        <w:t>.</w:t>
      </w:r>
    </w:p>
    <w:p w14:paraId="1D4DE774" w14:textId="77777777" w:rsidR="002761A0" w:rsidRPr="00401E7E" w:rsidRDefault="002761A0" w:rsidP="002761A0">
      <w:pPr>
        <w:pStyle w:val="H1G"/>
        <w:rPr>
          <w:lang w:val="fr-FR"/>
        </w:rPr>
      </w:pPr>
      <w:r w:rsidRPr="00401E7E">
        <w:rPr>
          <w:lang w:val="fr-FR"/>
        </w:rPr>
        <w:tab/>
      </w:r>
      <w:r w:rsidRPr="00401E7E">
        <w:rPr>
          <w:lang w:val="fr-FR"/>
        </w:rPr>
        <w:tab/>
        <w:t>Instruction d</w:t>
      </w:r>
      <w:r>
        <w:rPr>
          <w:lang w:val="fr-FR"/>
        </w:rPr>
        <w:t>’</w:t>
      </w:r>
      <w:r w:rsidRPr="00401E7E">
        <w:rPr>
          <w:lang w:val="fr-FR"/>
        </w:rPr>
        <w:t>emballage IBC02 pour les grands récipients pour vrac</w:t>
      </w:r>
    </w:p>
    <w:p w14:paraId="50B4FBE5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13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>Compte tenu de son classement actuel en tant que matière liquide de la division 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 et conformément au chapitre 4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2 des </w:t>
      </w:r>
      <w:r>
        <w:rPr>
          <w:lang w:val="fr-FR"/>
        </w:rPr>
        <w:t>Principes directeurs</w:t>
      </w:r>
      <w:r w:rsidRPr="00401E7E">
        <w:rPr>
          <w:lang w:val="fr-FR"/>
        </w:rPr>
        <w:t>, qui précise que l</w:t>
      </w:r>
      <w:r>
        <w:rPr>
          <w:lang w:val="fr-FR"/>
        </w:rPr>
        <w:t>’</w:t>
      </w:r>
      <w:r w:rsidRPr="00401E7E">
        <w:rPr>
          <w:lang w:val="fr-FR"/>
        </w:rPr>
        <w:t>instruction IBC02 doit être affectée aux matières liquides de la division 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1, groupe d</w:t>
      </w:r>
      <w:r>
        <w:rPr>
          <w:lang w:val="fr-FR"/>
        </w:rPr>
        <w:t>’</w:t>
      </w:r>
      <w:r w:rsidRPr="00401E7E">
        <w:rPr>
          <w:lang w:val="fr-FR"/>
        </w:rPr>
        <w:t>emballage II, cette instruction est actuellement affectée au 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>ONU 1891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Néanmoins, l</w:t>
      </w:r>
      <w:r>
        <w:rPr>
          <w:lang w:val="fr-FR"/>
        </w:rPr>
        <w:t>’</w:t>
      </w:r>
      <w:r w:rsidRPr="00401E7E">
        <w:rPr>
          <w:lang w:val="fr-FR"/>
        </w:rPr>
        <w:t>affectation de l</w:t>
      </w:r>
      <w:r>
        <w:rPr>
          <w:lang w:val="fr-FR"/>
        </w:rPr>
        <w:t>’</w:t>
      </w:r>
      <w:r w:rsidRPr="00401E7E">
        <w:rPr>
          <w:lang w:val="fr-FR"/>
        </w:rPr>
        <w:t>instruction IBC02 à une matière de la classe 3 du groupe d</w:t>
      </w:r>
      <w:r>
        <w:rPr>
          <w:lang w:val="fr-FR"/>
        </w:rPr>
        <w:t>’</w:t>
      </w:r>
      <w:r w:rsidRPr="00401E7E">
        <w:rPr>
          <w:lang w:val="fr-FR"/>
        </w:rPr>
        <w:t>emballage II est également conforme au chapitre 4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2 des </w:t>
      </w:r>
      <w:r>
        <w:rPr>
          <w:lang w:val="fr-FR"/>
        </w:rPr>
        <w:t>Principes directeurs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Ainsi, le changement de classification du N</w:t>
      </w:r>
      <w:r w:rsidRPr="00401E7E">
        <w:rPr>
          <w:vertAlign w:val="superscript"/>
          <w:lang w:val="fr-FR"/>
        </w:rPr>
        <w:t>o</w:t>
      </w:r>
      <w:r w:rsidRPr="00401E7E">
        <w:rPr>
          <w:lang w:val="fr-FR"/>
        </w:rPr>
        <w:t> ONU 1891 dans le groupe d</w:t>
      </w:r>
      <w:r>
        <w:rPr>
          <w:lang w:val="fr-FR"/>
        </w:rPr>
        <w:t>’</w:t>
      </w:r>
      <w:r w:rsidRPr="00401E7E">
        <w:rPr>
          <w:lang w:val="fr-FR"/>
        </w:rPr>
        <w:t>emballage II de la classe 3 ne nécessiterait pas de modifier l</w:t>
      </w:r>
      <w:r>
        <w:rPr>
          <w:lang w:val="fr-FR"/>
        </w:rPr>
        <w:t>’</w:t>
      </w:r>
      <w:r w:rsidRPr="00401E7E">
        <w:rPr>
          <w:lang w:val="fr-FR"/>
        </w:rPr>
        <w:t>affectation de l</w:t>
      </w:r>
      <w:r>
        <w:rPr>
          <w:lang w:val="fr-FR"/>
        </w:rPr>
        <w:t>’</w:t>
      </w:r>
      <w:r w:rsidRPr="00401E7E">
        <w:rPr>
          <w:lang w:val="fr-FR"/>
        </w:rPr>
        <w:t>instruction IBC02 dans la liste des marchandises dangereuses</w:t>
      </w:r>
      <w:r w:rsidR="00B03DF4" w:rsidRPr="00B03DF4">
        <w:rPr>
          <w:lang w:val="fr-FR"/>
        </w:rPr>
        <w:t>.</w:t>
      </w:r>
    </w:p>
    <w:p w14:paraId="4A306738" w14:textId="77777777" w:rsidR="002761A0" w:rsidRPr="00401E7E" w:rsidRDefault="002761A0" w:rsidP="002761A0">
      <w:pPr>
        <w:pStyle w:val="H1G"/>
        <w:rPr>
          <w:lang w:val="fr-FR"/>
        </w:rPr>
      </w:pPr>
      <w:r w:rsidRPr="00401E7E">
        <w:rPr>
          <w:lang w:val="fr-FR"/>
        </w:rPr>
        <w:tab/>
      </w:r>
      <w:r w:rsidRPr="00401E7E">
        <w:rPr>
          <w:lang w:val="fr-FR"/>
        </w:rPr>
        <w:tab/>
        <w:t>Disposition spéciale d</w:t>
      </w:r>
      <w:r>
        <w:rPr>
          <w:lang w:val="fr-FR"/>
        </w:rPr>
        <w:t>’</w:t>
      </w:r>
      <w:r w:rsidRPr="00401E7E">
        <w:rPr>
          <w:lang w:val="fr-FR"/>
        </w:rPr>
        <w:t>emballage B8 pour les GRV</w:t>
      </w:r>
    </w:p>
    <w:p w14:paraId="3DF49FD1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14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>La disposition spéciale d</w:t>
      </w:r>
      <w:r>
        <w:rPr>
          <w:lang w:val="fr-FR"/>
        </w:rPr>
        <w:t>’</w:t>
      </w:r>
      <w:r w:rsidRPr="00401E7E">
        <w:rPr>
          <w:lang w:val="fr-FR"/>
        </w:rPr>
        <w:t>emballage B8 pour les GRV</w:t>
      </w:r>
      <w:r>
        <w:rPr>
          <w:lang w:val="fr-FR"/>
        </w:rPr>
        <w:t>, qui</w:t>
      </w:r>
      <w:r w:rsidRPr="00401E7E">
        <w:rPr>
          <w:lang w:val="fr-FR"/>
        </w:rPr>
        <w:t xml:space="preserve"> est actuellement affectée au 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>ONU 189</w:t>
      </w:r>
      <w:r>
        <w:rPr>
          <w:lang w:val="fr-FR"/>
        </w:rPr>
        <w:t>1,</w:t>
      </w:r>
      <w:r w:rsidRPr="00401E7E">
        <w:rPr>
          <w:lang w:val="fr-FR"/>
        </w:rPr>
        <w:t xml:space="preserve"> se lit comme suit : « Cette matière sous sa forme pure ne doit pas être transportée en GRV car il est connu qu</w:t>
      </w:r>
      <w:r>
        <w:rPr>
          <w:lang w:val="fr-FR"/>
        </w:rPr>
        <w:t>’</w:t>
      </w:r>
      <w:r w:rsidRPr="00401E7E">
        <w:rPr>
          <w:lang w:val="fr-FR"/>
        </w:rPr>
        <w:t>elle a une pression de vapeur dépassant 110 kPa à 50 °C ou 130 kPa à 55 °C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 »</w:t>
      </w:r>
      <w:r w:rsidR="00B03DF4">
        <w:rPr>
          <w:lang w:val="fr-FR"/>
        </w:rPr>
        <w:t>.</w:t>
      </w:r>
      <w:r w:rsidRPr="00401E7E">
        <w:rPr>
          <w:lang w:val="fr-FR"/>
        </w:rPr>
        <w:t xml:space="preserve"> Le reclassement de cette matière </w:t>
      </w:r>
      <w:r>
        <w:rPr>
          <w:lang w:val="fr-FR"/>
        </w:rPr>
        <w:t xml:space="preserve">dans le </w:t>
      </w:r>
      <w:r w:rsidRPr="00401E7E">
        <w:rPr>
          <w:lang w:val="fr-FR"/>
        </w:rPr>
        <w:t>groupe d</w:t>
      </w:r>
      <w:r>
        <w:rPr>
          <w:lang w:val="fr-FR"/>
        </w:rPr>
        <w:t>’</w:t>
      </w:r>
      <w:r w:rsidRPr="00401E7E">
        <w:rPr>
          <w:lang w:val="fr-FR"/>
        </w:rPr>
        <w:t>emballage II de la classe 3 ne modifie bien sûr pas ses propriétés physiques</w:t>
      </w:r>
      <w:r>
        <w:rPr>
          <w:lang w:val="fr-FR"/>
        </w:rPr>
        <w:t>,</w:t>
      </w:r>
      <w:r w:rsidRPr="00401E7E">
        <w:rPr>
          <w:lang w:val="fr-FR"/>
        </w:rPr>
        <w:t xml:space="preserve"> et il semble</w:t>
      </w:r>
      <w:r>
        <w:rPr>
          <w:lang w:val="fr-FR"/>
        </w:rPr>
        <w:t xml:space="preserve"> donc</w:t>
      </w:r>
      <w:r w:rsidRPr="00401E7E">
        <w:rPr>
          <w:lang w:val="fr-FR"/>
        </w:rPr>
        <w:t xml:space="preserve"> logique de conserver l</w:t>
      </w:r>
      <w:r>
        <w:rPr>
          <w:lang w:val="fr-FR"/>
        </w:rPr>
        <w:t>’affectation de la disposition</w:t>
      </w:r>
      <w:r w:rsidRPr="00401E7E">
        <w:rPr>
          <w:lang w:val="fr-FR"/>
        </w:rPr>
        <w:t xml:space="preserve"> B8 au 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>ONU 1891</w:t>
      </w:r>
      <w:r w:rsidR="00B03DF4" w:rsidRPr="00B03DF4">
        <w:rPr>
          <w:lang w:val="fr-FR"/>
        </w:rPr>
        <w:t>.</w:t>
      </w:r>
    </w:p>
    <w:p w14:paraId="6CA3F1E9" w14:textId="77777777" w:rsidR="002761A0" w:rsidRPr="00401E7E" w:rsidRDefault="002761A0" w:rsidP="002761A0">
      <w:pPr>
        <w:pStyle w:val="H1G"/>
        <w:rPr>
          <w:lang w:val="fr-FR"/>
        </w:rPr>
      </w:pPr>
      <w:r w:rsidRPr="00401E7E">
        <w:rPr>
          <w:lang w:val="fr-FR"/>
        </w:rPr>
        <w:tab/>
      </w:r>
      <w:r w:rsidRPr="00401E7E">
        <w:rPr>
          <w:lang w:val="fr-FR"/>
        </w:rPr>
        <w:tab/>
        <w:t xml:space="preserve">Instruction </w:t>
      </w:r>
      <w:r w:rsidRPr="00080810">
        <w:rPr>
          <w:lang w:val="fr-FR"/>
        </w:rPr>
        <w:t xml:space="preserve">de transport en citernes mobiles </w:t>
      </w:r>
      <w:r w:rsidRPr="00401E7E">
        <w:rPr>
          <w:lang w:val="fr-FR"/>
        </w:rPr>
        <w:t>T7</w:t>
      </w:r>
    </w:p>
    <w:p w14:paraId="68846171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15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 xml:space="preserve">Conformément aux orientations données </w:t>
      </w:r>
      <w:r>
        <w:rPr>
          <w:lang w:val="fr-FR"/>
        </w:rPr>
        <w:t>dans</w:t>
      </w:r>
      <w:r w:rsidRPr="00401E7E">
        <w:rPr>
          <w:lang w:val="fr-FR"/>
        </w:rPr>
        <w:t xml:space="preserve"> les </w:t>
      </w:r>
      <w:r>
        <w:rPr>
          <w:lang w:val="fr-FR"/>
        </w:rPr>
        <w:t>Principes directeurs</w:t>
      </w:r>
      <w:r w:rsidRPr="00401E7E">
        <w:rPr>
          <w:lang w:val="fr-FR"/>
        </w:rPr>
        <w:t>, le 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>ONU</w:t>
      </w:r>
      <w:r>
        <w:rPr>
          <w:lang w:val="fr-FR"/>
        </w:rPr>
        <w:t> </w:t>
      </w:r>
      <w:r w:rsidRPr="00401E7E">
        <w:rPr>
          <w:lang w:val="fr-FR"/>
        </w:rPr>
        <w:t>1891 s</w:t>
      </w:r>
      <w:r>
        <w:rPr>
          <w:lang w:val="fr-FR"/>
        </w:rPr>
        <w:t>’</w:t>
      </w:r>
      <w:r w:rsidRPr="00401E7E">
        <w:rPr>
          <w:lang w:val="fr-FR"/>
        </w:rPr>
        <w:t xml:space="preserve">est vu </w:t>
      </w:r>
      <w:r>
        <w:rPr>
          <w:lang w:val="fr-FR"/>
        </w:rPr>
        <w:t>affecter</w:t>
      </w:r>
      <w:r w:rsidRPr="00401E7E">
        <w:rPr>
          <w:lang w:val="fr-FR"/>
        </w:rPr>
        <w:t xml:space="preserve"> l</w:t>
      </w:r>
      <w:r>
        <w:rPr>
          <w:lang w:val="fr-FR"/>
        </w:rPr>
        <w:t>’</w:t>
      </w:r>
      <w:r w:rsidRPr="00401E7E">
        <w:rPr>
          <w:lang w:val="fr-FR"/>
        </w:rPr>
        <w:t>instruction de transport en citernes mobiles T7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</w:t>
      </w:r>
      <w:r>
        <w:rPr>
          <w:lang w:val="fr-FR"/>
        </w:rPr>
        <w:t xml:space="preserve">En cas de </w:t>
      </w:r>
      <w:r w:rsidRPr="00401E7E">
        <w:rPr>
          <w:lang w:val="fr-FR"/>
        </w:rPr>
        <w:t xml:space="preserve">reclassement </w:t>
      </w:r>
      <w:r>
        <w:rPr>
          <w:lang w:val="fr-FR"/>
        </w:rPr>
        <w:t xml:space="preserve">dans le </w:t>
      </w:r>
      <w:r w:rsidRPr="00401E7E">
        <w:rPr>
          <w:lang w:val="fr-FR"/>
        </w:rPr>
        <w:t>groupe d</w:t>
      </w:r>
      <w:r>
        <w:rPr>
          <w:lang w:val="fr-FR"/>
        </w:rPr>
        <w:t>’</w:t>
      </w:r>
      <w:r w:rsidRPr="00401E7E">
        <w:rPr>
          <w:lang w:val="fr-FR"/>
        </w:rPr>
        <w:t xml:space="preserve">emballage II de la classe 3 et compte tenu des orientations données dans les </w:t>
      </w:r>
      <w:r>
        <w:rPr>
          <w:lang w:val="fr-FR"/>
        </w:rPr>
        <w:t>Principes directeurs</w:t>
      </w:r>
      <w:r w:rsidRPr="00401E7E">
        <w:rPr>
          <w:lang w:val="fr-FR"/>
        </w:rPr>
        <w:t>, le choix approprié de l</w:t>
      </w:r>
      <w:r>
        <w:rPr>
          <w:lang w:val="fr-FR"/>
        </w:rPr>
        <w:t>’</w:t>
      </w:r>
      <w:r w:rsidRPr="00401E7E">
        <w:rPr>
          <w:lang w:val="fr-FR"/>
        </w:rPr>
        <w:t>instruction de transport en citerne</w:t>
      </w:r>
      <w:r>
        <w:rPr>
          <w:lang w:val="fr-FR"/>
        </w:rPr>
        <w:t>s</w:t>
      </w:r>
      <w:r w:rsidRPr="00401E7E">
        <w:rPr>
          <w:lang w:val="fr-FR"/>
        </w:rPr>
        <w:t xml:space="preserve"> mobile</w:t>
      </w:r>
      <w:r>
        <w:rPr>
          <w:lang w:val="fr-FR"/>
        </w:rPr>
        <w:t>s</w:t>
      </w:r>
      <w:r w:rsidRPr="00401E7E">
        <w:rPr>
          <w:lang w:val="fr-FR"/>
        </w:rPr>
        <w:t xml:space="preserve"> dépend</w:t>
      </w:r>
      <w:r>
        <w:rPr>
          <w:lang w:val="fr-FR"/>
        </w:rPr>
        <w:t>rait</w:t>
      </w:r>
      <w:r w:rsidRPr="00401E7E">
        <w:rPr>
          <w:lang w:val="fr-FR"/>
        </w:rPr>
        <w:t xml:space="preserve"> de la décision de conserver ou non </w:t>
      </w:r>
      <w:r>
        <w:rPr>
          <w:lang w:val="fr-FR"/>
        </w:rPr>
        <w:t>son</w:t>
      </w:r>
      <w:r w:rsidRPr="00401E7E">
        <w:rPr>
          <w:lang w:val="fr-FR"/>
        </w:rPr>
        <w:t xml:space="preserve"> class</w:t>
      </w:r>
      <w:r>
        <w:rPr>
          <w:lang w:val="fr-FR"/>
        </w:rPr>
        <w:t>ement</w:t>
      </w:r>
      <w:r w:rsidRPr="00401E7E">
        <w:rPr>
          <w:lang w:val="fr-FR"/>
        </w:rPr>
        <w:t xml:space="preserve"> actuel en tant que matière toxique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Si la division 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1 est conservée </w:t>
      </w:r>
      <w:r w:rsidRPr="003A487F">
        <w:rPr>
          <w:lang w:val="fr-FR"/>
        </w:rPr>
        <w:t xml:space="preserve">à titre de </w:t>
      </w:r>
      <w:r w:rsidRPr="00401E7E">
        <w:rPr>
          <w:lang w:val="fr-FR"/>
        </w:rPr>
        <w:t>danger subsidiaire, l</w:t>
      </w:r>
      <w:r>
        <w:rPr>
          <w:lang w:val="fr-FR"/>
        </w:rPr>
        <w:t>’</w:t>
      </w:r>
      <w:r w:rsidRPr="00401E7E">
        <w:rPr>
          <w:lang w:val="fr-FR"/>
        </w:rPr>
        <w:t>instruction de transport en citerne</w:t>
      </w:r>
      <w:r>
        <w:rPr>
          <w:lang w:val="fr-FR"/>
        </w:rPr>
        <w:t>s</w:t>
      </w:r>
      <w:r w:rsidRPr="00401E7E">
        <w:rPr>
          <w:lang w:val="fr-FR"/>
        </w:rPr>
        <w:t xml:space="preserve"> mobile</w:t>
      </w:r>
      <w:r>
        <w:rPr>
          <w:lang w:val="fr-FR"/>
        </w:rPr>
        <w:t>s</w:t>
      </w:r>
      <w:r w:rsidRPr="00401E7E">
        <w:rPr>
          <w:lang w:val="fr-FR"/>
        </w:rPr>
        <w:t xml:space="preserve"> T7 devrait être maintenue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Dans le cas où il </w:t>
      </w:r>
      <w:r>
        <w:rPr>
          <w:lang w:val="fr-FR"/>
        </w:rPr>
        <w:t>serait</w:t>
      </w:r>
      <w:r w:rsidRPr="00401E7E">
        <w:rPr>
          <w:lang w:val="fr-FR"/>
        </w:rPr>
        <w:t xml:space="preserve"> décidé de ne pas conserver la division 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1 </w:t>
      </w:r>
      <w:r>
        <w:rPr>
          <w:lang w:val="fr-FR"/>
        </w:rPr>
        <w:t>à titre de</w:t>
      </w:r>
      <w:r w:rsidRPr="00401E7E">
        <w:rPr>
          <w:lang w:val="fr-FR"/>
        </w:rPr>
        <w:t xml:space="preserve"> danger subsidiaire,</w:t>
      </w:r>
      <w:r>
        <w:rPr>
          <w:lang w:val="fr-FR"/>
        </w:rPr>
        <w:t xml:space="preserve"> ce serait</w:t>
      </w:r>
      <w:r w:rsidRPr="00401E7E">
        <w:rPr>
          <w:lang w:val="fr-FR"/>
        </w:rPr>
        <w:t xml:space="preserve"> l</w:t>
      </w:r>
      <w:r>
        <w:rPr>
          <w:lang w:val="fr-FR"/>
        </w:rPr>
        <w:t>’</w:t>
      </w:r>
      <w:r w:rsidRPr="00401E7E">
        <w:rPr>
          <w:lang w:val="fr-FR"/>
        </w:rPr>
        <w:t>instruction de transport en citerne</w:t>
      </w:r>
      <w:r>
        <w:rPr>
          <w:lang w:val="fr-FR"/>
        </w:rPr>
        <w:t>s</w:t>
      </w:r>
      <w:r w:rsidRPr="00401E7E">
        <w:rPr>
          <w:lang w:val="fr-FR"/>
        </w:rPr>
        <w:t xml:space="preserve"> mobile</w:t>
      </w:r>
      <w:r>
        <w:rPr>
          <w:lang w:val="fr-FR"/>
        </w:rPr>
        <w:t>s</w:t>
      </w:r>
      <w:r w:rsidRPr="00401E7E">
        <w:rPr>
          <w:lang w:val="fr-FR"/>
        </w:rPr>
        <w:t xml:space="preserve"> T4 </w:t>
      </w:r>
      <w:r>
        <w:rPr>
          <w:lang w:val="fr-FR"/>
        </w:rPr>
        <w:t xml:space="preserve">qui </w:t>
      </w:r>
      <w:r w:rsidRPr="00401E7E">
        <w:rPr>
          <w:lang w:val="fr-FR"/>
        </w:rPr>
        <w:t>d</w:t>
      </w:r>
      <w:r>
        <w:rPr>
          <w:lang w:val="fr-FR"/>
        </w:rPr>
        <w:t>evra</w:t>
      </w:r>
      <w:r w:rsidRPr="00401E7E">
        <w:rPr>
          <w:lang w:val="fr-FR"/>
        </w:rPr>
        <w:t>it être affectée au 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>ONU 1891</w:t>
      </w:r>
      <w:r w:rsidR="00B03DF4" w:rsidRPr="00B03DF4">
        <w:rPr>
          <w:lang w:val="fr-FR"/>
        </w:rPr>
        <w:t>.</w:t>
      </w:r>
    </w:p>
    <w:p w14:paraId="399B182C" w14:textId="77777777" w:rsidR="002761A0" w:rsidRPr="00401E7E" w:rsidRDefault="002761A0" w:rsidP="002761A0">
      <w:pPr>
        <w:pStyle w:val="H1G"/>
        <w:rPr>
          <w:lang w:val="fr-FR"/>
        </w:rPr>
      </w:pPr>
      <w:r w:rsidRPr="00401E7E">
        <w:rPr>
          <w:lang w:val="fr-FR"/>
        </w:rPr>
        <w:lastRenderedPageBreak/>
        <w:tab/>
      </w:r>
      <w:r w:rsidRPr="00401E7E">
        <w:rPr>
          <w:lang w:val="fr-FR"/>
        </w:rPr>
        <w:tab/>
        <w:t xml:space="preserve">Dispositions spéciales TP2 et TP13 </w:t>
      </w:r>
      <w:r w:rsidRPr="003A487F">
        <w:rPr>
          <w:lang w:val="fr-FR"/>
        </w:rPr>
        <w:t xml:space="preserve">applicables au transport </w:t>
      </w:r>
      <w:r>
        <w:rPr>
          <w:lang w:val="fr-FR"/>
        </w:rPr>
        <w:br/>
      </w:r>
      <w:r w:rsidRPr="003A487F">
        <w:rPr>
          <w:lang w:val="fr-FR"/>
        </w:rPr>
        <w:t>en citernes mobiles</w:t>
      </w:r>
    </w:p>
    <w:p w14:paraId="0DFB2DF3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16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 xml:space="preserve">Les dispositions </w:t>
      </w:r>
      <w:r w:rsidRPr="003A487F">
        <w:rPr>
          <w:lang w:val="fr-FR"/>
        </w:rPr>
        <w:t xml:space="preserve">spéciales TP2 et TP13 applicables au transport en citernes mobiles </w:t>
      </w:r>
      <w:r w:rsidRPr="00401E7E">
        <w:rPr>
          <w:lang w:val="fr-FR"/>
        </w:rPr>
        <w:t>sont actuellement affectées au 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>ONU 1891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La disposition TP2 </w:t>
      </w:r>
      <w:r>
        <w:rPr>
          <w:lang w:val="fr-FR"/>
        </w:rPr>
        <w:t>prescrit</w:t>
      </w:r>
      <w:r w:rsidRPr="00401E7E">
        <w:rPr>
          <w:lang w:val="fr-FR"/>
        </w:rPr>
        <w:t xml:space="preserve"> que le </w:t>
      </w:r>
      <w:r>
        <w:rPr>
          <w:lang w:val="fr-FR"/>
        </w:rPr>
        <w:t>taux</w:t>
      </w:r>
      <w:r w:rsidRPr="00401E7E">
        <w:rPr>
          <w:lang w:val="fr-FR"/>
        </w:rPr>
        <w:t xml:space="preserve"> </w:t>
      </w:r>
      <w:r>
        <w:rPr>
          <w:lang w:val="fr-FR"/>
        </w:rPr>
        <w:t xml:space="preserve">maximal </w:t>
      </w:r>
      <w:r w:rsidRPr="00401E7E">
        <w:rPr>
          <w:lang w:val="fr-FR"/>
        </w:rPr>
        <w:t xml:space="preserve">de remplissage </w:t>
      </w:r>
      <w:r>
        <w:rPr>
          <w:lang w:val="fr-FR"/>
        </w:rPr>
        <w:t>indiqué</w:t>
      </w:r>
      <w:r w:rsidRPr="00401E7E">
        <w:rPr>
          <w:lang w:val="fr-FR"/>
        </w:rPr>
        <w:t xml:space="preserve"> au </w:t>
      </w:r>
      <w:r>
        <w:rPr>
          <w:lang w:val="fr-FR"/>
        </w:rPr>
        <w:t xml:space="preserve">paragraphe </w:t>
      </w:r>
      <w:r w:rsidRPr="00401E7E">
        <w:rPr>
          <w:lang w:val="fr-FR"/>
        </w:rPr>
        <w:t>4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9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3 ne soit pas dépassé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Il est noté dans les </w:t>
      </w:r>
      <w:r>
        <w:rPr>
          <w:lang w:val="fr-FR"/>
        </w:rPr>
        <w:t>Principes directeurs</w:t>
      </w:r>
      <w:r w:rsidRPr="00401E7E">
        <w:rPr>
          <w:lang w:val="fr-FR"/>
        </w:rPr>
        <w:t xml:space="preserve"> qu</w:t>
      </w:r>
      <w:r>
        <w:rPr>
          <w:lang w:val="fr-FR"/>
        </w:rPr>
        <w:t>e cette disposition</w:t>
      </w:r>
      <w:r w:rsidRPr="00401E7E">
        <w:rPr>
          <w:lang w:val="fr-FR"/>
        </w:rPr>
        <w:t xml:space="preserve"> est affectée aux matières ayant une pression de vapeur supérieure à 175</w:t>
      </w:r>
      <w:r>
        <w:rPr>
          <w:lang w:val="fr-FR"/>
        </w:rPr>
        <w:t> </w:t>
      </w:r>
      <w:r w:rsidRPr="00401E7E">
        <w:rPr>
          <w:lang w:val="fr-FR"/>
        </w:rPr>
        <w:t>kPa à 65 °C et également aux matières de la division</w:t>
      </w:r>
      <w:r w:rsidR="00B03DF4">
        <w:rPr>
          <w:lang w:val="fr-FR"/>
        </w:rPr>
        <w:t> </w:t>
      </w:r>
      <w:r w:rsidRPr="00401E7E">
        <w:rPr>
          <w:lang w:val="fr-FR"/>
        </w:rPr>
        <w:t>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 ou de la classe 8</w:t>
      </w:r>
      <w:r>
        <w:rPr>
          <w:lang w:val="fr-FR"/>
        </w:rPr>
        <w:t xml:space="preserve">, </w:t>
      </w:r>
      <w:r w:rsidRPr="00401E7E">
        <w:rPr>
          <w:lang w:val="fr-FR"/>
        </w:rPr>
        <w:t>groupe</w:t>
      </w:r>
      <w:r>
        <w:rPr>
          <w:lang w:val="fr-FR"/>
        </w:rPr>
        <w:t>s</w:t>
      </w:r>
      <w:r w:rsidRPr="00401E7E">
        <w:rPr>
          <w:lang w:val="fr-FR"/>
        </w:rPr>
        <w:t xml:space="preserve"> d</w:t>
      </w:r>
      <w:r>
        <w:rPr>
          <w:lang w:val="fr-FR"/>
        </w:rPr>
        <w:t>’</w:t>
      </w:r>
      <w:r w:rsidRPr="00401E7E">
        <w:rPr>
          <w:lang w:val="fr-FR"/>
        </w:rPr>
        <w:t>emballage</w:t>
      </w:r>
      <w:r>
        <w:rPr>
          <w:lang w:val="fr-FR"/>
        </w:rPr>
        <w:t> I et</w:t>
      </w:r>
      <w:r w:rsidRPr="00401E7E">
        <w:rPr>
          <w:lang w:val="fr-FR"/>
        </w:rPr>
        <w:t> II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Actuellement, les données sur la pression de vapeur à 65 °C font défaut, de sorte qu</w:t>
      </w:r>
      <w:r>
        <w:rPr>
          <w:lang w:val="fr-FR"/>
        </w:rPr>
        <w:t>’</w:t>
      </w:r>
      <w:r w:rsidRPr="00401E7E">
        <w:rPr>
          <w:lang w:val="fr-FR"/>
        </w:rPr>
        <w:t>il n</w:t>
      </w:r>
      <w:r>
        <w:rPr>
          <w:lang w:val="fr-FR"/>
        </w:rPr>
        <w:t>’</w:t>
      </w:r>
      <w:r w:rsidRPr="00401E7E">
        <w:rPr>
          <w:lang w:val="fr-FR"/>
        </w:rPr>
        <w:t xml:space="preserve">est pas clair </w:t>
      </w:r>
      <w:r>
        <w:rPr>
          <w:lang w:val="fr-FR"/>
        </w:rPr>
        <w:t>que</w:t>
      </w:r>
      <w:r w:rsidRPr="00401E7E">
        <w:rPr>
          <w:lang w:val="fr-FR"/>
        </w:rPr>
        <w:t xml:space="preserve"> l</w:t>
      </w:r>
      <w:r>
        <w:rPr>
          <w:lang w:val="fr-FR"/>
        </w:rPr>
        <w:t>’</w:t>
      </w:r>
      <w:r w:rsidRPr="00401E7E">
        <w:rPr>
          <w:lang w:val="fr-FR"/>
        </w:rPr>
        <w:t>affectation de la TP2</w:t>
      </w:r>
      <w:r w:rsidRPr="001F4347">
        <w:rPr>
          <w:lang w:val="fr-FR"/>
        </w:rPr>
        <w:t xml:space="preserve"> </w:t>
      </w:r>
      <w:r>
        <w:rPr>
          <w:lang w:val="fr-FR"/>
        </w:rPr>
        <w:t>a</w:t>
      </w:r>
      <w:r w:rsidRPr="00401E7E">
        <w:rPr>
          <w:lang w:val="fr-FR"/>
        </w:rPr>
        <w:t>u 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>ONU 1891 dé</w:t>
      </w:r>
      <w:r>
        <w:rPr>
          <w:lang w:val="fr-FR"/>
        </w:rPr>
        <w:t>coule</w:t>
      </w:r>
      <w:r w:rsidRPr="00783B93">
        <w:rPr>
          <w:lang w:val="fr-FR"/>
        </w:rPr>
        <w:t xml:space="preserve"> </w:t>
      </w:r>
      <w:r w:rsidRPr="00401E7E">
        <w:rPr>
          <w:lang w:val="fr-FR"/>
        </w:rPr>
        <w:t>ou non d</w:t>
      </w:r>
      <w:r>
        <w:rPr>
          <w:lang w:val="fr-FR"/>
        </w:rPr>
        <w:t>u</w:t>
      </w:r>
      <w:r w:rsidRPr="00401E7E">
        <w:rPr>
          <w:lang w:val="fr-FR"/>
        </w:rPr>
        <w:t xml:space="preserve"> class</w:t>
      </w:r>
      <w:r>
        <w:rPr>
          <w:lang w:val="fr-FR"/>
        </w:rPr>
        <w:t>ement de celui-ci</w:t>
      </w:r>
      <w:r w:rsidRPr="00401E7E">
        <w:rPr>
          <w:lang w:val="fr-FR"/>
        </w:rPr>
        <w:t xml:space="preserve"> </w:t>
      </w:r>
      <w:r>
        <w:rPr>
          <w:lang w:val="fr-FR"/>
        </w:rPr>
        <w:t xml:space="preserve">dans </w:t>
      </w:r>
      <w:r w:rsidRPr="00401E7E">
        <w:rPr>
          <w:lang w:val="fr-FR"/>
        </w:rPr>
        <w:t>la division 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1, groupe d</w:t>
      </w:r>
      <w:r>
        <w:rPr>
          <w:lang w:val="fr-FR"/>
        </w:rPr>
        <w:t>’</w:t>
      </w:r>
      <w:r w:rsidRPr="00401E7E">
        <w:rPr>
          <w:lang w:val="fr-FR"/>
        </w:rPr>
        <w:t>emballage II</w:t>
      </w:r>
      <w:r w:rsidR="00B03DF4" w:rsidRPr="00B03DF4">
        <w:rPr>
          <w:lang w:val="fr-FR"/>
        </w:rPr>
        <w:t>.</w:t>
      </w:r>
    </w:p>
    <w:p w14:paraId="781E6E35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17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>La TP13 prescrit qu</w:t>
      </w:r>
      <w:r>
        <w:rPr>
          <w:lang w:val="fr-FR"/>
        </w:rPr>
        <w:t>’</w:t>
      </w:r>
      <w:r w:rsidRPr="00401E7E">
        <w:rPr>
          <w:lang w:val="fr-FR"/>
        </w:rPr>
        <w:t xml:space="preserve">un appareil respiratoire doit être fourni lors du transport de cette matière, et il est noté dans les </w:t>
      </w:r>
      <w:r>
        <w:rPr>
          <w:lang w:val="fr-FR"/>
        </w:rPr>
        <w:t>Principes directeurs</w:t>
      </w:r>
      <w:r w:rsidRPr="00401E7E">
        <w:rPr>
          <w:lang w:val="fr-FR"/>
        </w:rPr>
        <w:t xml:space="preserve"> qu</w:t>
      </w:r>
      <w:r>
        <w:rPr>
          <w:lang w:val="fr-FR"/>
        </w:rPr>
        <w:t>e cette disposition</w:t>
      </w:r>
      <w:r w:rsidRPr="00401E7E">
        <w:rPr>
          <w:lang w:val="fr-FR"/>
        </w:rPr>
        <w:t xml:space="preserve"> doit être appliquée aux matières qui sont toxiques par inhalation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Ainsi, l</w:t>
      </w:r>
      <w:r>
        <w:rPr>
          <w:lang w:val="fr-FR"/>
        </w:rPr>
        <w:t>’</w:t>
      </w:r>
      <w:r w:rsidRPr="00401E7E">
        <w:rPr>
          <w:lang w:val="fr-FR"/>
        </w:rPr>
        <w:t>affectation de la TP13 dé</w:t>
      </w:r>
      <w:r>
        <w:rPr>
          <w:lang w:val="fr-FR"/>
        </w:rPr>
        <w:t>coule</w:t>
      </w:r>
      <w:r w:rsidRPr="00401E7E">
        <w:rPr>
          <w:lang w:val="fr-FR"/>
        </w:rPr>
        <w:t>rait de la décision de maintenir l</w:t>
      </w:r>
      <w:r>
        <w:rPr>
          <w:lang w:val="fr-FR"/>
        </w:rPr>
        <w:t>’</w:t>
      </w:r>
      <w:r w:rsidRPr="00401E7E">
        <w:rPr>
          <w:lang w:val="fr-FR"/>
        </w:rPr>
        <w:t xml:space="preserve">affectation </w:t>
      </w:r>
      <w:r>
        <w:rPr>
          <w:lang w:val="fr-FR"/>
        </w:rPr>
        <w:t>de</w:t>
      </w:r>
      <w:r w:rsidRPr="00401E7E">
        <w:rPr>
          <w:lang w:val="fr-FR"/>
        </w:rPr>
        <w:t xml:space="preserve"> la TP13</w:t>
      </w:r>
      <w:r>
        <w:rPr>
          <w:lang w:val="fr-FR"/>
        </w:rPr>
        <w:t xml:space="preserve"> à </w:t>
      </w:r>
      <w:r w:rsidRPr="00783B93">
        <w:rPr>
          <w:lang w:val="fr-FR"/>
        </w:rPr>
        <w:t>la division 6</w:t>
      </w:r>
      <w:r w:rsidR="00B03DF4" w:rsidRPr="00B03DF4">
        <w:rPr>
          <w:lang w:val="fr-FR"/>
        </w:rPr>
        <w:t>.</w:t>
      </w:r>
      <w:r w:rsidRPr="00783B93">
        <w:rPr>
          <w:lang w:val="fr-FR"/>
        </w:rPr>
        <w:t>1</w:t>
      </w:r>
      <w:r w:rsidRPr="00401E7E">
        <w:rPr>
          <w:lang w:val="fr-FR"/>
        </w:rPr>
        <w:t xml:space="preserve"> en fonction de </w:t>
      </w:r>
      <w:r>
        <w:rPr>
          <w:lang w:val="fr-FR"/>
        </w:rPr>
        <w:t>l</w:t>
      </w:r>
      <w:r w:rsidRPr="00401E7E">
        <w:rPr>
          <w:lang w:val="fr-FR"/>
        </w:rPr>
        <w:t>a toxicité par inhalation</w:t>
      </w:r>
      <w:r w:rsidR="00B03DF4" w:rsidRPr="00B03DF4">
        <w:rPr>
          <w:lang w:val="fr-FR"/>
        </w:rPr>
        <w:t>.</w:t>
      </w:r>
    </w:p>
    <w:p w14:paraId="4276EA87" w14:textId="77777777" w:rsidR="002761A0" w:rsidRPr="00401E7E" w:rsidRDefault="002761A0" w:rsidP="002761A0">
      <w:pPr>
        <w:pStyle w:val="HChG"/>
        <w:rPr>
          <w:lang w:val="fr-FR"/>
        </w:rPr>
      </w:pPr>
      <w:r w:rsidRPr="00401E7E">
        <w:rPr>
          <w:lang w:val="fr-FR"/>
        </w:rPr>
        <w:tab/>
      </w:r>
      <w:r w:rsidRPr="00401E7E">
        <w:rPr>
          <w:lang w:val="fr-FR"/>
        </w:rPr>
        <w:tab/>
        <w:t>Proposition</w:t>
      </w:r>
    </w:p>
    <w:p w14:paraId="67101FDF" w14:textId="77777777" w:rsidR="002761A0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18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 xml:space="preserve">Modifier </w:t>
      </w:r>
      <w:r>
        <w:rPr>
          <w:lang w:val="fr-FR"/>
        </w:rPr>
        <w:t>la rubrique N</w:t>
      </w:r>
      <w:r w:rsidRPr="00783B93">
        <w:rPr>
          <w:vertAlign w:val="superscript"/>
          <w:lang w:val="fr-FR"/>
        </w:rPr>
        <w:t>o</w:t>
      </w:r>
      <w:r w:rsidRPr="00401E7E">
        <w:rPr>
          <w:lang w:val="fr-FR"/>
        </w:rPr>
        <w:t xml:space="preserve"> ONU 1891 dans la liste des marchandises dangereuses comme suit (en caractères </w:t>
      </w:r>
      <w:r w:rsidRPr="00401E7E">
        <w:rPr>
          <w:strike/>
          <w:lang w:val="fr-FR"/>
        </w:rPr>
        <w:t>biffés</w:t>
      </w:r>
      <w:r w:rsidRPr="00401E7E">
        <w:rPr>
          <w:lang w:val="fr-FR"/>
        </w:rPr>
        <w:t xml:space="preserve"> pour les suppressions, et </w:t>
      </w:r>
      <w:r w:rsidRPr="00401E7E">
        <w:rPr>
          <w:u w:val="single"/>
          <w:lang w:val="fr-FR"/>
        </w:rPr>
        <w:t>soulignés</w:t>
      </w:r>
      <w:r w:rsidRPr="00401E7E">
        <w:rPr>
          <w:lang w:val="fr-FR"/>
        </w:rPr>
        <w:t xml:space="preserve"> pour les ajouts)</w:t>
      </w:r>
      <w:r w:rsidR="00B03DF4" w:rsidRPr="00B03DF4">
        <w:rPr>
          <w:lang w:val="fr-FR"/>
        </w:rPr>
        <w:t>.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1189"/>
        <w:gridCol w:w="812"/>
        <w:gridCol w:w="896"/>
        <w:gridCol w:w="910"/>
        <w:gridCol w:w="896"/>
        <w:gridCol w:w="601"/>
        <w:gridCol w:w="378"/>
        <w:gridCol w:w="944"/>
        <w:gridCol w:w="813"/>
        <w:gridCol w:w="875"/>
        <w:gridCol w:w="887"/>
      </w:tblGrid>
      <w:tr w:rsidR="002761A0" w:rsidRPr="00142A54" w14:paraId="258D0316" w14:textId="77777777" w:rsidTr="00B03DF4">
        <w:trPr>
          <w:cantSplit/>
          <w:trHeight w:val="20"/>
          <w:tblHeader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39E40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>N° ONU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B0133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 xml:space="preserve">Nom </w:t>
            </w:r>
            <w:r w:rsidR="00B03DF4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br/>
            </w: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>et description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9D66B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 xml:space="preserve">Classe </w:t>
            </w:r>
            <w:r w:rsidR="00B03DF4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br/>
            </w: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 xml:space="preserve">ou </w:t>
            </w:r>
            <w:r w:rsidR="00B03DF4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br/>
            </w: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>division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3BF5B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>Danger subsidiaire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0E2E5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>Groupe d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>’</w:t>
            </w: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>emballage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D470D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>Dispositions spéciales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BB217" w14:textId="77777777" w:rsidR="002761A0" w:rsidRPr="00BC1D70" w:rsidRDefault="002761A0" w:rsidP="00B03DF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>Quantités limitées et quantités exceptées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BD347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>Emballages et GRV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52A1A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ind w:right="-5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 xml:space="preserve">Citernes mobiles et </w:t>
            </w: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br/>
              <w:t>conteneurs pour vrac</w:t>
            </w:r>
          </w:p>
        </w:tc>
      </w:tr>
      <w:tr w:rsidR="002761A0" w:rsidRPr="00BC1D70" w14:paraId="74470D7D" w14:textId="77777777" w:rsidTr="00B03DF4">
        <w:trPr>
          <w:cantSplit/>
          <w:trHeight w:val="20"/>
          <w:tblHeader/>
          <w:jc w:val="center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C1C17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E6191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1CEE5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AEB27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C0757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27C15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F058C" w14:textId="77777777" w:rsidR="002761A0" w:rsidRPr="00BC1D70" w:rsidRDefault="002761A0" w:rsidP="00B03DF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40" w:lineRule="auto"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4B67C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>Instructions d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>’</w:t>
            </w: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>emballage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978BB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ind w:right="-76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>Dispositions spéciales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974ED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>Instructions de transport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77D84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/>
              </w:rPr>
              <w:t>Dispositions spéciales</w:t>
            </w:r>
          </w:p>
        </w:tc>
      </w:tr>
      <w:tr w:rsidR="002761A0" w:rsidRPr="00BC1D70" w14:paraId="6093C782" w14:textId="77777777" w:rsidTr="00B03DF4">
        <w:trPr>
          <w:trHeight w:val="20"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D5AC3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(1)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EFC97A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(2)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11109A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(3)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B6E87F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(4)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2100D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(5)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2E9A3C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(6)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DFF5FE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(7)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ECF767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(</w:t>
            </w:r>
            <w:r w:rsidR="00B03DF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8</w:t>
            </w:r>
            <w:r w:rsidRPr="00BC1D70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BF400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(</w:t>
            </w:r>
            <w:r w:rsidR="00B03DF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9</w:t>
            </w:r>
            <w:r w:rsidRPr="00BC1D70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2C65B6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(</w:t>
            </w:r>
            <w:r w:rsidR="00B03DF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10</w:t>
            </w:r>
            <w:r w:rsidRPr="00BC1D70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46DC6B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(1</w:t>
            </w:r>
            <w:r w:rsidR="00B03DF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1</w:t>
            </w:r>
            <w:r w:rsidRPr="00BC1D70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2E4E4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(1</w:t>
            </w:r>
            <w:r w:rsidR="00B03DF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2</w:t>
            </w:r>
            <w:r w:rsidRPr="00BC1D70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</w:tr>
      <w:tr w:rsidR="002761A0" w:rsidRPr="00BC1D70" w14:paraId="4675BDE7" w14:textId="77777777" w:rsidTr="00B03DF4">
        <w:trPr>
          <w:trHeight w:val="20"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9A769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color w:val="000000"/>
                <w:sz w:val="18"/>
                <w:szCs w:val="18"/>
                <w:lang w:val="fr-FR"/>
              </w:rPr>
              <w:t>1891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8312D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color w:val="000000"/>
                <w:sz w:val="18"/>
                <w:szCs w:val="18"/>
                <w:lang w:val="fr-FR"/>
              </w:rPr>
              <w:t xml:space="preserve">BROMURE </w:t>
            </w:r>
            <w:r>
              <w:rPr>
                <w:rFonts w:eastAsia="Times New Roman"/>
                <w:color w:val="000000"/>
                <w:sz w:val="18"/>
                <w:szCs w:val="18"/>
                <w:lang w:val="fr-FR"/>
              </w:rPr>
              <w:br/>
            </w:r>
            <w:r w:rsidRPr="00BC1D70">
              <w:rPr>
                <w:rFonts w:eastAsia="Times New Roman"/>
                <w:color w:val="000000"/>
                <w:sz w:val="18"/>
                <w:szCs w:val="18"/>
                <w:lang w:val="fr-FR"/>
              </w:rPr>
              <w:t>D</w:t>
            </w:r>
            <w:r>
              <w:rPr>
                <w:rFonts w:eastAsia="Times New Roman"/>
                <w:color w:val="000000"/>
                <w:sz w:val="18"/>
                <w:szCs w:val="18"/>
                <w:lang w:val="fr-FR"/>
              </w:rPr>
              <w:t>’</w:t>
            </w:r>
            <w:r w:rsidRPr="00BC1D70">
              <w:rPr>
                <w:rFonts w:eastAsia="Times New Roman"/>
                <w:color w:val="000000"/>
                <w:sz w:val="18"/>
                <w:szCs w:val="18"/>
                <w:lang w:val="fr-FR"/>
              </w:rPr>
              <w:t>ÉTHYLE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035081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strike/>
                <w:color w:val="000000"/>
                <w:sz w:val="18"/>
                <w:szCs w:val="18"/>
                <w:lang w:val="fr-FR"/>
              </w:rPr>
              <w:t>6</w:t>
            </w:r>
            <w:r w:rsidR="00B03DF4" w:rsidRPr="00B03DF4">
              <w:rPr>
                <w:rFonts w:eastAsia="Times New Roman"/>
                <w:strike/>
                <w:color w:val="000000"/>
                <w:sz w:val="18"/>
                <w:szCs w:val="18"/>
                <w:lang w:val="fr-FR"/>
              </w:rPr>
              <w:t>.</w:t>
            </w:r>
            <w:r w:rsidRPr="00BC1D70">
              <w:rPr>
                <w:rFonts w:eastAsia="Times New Roman"/>
                <w:strike/>
                <w:color w:val="000000"/>
                <w:sz w:val="18"/>
                <w:szCs w:val="18"/>
                <w:lang w:val="fr-FR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fr-FR"/>
              </w:rPr>
              <w:br/>
            </w:r>
            <w:r w:rsidRPr="00D529B5">
              <w:rPr>
                <w:rFonts w:eastAsia="Times New Roman"/>
                <w:color w:val="000000"/>
                <w:sz w:val="18"/>
                <w:szCs w:val="18"/>
                <w:u w:val="single"/>
                <w:lang w:val="fr-FR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457CD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  <w:lang w:val="fr-FR"/>
              </w:rPr>
            </w:pPr>
            <w:r w:rsidRPr="00BC1D70">
              <w:rPr>
                <w:rFonts w:eastAsia="Times New Roman"/>
                <w:color w:val="000000"/>
                <w:sz w:val="18"/>
                <w:szCs w:val="18"/>
                <w:u w:val="single"/>
                <w:lang w:val="fr-FR"/>
              </w:rPr>
              <w:t>6</w:t>
            </w:r>
            <w:r w:rsidR="00B03DF4" w:rsidRPr="00B03DF4">
              <w:rPr>
                <w:rFonts w:eastAsia="Times New Roman"/>
                <w:color w:val="000000"/>
                <w:sz w:val="18"/>
                <w:szCs w:val="18"/>
                <w:u w:val="single"/>
                <w:lang w:val="fr-FR"/>
              </w:rPr>
              <w:t>.</w:t>
            </w:r>
            <w:r w:rsidRPr="00BC1D70">
              <w:rPr>
                <w:rFonts w:eastAsia="Times New Roman"/>
                <w:color w:val="000000"/>
                <w:sz w:val="18"/>
                <w:szCs w:val="18"/>
                <w:u w:val="single"/>
                <w:lang w:val="fr-FR"/>
              </w:rPr>
              <w:t>1 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945BD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color w:val="000000"/>
                <w:sz w:val="18"/>
                <w:szCs w:val="18"/>
                <w:lang w:val="fr-FR"/>
              </w:rPr>
              <w:t>II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53DA5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AE8E9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strike/>
                <w:color w:val="000000"/>
                <w:sz w:val="18"/>
                <w:szCs w:val="18"/>
                <w:lang w:val="fr-FR"/>
              </w:rPr>
              <w:t>100 ml</w:t>
            </w:r>
            <w:r>
              <w:rPr>
                <w:rFonts w:eastAsia="Times New Roman"/>
                <w:color w:val="000000"/>
                <w:sz w:val="18"/>
                <w:szCs w:val="18"/>
                <w:lang w:val="fr-FR"/>
              </w:rPr>
              <w:br/>
            </w:r>
            <w:r w:rsidRPr="00BC1D70">
              <w:rPr>
                <w:rFonts w:eastAsia="Times New Roman"/>
                <w:color w:val="000000"/>
                <w:sz w:val="18"/>
                <w:szCs w:val="18"/>
                <w:u w:val="single"/>
                <w:lang w:val="fr-FR"/>
              </w:rPr>
              <w:t>1 l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62A28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strike/>
                <w:color w:val="000000"/>
                <w:sz w:val="18"/>
                <w:szCs w:val="18"/>
                <w:lang w:val="fr-FR"/>
              </w:rPr>
              <w:t>E4</w:t>
            </w:r>
            <w:r>
              <w:rPr>
                <w:rFonts w:eastAsia="Times New Roman"/>
                <w:color w:val="000000"/>
                <w:sz w:val="18"/>
                <w:szCs w:val="18"/>
                <w:lang w:val="fr-FR"/>
              </w:rPr>
              <w:br/>
            </w:r>
            <w:r w:rsidRPr="00BC1D70">
              <w:rPr>
                <w:rFonts w:eastAsia="Times New Roman"/>
                <w:color w:val="000000"/>
                <w:sz w:val="18"/>
                <w:szCs w:val="18"/>
                <w:u w:val="single"/>
                <w:lang w:val="fr-FR"/>
              </w:rPr>
              <w:t>E2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C0F94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color w:val="000000"/>
                <w:sz w:val="18"/>
                <w:szCs w:val="18"/>
                <w:lang w:val="fr-FR"/>
              </w:rPr>
              <w:t>P001</w:t>
            </w:r>
            <w:r w:rsidRPr="00BC1D70">
              <w:rPr>
                <w:rFonts w:eastAsia="Times New Roman"/>
                <w:color w:val="000000"/>
                <w:sz w:val="18"/>
                <w:szCs w:val="18"/>
                <w:lang w:val="fr-FR"/>
              </w:rPr>
              <w:br/>
              <w:t>IBC02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2E92CF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color w:val="000000"/>
                <w:sz w:val="18"/>
                <w:szCs w:val="18"/>
                <w:lang w:val="fr-FR"/>
              </w:rPr>
              <w:br/>
              <w:t>B8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2D45C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color w:val="000000"/>
                <w:sz w:val="18"/>
                <w:szCs w:val="18"/>
                <w:lang w:val="fr-FR"/>
              </w:rPr>
              <w:t>T7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999FF" w14:textId="77777777" w:rsidR="002761A0" w:rsidRPr="00BC1D70" w:rsidRDefault="002761A0" w:rsidP="00B03DF4">
            <w:pPr>
              <w:suppressAutoHyphens w:val="0"/>
              <w:kinsoku/>
              <w:overflowPunct/>
              <w:snapToGrid/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BC1D70">
              <w:rPr>
                <w:rFonts w:eastAsia="Times New Roman"/>
                <w:color w:val="000000"/>
                <w:sz w:val="18"/>
                <w:szCs w:val="18"/>
                <w:lang w:val="fr-FR"/>
              </w:rPr>
              <w:t>TP2</w:t>
            </w:r>
            <w:r w:rsidRPr="00BC1D70">
              <w:rPr>
                <w:rFonts w:eastAsia="Times New Roman"/>
                <w:color w:val="000000"/>
                <w:sz w:val="18"/>
                <w:szCs w:val="18"/>
                <w:lang w:val="fr-FR"/>
              </w:rPr>
              <w:br/>
              <w:t>TP13</w:t>
            </w:r>
          </w:p>
        </w:tc>
      </w:tr>
    </w:tbl>
    <w:p w14:paraId="2E0320D5" w14:textId="77777777" w:rsidR="002761A0" w:rsidRPr="00401E7E" w:rsidRDefault="002761A0" w:rsidP="00224C52">
      <w:pPr>
        <w:pStyle w:val="HChG"/>
        <w:rPr>
          <w:lang w:val="fr-FR"/>
        </w:rPr>
      </w:pPr>
      <w:r w:rsidRPr="00401E7E">
        <w:rPr>
          <w:lang w:val="fr-FR"/>
        </w:rPr>
        <w:tab/>
      </w:r>
      <w:r w:rsidRPr="00401E7E">
        <w:rPr>
          <w:lang w:val="fr-FR"/>
        </w:rPr>
        <w:tab/>
        <w:t>Justification</w:t>
      </w:r>
    </w:p>
    <w:p w14:paraId="490F6405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19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 xml:space="preserve">Compte tenu des arguments et données </w:t>
      </w:r>
      <w:r>
        <w:rPr>
          <w:lang w:val="fr-FR"/>
        </w:rPr>
        <w:t xml:space="preserve">ayant trait au </w:t>
      </w:r>
      <w:r w:rsidRPr="00401E7E">
        <w:rPr>
          <w:lang w:val="fr-FR"/>
        </w:rPr>
        <w:t>class</w:t>
      </w:r>
      <w:r>
        <w:rPr>
          <w:lang w:val="fr-FR"/>
        </w:rPr>
        <w:t>ement</w:t>
      </w:r>
      <w:r w:rsidRPr="00401E7E">
        <w:rPr>
          <w:lang w:val="fr-FR"/>
        </w:rPr>
        <w:t xml:space="preserve"> </w:t>
      </w:r>
      <w:r>
        <w:rPr>
          <w:lang w:val="fr-FR"/>
        </w:rPr>
        <w:t xml:space="preserve">du </w:t>
      </w:r>
      <w:r w:rsidRPr="00401E7E">
        <w:rPr>
          <w:lang w:val="fr-FR"/>
        </w:rPr>
        <w:t>N</w:t>
      </w:r>
      <w:r w:rsidRPr="00401E7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01E7E">
        <w:rPr>
          <w:lang w:val="fr-FR"/>
        </w:rPr>
        <w:t xml:space="preserve">ONU 1891 </w:t>
      </w:r>
      <w:r>
        <w:rPr>
          <w:lang w:val="fr-FR"/>
        </w:rPr>
        <w:t xml:space="preserve">dans </w:t>
      </w:r>
      <w:r w:rsidRPr="00401E7E">
        <w:rPr>
          <w:lang w:val="fr-FR"/>
        </w:rPr>
        <w:t>la classe 3, groupe d</w:t>
      </w:r>
      <w:r>
        <w:rPr>
          <w:lang w:val="fr-FR"/>
        </w:rPr>
        <w:t>’</w:t>
      </w:r>
      <w:r w:rsidRPr="00401E7E">
        <w:rPr>
          <w:lang w:val="fr-FR"/>
        </w:rPr>
        <w:t>emballage II</w:t>
      </w:r>
      <w:r>
        <w:rPr>
          <w:lang w:val="fr-FR"/>
        </w:rPr>
        <w:t>,</w:t>
      </w:r>
      <w:r w:rsidRPr="00401E7E">
        <w:rPr>
          <w:lang w:val="fr-FR"/>
        </w:rPr>
        <w:t xml:space="preserve"> </w:t>
      </w:r>
      <w:r>
        <w:rPr>
          <w:lang w:val="fr-FR"/>
        </w:rPr>
        <w:t xml:space="preserve">conformément aux </w:t>
      </w:r>
      <w:r w:rsidRPr="00401E7E">
        <w:rPr>
          <w:lang w:val="fr-FR"/>
        </w:rPr>
        <w:t xml:space="preserve">critères du </w:t>
      </w:r>
      <w:r>
        <w:rPr>
          <w:lang w:val="fr-FR"/>
        </w:rPr>
        <w:t>paragraphe</w:t>
      </w:r>
      <w:r w:rsidRPr="00401E7E">
        <w:rPr>
          <w:lang w:val="fr-FR"/>
        </w:rPr>
        <w:t xml:space="preserve"> 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3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6, il semble justifié de reclasser cette matière en conséquence</w:t>
      </w:r>
      <w:r w:rsidR="00B03DF4" w:rsidRPr="00B03DF4">
        <w:rPr>
          <w:lang w:val="fr-FR"/>
        </w:rPr>
        <w:t>.</w:t>
      </w:r>
    </w:p>
    <w:p w14:paraId="6E7CE915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20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>Les données actuelles sur la toxicité par inhalation du N</w:t>
      </w:r>
      <w:r w:rsidRPr="00A01668">
        <w:rPr>
          <w:vertAlign w:val="superscript"/>
          <w:lang w:val="fr-FR"/>
        </w:rPr>
        <w:t>o</w:t>
      </w:r>
      <w:r w:rsidRPr="00401E7E">
        <w:rPr>
          <w:lang w:val="fr-FR"/>
        </w:rPr>
        <w:t xml:space="preserve"> ONU 1891 ne permettent pas de décider </w:t>
      </w:r>
      <w:r>
        <w:rPr>
          <w:lang w:val="fr-FR"/>
        </w:rPr>
        <w:t xml:space="preserve">de manière </w:t>
      </w:r>
      <w:r w:rsidRPr="00401E7E">
        <w:rPr>
          <w:lang w:val="fr-FR"/>
        </w:rPr>
        <w:t>claire</w:t>
      </w:r>
      <w:r>
        <w:rPr>
          <w:lang w:val="fr-FR"/>
        </w:rPr>
        <w:t xml:space="preserve"> et indubitable</w:t>
      </w:r>
      <w:r w:rsidRPr="00401E7E">
        <w:rPr>
          <w:lang w:val="fr-FR"/>
        </w:rPr>
        <w:t xml:space="preserve"> si le N</w:t>
      </w:r>
      <w:r w:rsidRPr="00A01668">
        <w:rPr>
          <w:vertAlign w:val="superscript"/>
          <w:lang w:val="fr-FR"/>
        </w:rPr>
        <w:t>o</w:t>
      </w:r>
      <w:r w:rsidRPr="00401E7E">
        <w:rPr>
          <w:lang w:val="fr-FR"/>
        </w:rPr>
        <w:t> ONU 1891 doit ou non être classé comme matière toxique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Même si aucune justification n</w:t>
      </w:r>
      <w:r>
        <w:rPr>
          <w:lang w:val="fr-FR"/>
        </w:rPr>
        <w:t>’</w:t>
      </w:r>
      <w:r w:rsidRPr="00401E7E">
        <w:rPr>
          <w:lang w:val="fr-FR"/>
        </w:rPr>
        <w:t>a pu être fournie quant à la raison pour laquelle cette matière a été initialement classée comme une matière de la division 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1, groupe d</w:t>
      </w:r>
      <w:r>
        <w:rPr>
          <w:lang w:val="fr-FR"/>
        </w:rPr>
        <w:t>’</w:t>
      </w:r>
      <w:r w:rsidRPr="00401E7E">
        <w:rPr>
          <w:lang w:val="fr-FR"/>
        </w:rPr>
        <w:t xml:space="preserve">emballage II, il semble approprié de </w:t>
      </w:r>
      <w:r>
        <w:rPr>
          <w:lang w:val="fr-FR"/>
        </w:rPr>
        <w:t>continuer de tenir compte de</w:t>
      </w:r>
      <w:r w:rsidRPr="00401E7E">
        <w:rPr>
          <w:lang w:val="fr-FR"/>
        </w:rPr>
        <w:t xml:space="preserve"> s</w:t>
      </w:r>
      <w:r>
        <w:rPr>
          <w:lang w:val="fr-FR"/>
        </w:rPr>
        <w:t>on</w:t>
      </w:r>
      <w:r w:rsidRPr="00401E7E">
        <w:rPr>
          <w:lang w:val="fr-FR"/>
        </w:rPr>
        <w:t xml:space="preserve"> class</w:t>
      </w:r>
      <w:r>
        <w:rPr>
          <w:lang w:val="fr-FR"/>
        </w:rPr>
        <w:t>ement</w:t>
      </w:r>
      <w:r w:rsidRPr="00401E7E">
        <w:rPr>
          <w:lang w:val="fr-FR"/>
        </w:rPr>
        <w:t xml:space="preserve"> actuel </w:t>
      </w:r>
      <w:r>
        <w:rPr>
          <w:lang w:val="fr-FR"/>
        </w:rPr>
        <w:t xml:space="preserve">dans </w:t>
      </w:r>
      <w:r w:rsidRPr="00401E7E">
        <w:rPr>
          <w:lang w:val="fr-FR"/>
        </w:rPr>
        <w:t>la division 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>1, groupe d</w:t>
      </w:r>
      <w:r>
        <w:rPr>
          <w:lang w:val="fr-FR"/>
        </w:rPr>
        <w:t>’</w:t>
      </w:r>
      <w:r w:rsidRPr="00401E7E">
        <w:rPr>
          <w:lang w:val="fr-FR"/>
        </w:rPr>
        <w:t>emballage II</w:t>
      </w:r>
      <w:r>
        <w:rPr>
          <w:lang w:val="fr-FR"/>
        </w:rPr>
        <w:t>,</w:t>
      </w:r>
      <w:r w:rsidRPr="00401E7E">
        <w:rPr>
          <w:lang w:val="fr-FR"/>
        </w:rPr>
        <w:t xml:space="preserve"> et donc d</w:t>
      </w:r>
      <w:r>
        <w:rPr>
          <w:lang w:val="fr-FR"/>
        </w:rPr>
        <w:t>e lui affecter</w:t>
      </w:r>
      <w:r w:rsidRPr="00401E7E">
        <w:rPr>
          <w:lang w:val="fr-FR"/>
        </w:rPr>
        <w:t xml:space="preserve"> la division 6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1 </w:t>
      </w:r>
      <w:r>
        <w:rPr>
          <w:lang w:val="fr-FR"/>
        </w:rPr>
        <w:t xml:space="preserve">à titre de </w:t>
      </w:r>
      <w:r w:rsidRPr="00401E7E">
        <w:rPr>
          <w:lang w:val="fr-FR"/>
        </w:rPr>
        <w:t>danger subsidiaire</w:t>
      </w:r>
      <w:r w:rsidR="00B03DF4" w:rsidRPr="00B03DF4">
        <w:rPr>
          <w:lang w:val="fr-FR"/>
        </w:rPr>
        <w:t>.</w:t>
      </w:r>
    </w:p>
    <w:p w14:paraId="4906BF97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21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  <w:t xml:space="preserve">Le maintien </w:t>
      </w:r>
      <w:r>
        <w:rPr>
          <w:lang w:val="fr-FR"/>
        </w:rPr>
        <w:t xml:space="preserve">du </w:t>
      </w:r>
      <w:r w:rsidRPr="00D529B5">
        <w:rPr>
          <w:lang w:val="fr-FR"/>
        </w:rPr>
        <w:t xml:space="preserve">classement actuel </w:t>
      </w:r>
      <w:r w:rsidRPr="00401E7E">
        <w:rPr>
          <w:lang w:val="fr-FR"/>
        </w:rPr>
        <w:t xml:space="preserve">permet également de justifier le maintien des conditions de transport actuellement </w:t>
      </w:r>
      <w:r>
        <w:rPr>
          <w:lang w:val="fr-FR"/>
        </w:rPr>
        <w:t>prescrites</w:t>
      </w:r>
      <w:r w:rsidRPr="00401E7E">
        <w:rPr>
          <w:lang w:val="fr-FR"/>
        </w:rPr>
        <w:t xml:space="preserve"> et dont la s</w:t>
      </w:r>
      <w:r>
        <w:rPr>
          <w:lang w:val="fr-FR"/>
        </w:rPr>
        <w:t>ûre</w:t>
      </w:r>
      <w:r w:rsidRPr="00401E7E">
        <w:rPr>
          <w:lang w:val="fr-FR"/>
        </w:rPr>
        <w:t>té est prouvée, ce qui est particulièrement vrai dans le cas du transport en citernes mobiles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 xml:space="preserve"> Pour le transport sous les régimes </w:t>
      </w:r>
      <w:r>
        <w:rPr>
          <w:lang w:val="fr-FR"/>
        </w:rPr>
        <w:t>des quantités limitées et quantités exceptées</w:t>
      </w:r>
      <w:r w:rsidRPr="00401E7E">
        <w:rPr>
          <w:lang w:val="fr-FR"/>
        </w:rPr>
        <w:t xml:space="preserve">, les modifications proposées, qui sont conformes aux </w:t>
      </w:r>
      <w:r>
        <w:rPr>
          <w:lang w:val="fr-FR"/>
        </w:rPr>
        <w:t>Principes directeurs</w:t>
      </w:r>
      <w:r w:rsidRPr="00401E7E">
        <w:rPr>
          <w:lang w:val="fr-FR"/>
        </w:rPr>
        <w:t>, conduisent à un assouplissement et permettent donc toujours</w:t>
      </w:r>
      <w:r>
        <w:rPr>
          <w:lang w:val="fr-FR"/>
        </w:rPr>
        <w:t xml:space="preserve"> de transporter cette matière de la manière actuellement pratiquée</w:t>
      </w:r>
      <w:r w:rsidR="00B03DF4" w:rsidRPr="00B03DF4">
        <w:rPr>
          <w:lang w:val="fr-FR"/>
        </w:rPr>
        <w:t>.</w:t>
      </w:r>
    </w:p>
    <w:p w14:paraId="22F0F287" w14:textId="77777777" w:rsidR="002761A0" w:rsidRPr="00401E7E" w:rsidRDefault="002761A0" w:rsidP="002761A0">
      <w:pPr>
        <w:pStyle w:val="SingleTxtG"/>
        <w:rPr>
          <w:lang w:val="fr-FR"/>
        </w:rPr>
      </w:pPr>
      <w:r w:rsidRPr="00401E7E">
        <w:rPr>
          <w:lang w:val="fr-FR"/>
        </w:rPr>
        <w:t>22</w:t>
      </w:r>
      <w:r w:rsidR="00B03DF4" w:rsidRPr="00B03DF4">
        <w:rPr>
          <w:lang w:val="fr-FR"/>
        </w:rPr>
        <w:t>.</w:t>
      </w:r>
      <w:r w:rsidRPr="00401E7E">
        <w:rPr>
          <w:lang w:val="fr-FR"/>
        </w:rPr>
        <w:tab/>
      </w:r>
      <w:r>
        <w:rPr>
          <w:lang w:val="fr-FR"/>
        </w:rPr>
        <w:t>La présente</w:t>
      </w:r>
      <w:r w:rsidRPr="00401E7E">
        <w:rPr>
          <w:lang w:val="fr-FR"/>
        </w:rPr>
        <w:t xml:space="preserve"> proposition améliore la sécurité en communiquant clairement les dangers et risques réels que présente cette matière tout en maintenant autant que possible les conditions de transport actuelles</w:t>
      </w:r>
      <w:r>
        <w:rPr>
          <w:lang w:val="fr-FR"/>
        </w:rPr>
        <w:t xml:space="preserve">, </w:t>
      </w:r>
      <w:r w:rsidRPr="00401E7E">
        <w:rPr>
          <w:lang w:val="fr-FR"/>
        </w:rPr>
        <w:t xml:space="preserve">qui se sont </w:t>
      </w:r>
      <w:r>
        <w:rPr>
          <w:lang w:val="fr-FR"/>
        </w:rPr>
        <w:t>révél</w:t>
      </w:r>
      <w:r w:rsidRPr="00401E7E">
        <w:rPr>
          <w:lang w:val="fr-FR"/>
        </w:rPr>
        <w:t>ées sûres pendant de nombreuses années</w:t>
      </w:r>
      <w:r w:rsidR="00B03DF4" w:rsidRPr="00B03DF4">
        <w:rPr>
          <w:lang w:val="fr-FR"/>
        </w:rPr>
        <w:t>.</w:t>
      </w:r>
    </w:p>
    <w:p w14:paraId="1094E363" w14:textId="77777777" w:rsidR="002761A0" w:rsidRPr="00401E7E" w:rsidRDefault="002761A0" w:rsidP="00CA7D9F">
      <w:pPr>
        <w:pStyle w:val="HChG"/>
        <w:rPr>
          <w:lang w:val="fr-FR"/>
        </w:rPr>
      </w:pPr>
      <w:r w:rsidRPr="00401E7E">
        <w:rPr>
          <w:lang w:val="fr-FR"/>
        </w:rPr>
        <w:lastRenderedPageBreak/>
        <w:t xml:space="preserve">Annexe </w:t>
      </w:r>
    </w:p>
    <w:p w14:paraId="3AE4053D" w14:textId="77777777" w:rsidR="002761A0" w:rsidRPr="00401E7E" w:rsidRDefault="002761A0" w:rsidP="00CA7D9F">
      <w:pPr>
        <w:pStyle w:val="HChG"/>
        <w:rPr>
          <w:lang w:val="fr-FR"/>
        </w:rPr>
      </w:pPr>
      <w:r w:rsidRPr="00401E7E">
        <w:rPr>
          <w:lang w:val="fr-FR"/>
        </w:rPr>
        <w:tab/>
      </w:r>
      <w:r w:rsidRPr="00401E7E">
        <w:rPr>
          <w:lang w:val="fr-FR"/>
        </w:rPr>
        <w:tab/>
        <w:t>Données scientifiques sur le N</w:t>
      </w:r>
      <w:r w:rsidRPr="00D529B5">
        <w:rPr>
          <w:vertAlign w:val="superscript"/>
          <w:lang w:val="fr-FR"/>
        </w:rPr>
        <w:t>o</w:t>
      </w:r>
      <w:r w:rsidRPr="00401E7E">
        <w:rPr>
          <w:lang w:val="fr-FR"/>
        </w:rPr>
        <w:t xml:space="preserve"> ONU 1891</w:t>
      </w:r>
    </w:p>
    <w:p w14:paraId="58A9B872" w14:textId="77777777" w:rsidR="002761A0" w:rsidRPr="00401E7E" w:rsidRDefault="002761A0" w:rsidP="002761A0">
      <w:pPr>
        <w:pStyle w:val="H23G"/>
        <w:rPr>
          <w:vertAlign w:val="subscript"/>
          <w:lang w:val="fr-FR"/>
        </w:rPr>
      </w:pPr>
      <w:r w:rsidRPr="00401E7E">
        <w:rPr>
          <w:lang w:val="fr-FR"/>
        </w:rPr>
        <w:tab/>
      </w:r>
      <w:r w:rsidRPr="00401E7E">
        <w:rPr>
          <w:lang w:val="fr-FR"/>
        </w:rPr>
        <w:tab/>
        <w:t>Tableau 1</w:t>
      </w:r>
      <w:r w:rsidR="00CA7D9F">
        <w:rPr>
          <w:lang w:val="fr-FR"/>
        </w:rPr>
        <w:t xml:space="preserve"> </w:t>
      </w:r>
      <w:r w:rsidR="00CA7D9F">
        <w:rPr>
          <w:lang w:val="fr-FR"/>
        </w:rPr>
        <w:br/>
      </w:r>
      <w:r w:rsidRPr="00401E7E">
        <w:rPr>
          <w:lang w:val="fr-FR"/>
        </w:rPr>
        <w:t>Point d</w:t>
      </w:r>
      <w:r>
        <w:rPr>
          <w:lang w:val="fr-FR"/>
        </w:rPr>
        <w:t>’</w:t>
      </w:r>
      <w:r w:rsidRPr="00401E7E">
        <w:rPr>
          <w:lang w:val="fr-FR"/>
        </w:rPr>
        <w:t>éclair et point d</w:t>
      </w:r>
      <w:r>
        <w:rPr>
          <w:lang w:val="fr-FR"/>
        </w:rPr>
        <w:t>’</w:t>
      </w:r>
      <w:r w:rsidRPr="00401E7E">
        <w:rPr>
          <w:lang w:val="fr-FR"/>
        </w:rPr>
        <w:t>ébullition, DL</w:t>
      </w:r>
      <w:r w:rsidRPr="003821D1">
        <w:rPr>
          <w:vertAlign w:val="subscript"/>
          <w:lang w:val="fr-FR"/>
        </w:rPr>
        <w:t>50</w:t>
      </w:r>
      <w:r w:rsidRPr="00401E7E">
        <w:rPr>
          <w:lang w:val="fr-FR"/>
        </w:rPr>
        <w:t xml:space="preserve"> et CL</w:t>
      </w:r>
      <w:r w:rsidRPr="003821D1">
        <w:rPr>
          <w:vertAlign w:val="subscript"/>
          <w:lang w:val="fr-FR"/>
        </w:rPr>
        <w:t>50</w:t>
      </w:r>
    </w:p>
    <w:tbl>
      <w:tblPr>
        <w:tblStyle w:val="TableGrid"/>
        <w:tblW w:w="8805" w:type="dxa"/>
        <w:tblInd w:w="546" w:type="dxa"/>
        <w:tblLayout w:type="fixed"/>
        <w:tblLook w:val="0480" w:firstRow="0" w:lastRow="0" w:firstColumn="1" w:lastColumn="0" w:noHBand="0" w:noVBand="1"/>
      </w:tblPr>
      <w:tblGrid>
        <w:gridCol w:w="2143"/>
        <w:gridCol w:w="1417"/>
        <w:gridCol w:w="1559"/>
        <w:gridCol w:w="1560"/>
        <w:gridCol w:w="2126"/>
      </w:tblGrid>
      <w:tr w:rsidR="002761A0" w:rsidRPr="00401E7E" w14:paraId="3F7258C3" w14:textId="77777777" w:rsidTr="009768D4">
        <w:tc>
          <w:tcPr>
            <w:tcW w:w="2143" w:type="dxa"/>
            <w:tcBorders>
              <w:tl2br w:val="single" w:sz="4" w:space="0" w:color="auto"/>
            </w:tcBorders>
          </w:tcPr>
          <w:p w14:paraId="0215CB9A" w14:textId="77777777" w:rsidR="002761A0" w:rsidRPr="00401E7E" w:rsidRDefault="002761A0" w:rsidP="00B03DF4">
            <w:pPr>
              <w:spacing w:before="40" w:after="40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 xml:space="preserve">               </w:t>
            </w:r>
            <w:r>
              <w:rPr>
                <w:sz w:val="18"/>
                <w:szCs w:val="18"/>
                <w:lang w:val="fr-FR"/>
              </w:rPr>
              <w:t xml:space="preserve">      </w:t>
            </w:r>
            <w:r w:rsidRPr="00401E7E">
              <w:rPr>
                <w:sz w:val="18"/>
                <w:szCs w:val="18"/>
                <w:lang w:val="fr-FR"/>
              </w:rPr>
              <w:t>Propriété</w:t>
            </w:r>
          </w:p>
          <w:p w14:paraId="193092C9" w14:textId="77777777" w:rsidR="002761A0" w:rsidRPr="00401E7E" w:rsidRDefault="002761A0" w:rsidP="00B03DF4">
            <w:pPr>
              <w:spacing w:before="40" w:after="40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 xml:space="preserve">                                                                 </w:t>
            </w:r>
          </w:p>
          <w:p w14:paraId="777BF991" w14:textId="77777777" w:rsidR="002761A0" w:rsidRPr="00401E7E" w:rsidRDefault="002761A0" w:rsidP="00B03DF4">
            <w:pPr>
              <w:spacing w:before="40" w:after="40"/>
              <w:rPr>
                <w:b/>
                <w:bCs/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Source</w:t>
            </w:r>
          </w:p>
        </w:tc>
        <w:tc>
          <w:tcPr>
            <w:tcW w:w="1417" w:type="dxa"/>
          </w:tcPr>
          <w:p w14:paraId="6A222AA2" w14:textId="77777777" w:rsidR="002761A0" w:rsidRPr="00401E7E" w:rsidRDefault="002761A0" w:rsidP="00B03DF4">
            <w:pPr>
              <w:spacing w:before="40" w:after="40"/>
              <w:ind w:left="21"/>
              <w:jc w:val="center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Point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401E7E">
              <w:rPr>
                <w:sz w:val="18"/>
                <w:szCs w:val="18"/>
                <w:lang w:val="fr-FR"/>
              </w:rPr>
              <w:t xml:space="preserve">éclair </w:t>
            </w:r>
            <w:r w:rsidR="00B03DF4">
              <w:rPr>
                <w:sz w:val="18"/>
                <w:szCs w:val="18"/>
                <w:lang w:val="fr-FR"/>
              </w:rPr>
              <w:br/>
            </w:r>
            <w:r w:rsidRPr="00401E7E">
              <w:rPr>
                <w:sz w:val="18"/>
                <w:szCs w:val="18"/>
                <w:lang w:val="fr-FR"/>
              </w:rPr>
              <w:t>(°C)</w:t>
            </w:r>
          </w:p>
        </w:tc>
        <w:tc>
          <w:tcPr>
            <w:tcW w:w="1559" w:type="dxa"/>
          </w:tcPr>
          <w:p w14:paraId="3BCA658A" w14:textId="77777777" w:rsidR="002761A0" w:rsidRPr="00401E7E" w:rsidRDefault="002761A0" w:rsidP="00B03DF4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Point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401E7E">
              <w:rPr>
                <w:sz w:val="18"/>
                <w:szCs w:val="18"/>
                <w:lang w:val="fr-FR"/>
              </w:rPr>
              <w:t>ébullition (°C)</w:t>
            </w:r>
          </w:p>
        </w:tc>
        <w:tc>
          <w:tcPr>
            <w:tcW w:w="1560" w:type="dxa"/>
          </w:tcPr>
          <w:p w14:paraId="5EA62D0F" w14:textId="77777777" w:rsidR="002761A0" w:rsidRPr="00401E7E" w:rsidRDefault="002761A0" w:rsidP="00B03DF4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Toxicité orale DL</w:t>
            </w:r>
            <w:r w:rsidRPr="003821D1">
              <w:rPr>
                <w:sz w:val="18"/>
                <w:szCs w:val="18"/>
                <w:vertAlign w:val="subscript"/>
                <w:lang w:val="fr-FR"/>
              </w:rPr>
              <w:t>50</w:t>
            </w:r>
            <w:r w:rsidRPr="00401E7E">
              <w:rPr>
                <w:sz w:val="18"/>
                <w:szCs w:val="18"/>
                <w:lang w:val="fr-FR"/>
              </w:rPr>
              <w:t xml:space="preserve"> (mg/kg)</w:t>
            </w:r>
          </w:p>
        </w:tc>
        <w:tc>
          <w:tcPr>
            <w:tcW w:w="2126" w:type="dxa"/>
          </w:tcPr>
          <w:p w14:paraId="281B6EB2" w14:textId="77777777" w:rsidR="002761A0" w:rsidRPr="00401E7E" w:rsidRDefault="002761A0" w:rsidP="00B03DF4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Toxicité par inhalation C</w:t>
            </w:r>
            <w:r>
              <w:rPr>
                <w:sz w:val="18"/>
                <w:szCs w:val="18"/>
                <w:lang w:val="fr-FR"/>
              </w:rPr>
              <w:t>L</w:t>
            </w:r>
            <w:r w:rsidRPr="003821D1">
              <w:rPr>
                <w:sz w:val="18"/>
                <w:szCs w:val="18"/>
                <w:vertAlign w:val="subscript"/>
                <w:lang w:val="fr-FR"/>
              </w:rPr>
              <w:t>50</w:t>
            </w:r>
          </w:p>
        </w:tc>
      </w:tr>
      <w:tr w:rsidR="002761A0" w:rsidRPr="00401E7E" w14:paraId="0884F72C" w14:textId="77777777" w:rsidTr="009768D4">
        <w:tc>
          <w:tcPr>
            <w:tcW w:w="2143" w:type="dxa"/>
            <w:vAlign w:val="center"/>
          </w:tcPr>
          <w:p w14:paraId="20C4103A" w14:textId="77777777" w:rsidR="002761A0" w:rsidRPr="00401E7E" w:rsidRDefault="002761A0" w:rsidP="00B03DF4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Base de données Kaleidos</w:t>
            </w:r>
            <w:r w:rsidRPr="003821D1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1417" w:type="dxa"/>
            <w:vAlign w:val="center"/>
          </w:tcPr>
          <w:p w14:paraId="1CAF3D51" w14:textId="77777777" w:rsidR="002761A0" w:rsidRPr="00401E7E" w:rsidRDefault="00B03DF4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  <w:r w:rsidR="002761A0" w:rsidRPr="00401E7E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1559" w:type="dxa"/>
            <w:vAlign w:val="center"/>
          </w:tcPr>
          <w:p w14:paraId="09D00167" w14:textId="77777777" w:rsidR="002761A0" w:rsidRPr="00401E7E" w:rsidRDefault="002761A0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38</w:t>
            </w:r>
          </w:p>
        </w:tc>
        <w:tc>
          <w:tcPr>
            <w:tcW w:w="1560" w:type="dxa"/>
            <w:vAlign w:val="center"/>
          </w:tcPr>
          <w:p w14:paraId="0BD29002" w14:textId="77777777" w:rsidR="002761A0" w:rsidRPr="00401E7E" w:rsidRDefault="002761A0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/</w:t>
            </w:r>
          </w:p>
        </w:tc>
        <w:tc>
          <w:tcPr>
            <w:tcW w:w="2126" w:type="dxa"/>
            <w:vAlign w:val="center"/>
          </w:tcPr>
          <w:p w14:paraId="27EB4A0F" w14:textId="77777777" w:rsidR="002761A0" w:rsidRPr="00401E7E" w:rsidRDefault="002761A0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/</w:t>
            </w:r>
          </w:p>
        </w:tc>
      </w:tr>
      <w:tr w:rsidR="002761A0" w:rsidRPr="002761A0" w14:paraId="059478A6" w14:textId="77777777" w:rsidTr="009768D4">
        <w:tc>
          <w:tcPr>
            <w:tcW w:w="2143" w:type="dxa"/>
            <w:vAlign w:val="center"/>
          </w:tcPr>
          <w:p w14:paraId="700AFEAA" w14:textId="77777777" w:rsidR="002761A0" w:rsidRPr="00401E7E" w:rsidRDefault="002761A0" w:rsidP="00B03DF4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Base de données Pubmed</w:t>
            </w:r>
            <w:r w:rsidRPr="003821D1">
              <w:rPr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1417" w:type="dxa"/>
            <w:vAlign w:val="center"/>
          </w:tcPr>
          <w:p w14:paraId="70D8BBFC" w14:textId="77777777" w:rsidR="002761A0" w:rsidRPr="00401E7E" w:rsidRDefault="00B03DF4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  <w:r w:rsidR="002761A0" w:rsidRPr="00401E7E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1559" w:type="dxa"/>
            <w:vAlign w:val="center"/>
          </w:tcPr>
          <w:p w14:paraId="45B0B90B" w14:textId="77777777" w:rsidR="002761A0" w:rsidRPr="00401E7E" w:rsidRDefault="002761A0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38</w:t>
            </w:r>
          </w:p>
        </w:tc>
        <w:tc>
          <w:tcPr>
            <w:tcW w:w="1560" w:type="dxa"/>
            <w:vAlign w:val="center"/>
          </w:tcPr>
          <w:p w14:paraId="27B7B6A3" w14:textId="77777777" w:rsidR="002761A0" w:rsidRPr="00401E7E" w:rsidRDefault="002761A0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shd w:val="clear" w:color="auto" w:fill="FFFFFF"/>
                <w:lang w:val="fr-FR"/>
              </w:rPr>
            </w:pPr>
            <w:r w:rsidRPr="00401E7E">
              <w:rPr>
                <w:sz w:val="18"/>
                <w:szCs w:val="18"/>
                <w:shd w:val="clear" w:color="auto" w:fill="FFFFFF"/>
                <w:lang w:val="fr-FR"/>
              </w:rPr>
              <w:t>1</w:t>
            </w:r>
            <w:r>
              <w:rPr>
                <w:sz w:val="18"/>
                <w:szCs w:val="18"/>
                <w:shd w:val="clear" w:color="auto" w:fill="FFFFFF"/>
                <w:lang w:val="fr-FR"/>
              </w:rPr>
              <w:t> </w:t>
            </w:r>
            <w:r w:rsidRPr="00401E7E">
              <w:rPr>
                <w:sz w:val="18"/>
                <w:szCs w:val="18"/>
                <w:shd w:val="clear" w:color="auto" w:fill="FFFFFF"/>
                <w:lang w:val="fr-FR"/>
              </w:rPr>
              <w:t>350 (rat)</w:t>
            </w:r>
          </w:p>
        </w:tc>
        <w:tc>
          <w:tcPr>
            <w:tcW w:w="2126" w:type="dxa"/>
            <w:vAlign w:val="center"/>
          </w:tcPr>
          <w:p w14:paraId="4DE6444F" w14:textId="77777777" w:rsidR="002761A0" w:rsidRPr="002761A0" w:rsidRDefault="002761A0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lang w:val="en-US"/>
              </w:rPr>
            </w:pPr>
            <w:r w:rsidRPr="00142A54">
              <w:rPr>
                <w:sz w:val="18"/>
                <w:szCs w:val="18"/>
                <w:lang w:val="en-US"/>
              </w:rPr>
              <w:t>26 980 mg/kg (rat)</w:t>
            </w:r>
          </w:p>
          <w:p w14:paraId="15D77447" w14:textId="77777777" w:rsidR="002761A0" w:rsidRPr="00142A54" w:rsidRDefault="002761A0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lang w:val="en-US"/>
              </w:rPr>
            </w:pPr>
            <w:r w:rsidRPr="00142A54">
              <w:rPr>
                <w:sz w:val="18"/>
                <w:szCs w:val="18"/>
                <w:lang w:val="en-US"/>
              </w:rPr>
              <w:t>16 230 mg/kg (</w:t>
            </w:r>
            <w:proofErr w:type="spellStart"/>
            <w:r w:rsidRPr="00142A54">
              <w:rPr>
                <w:sz w:val="18"/>
                <w:szCs w:val="18"/>
                <w:lang w:val="en-US"/>
              </w:rPr>
              <w:t>souris</w:t>
            </w:r>
            <w:proofErr w:type="spellEnd"/>
            <w:r w:rsidRPr="00142A54">
              <w:rPr>
                <w:sz w:val="18"/>
                <w:szCs w:val="18"/>
                <w:lang w:val="en-US"/>
              </w:rPr>
              <w:t>)</w:t>
            </w:r>
          </w:p>
        </w:tc>
      </w:tr>
      <w:tr w:rsidR="002761A0" w:rsidRPr="002761A0" w14:paraId="19BDD7A4" w14:textId="77777777" w:rsidTr="009768D4">
        <w:tc>
          <w:tcPr>
            <w:tcW w:w="2143" w:type="dxa"/>
            <w:vAlign w:val="center"/>
          </w:tcPr>
          <w:p w14:paraId="2BE53C44" w14:textId="77777777" w:rsidR="002761A0" w:rsidRPr="00401E7E" w:rsidRDefault="002761A0" w:rsidP="00B03DF4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É</w:t>
            </w:r>
            <w:r w:rsidRPr="00401E7E">
              <w:rPr>
                <w:sz w:val="18"/>
                <w:szCs w:val="18"/>
                <w:lang w:val="fr-FR"/>
              </w:rPr>
              <w:t>valuation international</w:t>
            </w:r>
            <w:r>
              <w:rPr>
                <w:sz w:val="18"/>
                <w:szCs w:val="18"/>
                <w:lang w:val="fr-FR"/>
              </w:rPr>
              <w:t>e</w:t>
            </w:r>
            <w:r w:rsidRPr="00401E7E">
              <w:rPr>
                <w:sz w:val="18"/>
                <w:szCs w:val="18"/>
                <w:lang w:val="fr-FR"/>
              </w:rPr>
              <w:t xml:space="preserve"> concis</w:t>
            </w:r>
            <w:r>
              <w:rPr>
                <w:sz w:val="18"/>
                <w:szCs w:val="18"/>
                <w:lang w:val="fr-FR"/>
              </w:rPr>
              <w:t>e</w:t>
            </w:r>
            <w:r w:rsidRPr="00401E7E">
              <w:rPr>
                <w:sz w:val="18"/>
                <w:szCs w:val="18"/>
                <w:lang w:val="fr-FR"/>
              </w:rPr>
              <w:t xml:space="preserve"> des produits chimiques </w:t>
            </w:r>
            <w:r>
              <w:rPr>
                <w:sz w:val="18"/>
                <w:szCs w:val="18"/>
                <w:lang w:val="fr-FR"/>
              </w:rPr>
              <w:br/>
            </w:r>
            <w:r w:rsidRPr="00401E7E">
              <w:rPr>
                <w:sz w:val="18"/>
                <w:szCs w:val="18"/>
                <w:lang w:val="fr-FR"/>
              </w:rPr>
              <w:t>Document 42 (OMS)</w:t>
            </w:r>
            <w:r w:rsidRPr="00401E7E">
              <w:rPr>
                <w:sz w:val="18"/>
                <w:szCs w:val="18"/>
                <w:vertAlign w:val="superscript"/>
                <w:lang w:val="fr-FR"/>
              </w:rPr>
              <w:t>3, 4</w:t>
            </w:r>
          </w:p>
        </w:tc>
        <w:tc>
          <w:tcPr>
            <w:tcW w:w="1417" w:type="dxa"/>
            <w:vAlign w:val="center"/>
          </w:tcPr>
          <w:p w14:paraId="1445CCE1" w14:textId="77777777" w:rsidR="002761A0" w:rsidRPr="00401E7E" w:rsidRDefault="00B03DF4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  <w:r w:rsidR="002761A0" w:rsidRPr="00401E7E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1559" w:type="dxa"/>
            <w:vAlign w:val="center"/>
          </w:tcPr>
          <w:p w14:paraId="54D194DA" w14:textId="77777777" w:rsidR="002761A0" w:rsidRPr="00401E7E" w:rsidRDefault="002761A0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38</w:t>
            </w:r>
            <w:r>
              <w:rPr>
                <w:sz w:val="18"/>
                <w:szCs w:val="18"/>
                <w:lang w:val="fr-FR"/>
              </w:rPr>
              <w:t>,</w:t>
            </w:r>
            <w:r w:rsidRPr="00401E7E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560" w:type="dxa"/>
            <w:vAlign w:val="center"/>
          </w:tcPr>
          <w:p w14:paraId="0748431E" w14:textId="77777777" w:rsidR="002761A0" w:rsidRPr="00401E7E" w:rsidRDefault="002761A0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shd w:val="clear" w:color="auto" w:fill="FFFFFF"/>
                <w:lang w:val="fr-FR"/>
              </w:rPr>
            </w:pPr>
            <w:r w:rsidRPr="00401E7E">
              <w:rPr>
                <w:sz w:val="18"/>
                <w:szCs w:val="18"/>
                <w:shd w:val="clear" w:color="auto" w:fill="FFFFFF"/>
                <w:lang w:val="fr-FR"/>
              </w:rPr>
              <w:t>1</w:t>
            </w:r>
            <w:r>
              <w:rPr>
                <w:sz w:val="18"/>
                <w:szCs w:val="18"/>
                <w:shd w:val="clear" w:color="auto" w:fill="FFFFFF"/>
                <w:lang w:val="fr-FR"/>
              </w:rPr>
              <w:t> </w:t>
            </w:r>
            <w:r w:rsidRPr="00401E7E">
              <w:rPr>
                <w:sz w:val="18"/>
                <w:szCs w:val="18"/>
                <w:shd w:val="clear" w:color="auto" w:fill="FFFFFF"/>
                <w:lang w:val="fr-FR"/>
              </w:rPr>
              <w:t>350 (rat)</w:t>
            </w:r>
          </w:p>
        </w:tc>
        <w:tc>
          <w:tcPr>
            <w:tcW w:w="2126" w:type="dxa"/>
            <w:vAlign w:val="center"/>
          </w:tcPr>
          <w:p w14:paraId="7A439A28" w14:textId="77777777" w:rsidR="002761A0" w:rsidRPr="002761A0" w:rsidRDefault="002761A0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lang w:val="en-US"/>
              </w:rPr>
            </w:pPr>
            <w:r w:rsidRPr="00142A54">
              <w:rPr>
                <w:sz w:val="18"/>
                <w:szCs w:val="18"/>
                <w:lang w:val="en-US"/>
              </w:rPr>
              <w:t>21 200 mg/m³ = 4 681 ppm</w:t>
            </w:r>
            <w:r w:rsidRPr="00142A54">
              <w:rPr>
                <w:sz w:val="18"/>
                <w:szCs w:val="18"/>
                <w:lang w:val="en-US"/>
              </w:rPr>
              <w:br/>
              <w:t>(rat, 4 h)</w:t>
            </w:r>
          </w:p>
          <w:p w14:paraId="0E7DDC95" w14:textId="77777777" w:rsidR="002761A0" w:rsidRPr="00142A54" w:rsidRDefault="002761A0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lang w:val="en-US"/>
              </w:rPr>
            </w:pPr>
            <w:r w:rsidRPr="00142A54">
              <w:rPr>
                <w:sz w:val="18"/>
                <w:szCs w:val="18"/>
                <w:lang w:val="en-US"/>
              </w:rPr>
              <w:t xml:space="preserve">12 300 mg/m³ = 2 723 ppm </w:t>
            </w:r>
          </w:p>
          <w:p w14:paraId="0D83F0E9" w14:textId="77777777" w:rsidR="002761A0" w:rsidRPr="00142A54" w:rsidRDefault="002761A0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lang w:val="en-US"/>
              </w:rPr>
            </w:pPr>
            <w:r w:rsidRPr="00142A54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142A54">
              <w:rPr>
                <w:sz w:val="18"/>
                <w:szCs w:val="18"/>
                <w:lang w:val="en-US"/>
              </w:rPr>
              <w:t>souris</w:t>
            </w:r>
            <w:proofErr w:type="spellEnd"/>
            <w:r w:rsidRPr="00142A54">
              <w:rPr>
                <w:sz w:val="18"/>
                <w:szCs w:val="18"/>
                <w:lang w:val="en-US"/>
              </w:rPr>
              <w:t>, 4 h)</w:t>
            </w:r>
          </w:p>
        </w:tc>
      </w:tr>
      <w:tr w:rsidR="002761A0" w:rsidRPr="002761A0" w14:paraId="4C64702F" w14:textId="77777777" w:rsidTr="009768D4">
        <w:tc>
          <w:tcPr>
            <w:tcW w:w="2143" w:type="dxa"/>
            <w:vAlign w:val="center"/>
          </w:tcPr>
          <w:p w14:paraId="23065C83" w14:textId="77777777" w:rsidR="002761A0" w:rsidRPr="00401E7E" w:rsidRDefault="002761A0" w:rsidP="00B03DF4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Fiche de données de sécurité Bromoéthane</w:t>
            </w:r>
            <w:r w:rsidRPr="003821D1">
              <w:rPr>
                <w:sz w:val="18"/>
                <w:szCs w:val="18"/>
                <w:vertAlign w:val="superscript"/>
                <w:lang w:val="fr-FR"/>
              </w:rPr>
              <w:t>5</w:t>
            </w:r>
          </w:p>
        </w:tc>
        <w:tc>
          <w:tcPr>
            <w:tcW w:w="1417" w:type="dxa"/>
            <w:vAlign w:val="center"/>
          </w:tcPr>
          <w:p w14:paraId="4617CE54" w14:textId="77777777" w:rsidR="002761A0" w:rsidRPr="00401E7E" w:rsidRDefault="00B03DF4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  <w:r w:rsidR="002761A0" w:rsidRPr="00401E7E">
              <w:rPr>
                <w:sz w:val="18"/>
                <w:szCs w:val="18"/>
                <w:lang w:val="fr-FR"/>
              </w:rPr>
              <w:t>23</w:t>
            </w:r>
          </w:p>
        </w:tc>
        <w:tc>
          <w:tcPr>
            <w:tcW w:w="1559" w:type="dxa"/>
            <w:vAlign w:val="center"/>
          </w:tcPr>
          <w:p w14:paraId="1A5343F6" w14:textId="77777777" w:rsidR="002761A0" w:rsidRPr="00401E7E" w:rsidRDefault="002761A0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 xml:space="preserve">37 </w:t>
            </w:r>
            <w:r>
              <w:rPr>
                <w:sz w:val="18"/>
                <w:szCs w:val="18"/>
                <w:lang w:val="fr-FR"/>
              </w:rPr>
              <w:t>à</w:t>
            </w:r>
            <w:r w:rsidRPr="00401E7E">
              <w:rPr>
                <w:sz w:val="18"/>
                <w:szCs w:val="18"/>
                <w:lang w:val="fr-FR"/>
              </w:rPr>
              <w:t xml:space="preserve"> 40</w:t>
            </w:r>
          </w:p>
        </w:tc>
        <w:tc>
          <w:tcPr>
            <w:tcW w:w="1560" w:type="dxa"/>
            <w:vAlign w:val="center"/>
          </w:tcPr>
          <w:p w14:paraId="0762E6DF" w14:textId="77777777" w:rsidR="002761A0" w:rsidRPr="00401E7E" w:rsidRDefault="002761A0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shd w:val="clear" w:color="auto" w:fill="FFFFFF"/>
                <w:lang w:val="fr-FR"/>
              </w:rPr>
            </w:pPr>
            <w:r w:rsidRPr="00401E7E">
              <w:rPr>
                <w:sz w:val="18"/>
                <w:szCs w:val="18"/>
                <w:shd w:val="clear" w:color="auto" w:fill="FFFFFF"/>
                <w:lang w:val="fr-FR"/>
              </w:rPr>
              <w:t>1</w:t>
            </w:r>
            <w:r>
              <w:rPr>
                <w:sz w:val="18"/>
                <w:szCs w:val="18"/>
                <w:shd w:val="clear" w:color="auto" w:fill="FFFFFF"/>
                <w:lang w:val="fr-FR"/>
              </w:rPr>
              <w:t> </w:t>
            </w:r>
            <w:r w:rsidRPr="00401E7E">
              <w:rPr>
                <w:sz w:val="18"/>
                <w:szCs w:val="18"/>
                <w:shd w:val="clear" w:color="auto" w:fill="FFFFFF"/>
                <w:lang w:val="fr-FR"/>
              </w:rPr>
              <w:t>350 (rat)</w:t>
            </w:r>
          </w:p>
        </w:tc>
        <w:tc>
          <w:tcPr>
            <w:tcW w:w="2126" w:type="dxa"/>
            <w:vAlign w:val="center"/>
          </w:tcPr>
          <w:p w14:paraId="783FBCD2" w14:textId="77777777" w:rsidR="002761A0" w:rsidRPr="00142A54" w:rsidRDefault="002761A0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lang w:val="en-US"/>
              </w:rPr>
            </w:pPr>
            <w:r w:rsidRPr="00142A54">
              <w:rPr>
                <w:sz w:val="18"/>
                <w:szCs w:val="18"/>
                <w:lang w:val="en-US"/>
              </w:rPr>
              <w:t>20,9 mg/l (rat, 4 h)</w:t>
            </w:r>
          </w:p>
          <w:p w14:paraId="403BACE4" w14:textId="77777777" w:rsidR="002761A0" w:rsidRPr="00142A54" w:rsidRDefault="002761A0" w:rsidP="00B03DF4">
            <w:pPr>
              <w:spacing w:before="40" w:after="40" w:line="240" w:lineRule="auto"/>
              <w:ind w:right="11"/>
              <w:jc w:val="center"/>
              <w:rPr>
                <w:sz w:val="18"/>
                <w:szCs w:val="18"/>
                <w:lang w:val="en-US"/>
              </w:rPr>
            </w:pPr>
            <w:r w:rsidRPr="00142A54">
              <w:rPr>
                <w:sz w:val="18"/>
                <w:szCs w:val="18"/>
                <w:lang w:val="en-US"/>
              </w:rPr>
              <w:t>26 980 ppm (rat, 1 h)</w:t>
            </w:r>
          </w:p>
        </w:tc>
      </w:tr>
    </w:tbl>
    <w:p w14:paraId="44308E3F" w14:textId="77777777" w:rsidR="002761A0" w:rsidRPr="00401E7E" w:rsidRDefault="002761A0" w:rsidP="00996BA3">
      <w:pPr>
        <w:pStyle w:val="H23G"/>
        <w:rPr>
          <w:lang w:val="fr-FR"/>
        </w:rPr>
      </w:pPr>
      <w:r w:rsidRPr="00142A54">
        <w:rPr>
          <w:lang w:val="en-US"/>
        </w:rPr>
        <w:tab/>
      </w:r>
      <w:r w:rsidRPr="00142A54">
        <w:rPr>
          <w:lang w:val="en-US"/>
        </w:rPr>
        <w:tab/>
      </w:r>
      <w:r w:rsidRPr="00401E7E">
        <w:rPr>
          <w:lang w:val="fr-FR"/>
        </w:rPr>
        <w:t xml:space="preserve">Tableau 2 </w:t>
      </w:r>
      <w:r w:rsidR="00CA7D9F">
        <w:rPr>
          <w:lang w:val="fr-FR"/>
        </w:rPr>
        <w:br/>
      </w:r>
      <w:r w:rsidRPr="00401E7E">
        <w:rPr>
          <w:lang w:val="fr-FR"/>
        </w:rPr>
        <w:t>Volatilité et pression de vapeur</w:t>
      </w:r>
    </w:p>
    <w:tbl>
      <w:tblPr>
        <w:tblStyle w:val="TableGrid"/>
        <w:tblW w:w="7370" w:type="dxa"/>
        <w:jc w:val="center"/>
        <w:tblLook w:val="04A0" w:firstRow="1" w:lastRow="0" w:firstColumn="1" w:lastColumn="0" w:noHBand="0" w:noVBand="1"/>
      </w:tblPr>
      <w:tblGrid>
        <w:gridCol w:w="3970"/>
        <w:gridCol w:w="3400"/>
      </w:tblGrid>
      <w:tr w:rsidR="002761A0" w:rsidRPr="00401E7E" w14:paraId="2ECD1220" w14:textId="77777777" w:rsidTr="00CA7D9F">
        <w:trPr>
          <w:jc w:val="center"/>
        </w:trPr>
        <w:tc>
          <w:tcPr>
            <w:tcW w:w="4280" w:type="dxa"/>
          </w:tcPr>
          <w:p w14:paraId="15CDD231" w14:textId="77777777" w:rsidR="002761A0" w:rsidRPr="00401E7E" w:rsidRDefault="002761A0" w:rsidP="00B03DF4">
            <w:pPr>
              <w:spacing w:before="40" w:after="40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Source</w:t>
            </w:r>
          </w:p>
        </w:tc>
        <w:tc>
          <w:tcPr>
            <w:tcW w:w="3685" w:type="dxa"/>
          </w:tcPr>
          <w:p w14:paraId="14056A56" w14:textId="77777777" w:rsidR="002761A0" w:rsidRPr="00401E7E" w:rsidRDefault="002761A0" w:rsidP="00B03DF4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Valeur</w:t>
            </w:r>
          </w:p>
        </w:tc>
      </w:tr>
      <w:tr w:rsidR="002761A0" w:rsidRPr="00401E7E" w14:paraId="58EAE559" w14:textId="77777777" w:rsidTr="00CA7D9F">
        <w:trPr>
          <w:jc w:val="center"/>
        </w:trPr>
        <w:tc>
          <w:tcPr>
            <w:tcW w:w="4280" w:type="dxa"/>
          </w:tcPr>
          <w:p w14:paraId="0C3D27E6" w14:textId="77777777" w:rsidR="002761A0" w:rsidRPr="00401E7E" w:rsidRDefault="002761A0" w:rsidP="00B03DF4">
            <w:pPr>
              <w:spacing w:before="40" w:after="40"/>
              <w:ind w:left="57" w:right="57"/>
              <w:rPr>
                <w:b/>
                <w:bCs/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Fiche de données de sécurité Bromoéthane</w:t>
            </w:r>
            <w:r w:rsidRPr="006350C5">
              <w:rPr>
                <w:sz w:val="18"/>
                <w:szCs w:val="18"/>
                <w:vertAlign w:val="superscript"/>
                <w:lang w:val="fr-FR"/>
              </w:rPr>
              <w:t>5</w:t>
            </w:r>
          </w:p>
        </w:tc>
        <w:tc>
          <w:tcPr>
            <w:tcW w:w="3685" w:type="dxa"/>
          </w:tcPr>
          <w:p w14:paraId="213066F7" w14:textId="77777777" w:rsidR="002761A0" w:rsidRPr="00401E7E" w:rsidRDefault="002761A0" w:rsidP="00B03DF4">
            <w:pPr>
              <w:spacing w:before="40" w:after="40"/>
              <w:ind w:left="57" w:right="57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Volatilité : 400 mm Hg</w:t>
            </w:r>
          </w:p>
        </w:tc>
      </w:tr>
      <w:tr w:rsidR="002761A0" w:rsidRPr="00142A54" w14:paraId="0A65E4A0" w14:textId="77777777" w:rsidTr="00CA7D9F">
        <w:trPr>
          <w:jc w:val="center"/>
        </w:trPr>
        <w:tc>
          <w:tcPr>
            <w:tcW w:w="4280" w:type="dxa"/>
          </w:tcPr>
          <w:p w14:paraId="466D7C72" w14:textId="77777777" w:rsidR="002761A0" w:rsidRPr="00401E7E" w:rsidRDefault="002761A0" w:rsidP="00B03DF4">
            <w:pPr>
              <w:spacing w:before="40" w:after="40"/>
              <w:ind w:left="57" w:right="57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Fiche</w:t>
            </w:r>
            <w:r w:rsidRPr="00401E7E">
              <w:rPr>
                <w:sz w:val="18"/>
                <w:szCs w:val="18"/>
                <w:lang w:val="fr-FR"/>
              </w:rPr>
              <w:t xml:space="preserve"> internationale de sécurité chimique de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401E7E">
              <w:rPr>
                <w:sz w:val="18"/>
                <w:szCs w:val="18"/>
                <w:lang w:val="fr-FR"/>
              </w:rPr>
              <w:t>OIT</w:t>
            </w:r>
            <w:r w:rsidRPr="006350C5">
              <w:rPr>
                <w:sz w:val="18"/>
                <w:szCs w:val="18"/>
                <w:vertAlign w:val="superscript"/>
                <w:lang w:val="fr-FR"/>
              </w:rPr>
              <w:t>6</w:t>
            </w:r>
          </w:p>
        </w:tc>
        <w:tc>
          <w:tcPr>
            <w:tcW w:w="3685" w:type="dxa"/>
          </w:tcPr>
          <w:p w14:paraId="714BF794" w14:textId="77777777" w:rsidR="002761A0" w:rsidRPr="00401E7E" w:rsidRDefault="002761A0" w:rsidP="00B03DF4">
            <w:pPr>
              <w:spacing w:before="40" w:after="40"/>
              <w:ind w:left="57" w:right="57"/>
              <w:rPr>
                <w:sz w:val="18"/>
                <w:szCs w:val="18"/>
                <w:lang w:val="fr-FR"/>
              </w:rPr>
            </w:pPr>
            <w:r w:rsidRPr="00401E7E">
              <w:rPr>
                <w:sz w:val="18"/>
                <w:szCs w:val="18"/>
                <w:lang w:val="fr-FR"/>
              </w:rPr>
              <w:t>Pression de vapeur à 20</w:t>
            </w:r>
            <w:r>
              <w:rPr>
                <w:sz w:val="18"/>
                <w:szCs w:val="18"/>
                <w:lang w:val="fr-FR"/>
              </w:rPr>
              <w:t> °</w:t>
            </w:r>
            <w:r w:rsidRPr="00401E7E">
              <w:rPr>
                <w:sz w:val="18"/>
                <w:szCs w:val="18"/>
                <w:lang w:val="fr-FR"/>
              </w:rPr>
              <w:t>C : 51 kPa</w:t>
            </w:r>
          </w:p>
        </w:tc>
      </w:tr>
    </w:tbl>
    <w:p w14:paraId="02008B58" w14:textId="77777777" w:rsidR="002761A0" w:rsidRPr="00401E7E" w:rsidRDefault="002761A0" w:rsidP="00CA7D9F">
      <w:pPr>
        <w:pStyle w:val="H23G"/>
        <w:rPr>
          <w:lang w:val="fr-FR"/>
        </w:rPr>
      </w:pPr>
      <w:r w:rsidRPr="00401E7E">
        <w:rPr>
          <w:lang w:val="fr-FR"/>
        </w:rPr>
        <w:tab/>
      </w:r>
      <w:r>
        <w:rPr>
          <w:lang w:val="fr-FR"/>
        </w:rPr>
        <w:tab/>
      </w:r>
      <w:r w:rsidRPr="00401E7E">
        <w:rPr>
          <w:lang w:val="fr-FR"/>
        </w:rPr>
        <w:t>Sources</w:t>
      </w:r>
    </w:p>
    <w:p w14:paraId="69EE71CD" w14:textId="77777777" w:rsidR="002761A0" w:rsidRPr="00401E7E" w:rsidRDefault="002761A0" w:rsidP="002761A0">
      <w:pPr>
        <w:spacing w:before="60" w:after="60"/>
        <w:ind w:left="1134" w:right="1134"/>
        <w:rPr>
          <w:rStyle w:val="Hyperlink"/>
          <w:sz w:val="18"/>
          <w:szCs w:val="18"/>
          <w:lang w:val="fr-FR"/>
        </w:rPr>
      </w:pPr>
      <w:r w:rsidRPr="00401E7E">
        <w:rPr>
          <w:sz w:val="18"/>
          <w:szCs w:val="18"/>
          <w:lang w:val="fr-FR"/>
        </w:rPr>
        <w:t xml:space="preserve">1 </w:t>
      </w:r>
      <w:hyperlink r:id="rId11" w:history="1">
        <w:r w:rsidRPr="00401E7E">
          <w:rPr>
            <w:rStyle w:val="Hyperlink"/>
            <w:sz w:val="18"/>
            <w:szCs w:val="18"/>
            <w:lang w:val="fr-FR"/>
          </w:rPr>
          <w:t xml:space="preserve">: </w:t>
        </w:r>
        <w:hyperlink r:id="rId12" w:history="1">
          <w:r w:rsidRPr="00097798">
            <w:rPr>
              <w:rStyle w:val="Hyperlink"/>
              <w:sz w:val="18"/>
              <w:szCs w:val="18"/>
              <w:lang w:val="fr-FR"/>
            </w:rPr>
            <w:t>https://www</w:t>
          </w:r>
          <w:r w:rsidR="00B03DF4" w:rsidRPr="00B03DF4">
            <w:rPr>
              <w:rStyle w:val="Hyperlink"/>
              <w:sz w:val="18"/>
              <w:szCs w:val="18"/>
              <w:lang w:val="fr-FR"/>
            </w:rPr>
            <w:t>.</w:t>
          </w:r>
          <w:r w:rsidRPr="00097798">
            <w:rPr>
              <w:rStyle w:val="Hyperlink"/>
              <w:sz w:val="18"/>
              <w:szCs w:val="18"/>
              <w:lang w:val="fr-FR"/>
            </w:rPr>
            <w:t>big</w:t>
          </w:r>
          <w:r w:rsidR="00B03DF4" w:rsidRPr="00B03DF4">
            <w:rPr>
              <w:rStyle w:val="Hyperlink"/>
              <w:sz w:val="18"/>
              <w:szCs w:val="18"/>
              <w:lang w:val="fr-FR"/>
            </w:rPr>
            <w:t>.</w:t>
          </w:r>
          <w:r w:rsidRPr="00097798">
            <w:rPr>
              <w:rStyle w:val="Hyperlink"/>
              <w:sz w:val="18"/>
              <w:szCs w:val="18"/>
              <w:lang w:val="fr-FR"/>
            </w:rPr>
            <w:t>be/en-us/Products/Kaleidos</w:t>
          </w:r>
        </w:hyperlink>
      </w:hyperlink>
      <w:r w:rsidR="00B03DF4" w:rsidRPr="00B03DF4">
        <w:rPr>
          <w:rStyle w:val="Hyperlink"/>
          <w:sz w:val="18"/>
          <w:szCs w:val="18"/>
          <w:lang w:val="fr-FR"/>
        </w:rPr>
        <w:t>.</w:t>
      </w:r>
    </w:p>
    <w:p w14:paraId="7B90C693" w14:textId="77777777" w:rsidR="002761A0" w:rsidRPr="00401E7E" w:rsidRDefault="002761A0" w:rsidP="002761A0">
      <w:pPr>
        <w:spacing w:before="60" w:after="60"/>
        <w:ind w:left="1134" w:right="1134"/>
        <w:rPr>
          <w:rStyle w:val="Hyperlink"/>
          <w:sz w:val="18"/>
          <w:szCs w:val="18"/>
          <w:lang w:val="fr-FR"/>
        </w:rPr>
      </w:pPr>
      <w:r w:rsidRPr="00401E7E">
        <w:rPr>
          <w:sz w:val="18"/>
          <w:szCs w:val="18"/>
          <w:lang w:val="fr-FR"/>
        </w:rPr>
        <w:t>2</w:t>
      </w:r>
      <w:r>
        <w:rPr>
          <w:sz w:val="18"/>
          <w:szCs w:val="18"/>
          <w:lang w:val="fr-FR"/>
        </w:rPr>
        <w:t> :</w:t>
      </w:r>
      <w:r w:rsidRPr="00401E7E">
        <w:rPr>
          <w:sz w:val="18"/>
          <w:szCs w:val="18"/>
          <w:lang w:val="fr-FR"/>
        </w:rPr>
        <w:t xml:space="preserve"> </w:t>
      </w:r>
      <w:hyperlink r:id="rId13" w:anchor="section=Acute-Effects" w:history="1">
        <w:r w:rsidRPr="00097798">
          <w:rPr>
            <w:rStyle w:val="Hyperlink"/>
            <w:sz w:val="18"/>
            <w:szCs w:val="18"/>
            <w:lang w:val="fr-FR"/>
          </w:rPr>
          <w:t>https://pubchem</w:t>
        </w:r>
        <w:r w:rsidR="00B03DF4" w:rsidRPr="00B03DF4">
          <w:rPr>
            <w:rStyle w:val="Hyperlink"/>
            <w:sz w:val="18"/>
            <w:szCs w:val="18"/>
            <w:lang w:val="fr-FR"/>
          </w:rPr>
          <w:t>.</w:t>
        </w:r>
        <w:r w:rsidRPr="00097798">
          <w:rPr>
            <w:rStyle w:val="Hyperlink"/>
            <w:sz w:val="18"/>
            <w:szCs w:val="18"/>
            <w:lang w:val="fr-FR"/>
          </w:rPr>
          <w:t>ncbi</w:t>
        </w:r>
        <w:r w:rsidR="00B03DF4" w:rsidRPr="00B03DF4">
          <w:rPr>
            <w:rStyle w:val="Hyperlink"/>
            <w:sz w:val="18"/>
            <w:szCs w:val="18"/>
            <w:lang w:val="fr-FR"/>
          </w:rPr>
          <w:t>.</w:t>
        </w:r>
        <w:r w:rsidRPr="00097798">
          <w:rPr>
            <w:rStyle w:val="Hyperlink"/>
            <w:sz w:val="18"/>
            <w:szCs w:val="18"/>
            <w:lang w:val="fr-FR"/>
          </w:rPr>
          <w:t>nlm</w:t>
        </w:r>
        <w:r w:rsidR="00B03DF4" w:rsidRPr="00B03DF4">
          <w:rPr>
            <w:rStyle w:val="Hyperlink"/>
            <w:sz w:val="18"/>
            <w:szCs w:val="18"/>
            <w:lang w:val="fr-FR"/>
          </w:rPr>
          <w:t>.</w:t>
        </w:r>
        <w:r w:rsidRPr="00097798">
          <w:rPr>
            <w:rStyle w:val="Hyperlink"/>
            <w:sz w:val="18"/>
            <w:szCs w:val="18"/>
            <w:lang w:val="fr-FR"/>
          </w:rPr>
          <w:t>nih</w:t>
        </w:r>
        <w:r w:rsidR="00B03DF4" w:rsidRPr="00B03DF4">
          <w:rPr>
            <w:rStyle w:val="Hyperlink"/>
            <w:sz w:val="18"/>
            <w:szCs w:val="18"/>
            <w:lang w:val="fr-FR"/>
          </w:rPr>
          <w:t>.</w:t>
        </w:r>
        <w:r w:rsidRPr="00097798">
          <w:rPr>
            <w:rStyle w:val="Hyperlink"/>
            <w:sz w:val="18"/>
            <w:szCs w:val="18"/>
            <w:lang w:val="fr-FR"/>
          </w:rPr>
          <w:t>gov/compound/Bromoethane#section=Acute-Effects</w:t>
        </w:r>
      </w:hyperlink>
      <w:r w:rsidR="00B03DF4" w:rsidRPr="00B03DF4">
        <w:rPr>
          <w:rStyle w:val="Hyperlink"/>
          <w:sz w:val="18"/>
          <w:szCs w:val="18"/>
          <w:lang w:val="fr-FR"/>
        </w:rPr>
        <w:t>.</w:t>
      </w:r>
    </w:p>
    <w:p w14:paraId="7C1EE4F8" w14:textId="77777777" w:rsidR="002761A0" w:rsidRPr="00401E7E" w:rsidRDefault="002761A0" w:rsidP="002761A0">
      <w:pPr>
        <w:spacing w:before="60" w:after="60"/>
        <w:ind w:left="1134" w:right="1134"/>
        <w:rPr>
          <w:rStyle w:val="Hyperlink"/>
          <w:sz w:val="18"/>
          <w:szCs w:val="18"/>
          <w:lang w:val="fr-FR"/>
        </w:rPr>
      </w:pPr>
      <w:r w:rsidRPr="00401E7E">
        <w:rPr>
          <w:sz w:val="18"/>
          <w:szCs w:val="18"/>
          <w:lang w:val="fr-FR"/>
        </w:rPr>
        <w:t xml:space="preserve">3 </w:t>
      </w:r>
      <w:hyperlink r:id="rId14" w:history="1">
        <w:r w:rsidRPr="00401E7E">
          <w:rPr>
            <w:rStyle w:val="Hyperlink"/>
            <w:sz w:val="18"/>
            <w:szCs w:val="18"/>
            <w:lang w:val="fr-FR"/>
          </w:rPr>
          <w:t xml:space="preserve">: </w:t>
        </w:r>
      </w:hyperlink>
      <w:hyperlink r:id="rId15" w:history="1">
        <w:r w:rsidRPr="00097798">
          <w:rPr>
            <w:rStyle w:val="Hyperlink"/>
            <w:sz w:val="18"/>
            <w:szCs w:val="18"/>
            <w:lang w:val="fr-FR"/>
          </w:rPr>
          <w:t>https://www</w:t>
        </w:r>
        <w:r w:rsidR="00B03DF4" w:rsidRPr="00B03DF4">
          <w:rPr>
            <w:rStyle w:val="Hyperlink"/>
            <w:sz w:val="18"/>
            <w:szCs w:val="18"/>
            <w:lang w:val="fr-FR"/>
          </w:rPr>
          <w:t>.</w:t>
        </w:r>
        <w:r w:rsidRPr="00097798">
          <w:rPr>
            <w:rStyle w:val="Hyperlink"/>
            <w:sz w:val="18"/>
            <w:szCs w:val="18"/>
            <w:lang w:val="fr-FR"/>
          </w:rPr>
          <w:t>who</w:t>
        </w:r>
        <w:r w:rsidR="00B03DF4" w:rsidRPr="00B03DF4">
          <w:rPr>
            <w:rStyle w:val="Hyperlink"/>
            <w:sz w:val="18"/>
            <w:szCs w:val="18"/>
            <w:lang w:val="fr-FR"/>
          </w:rPr>
          <w:t>.</w:t>
        </w:r>
        <w:r w:rsidRPr="00097798">
          <w:rPr>
            <w:rStyle w:val="Hyperlink"/>
            <w:sz w:val="18"/>
            <w:szCs w:val="18"/>
            <w:lang w:val="fr-FR"/>
          </w:rPr>
          <w:t>int/ipcs/publications/cicad/en/cicad42</w:t>
        </w:r>
        <w:r w:rsidR="00B03DF4" w:rsidRPr="00B03DF4">
          <w:rPr>
            <w:rStyle w:val="Hyperlink"/>
            <w:sz w:val="18"/>
            <w:szCs w:val="18"/>
            <w:lang w:val="fr-FR"/>
          </w:rPr>
          <w:t>.</w:t>
        </w:r>
        <w:r w:rsidRPr="00097798">
          <w:rPr>
            <w:rStyle w:val="Hyperlink"/>
            <w:sz w:val="18"/>
            <w:szCs w:val="18"/>
            <w:lang w:val="fr-FR"/>
          </w:rPr>
          <w:t>pdf?ua=1</w:t>
        </w:r>
      </w:hyperlink>
      <w:r w:rsidR="00B03DF4" w:rsidRPr="00B03DF4">
        <w:rPr>
          <w:rStyle w:val="Hyperlink"/>
          <w:sz w:val="18"/>
          <w:szCs w:val="18"/>
          <w:lang w:val="fr-FR"/>
        </w:rPr>
        <w:t>.</w:t>
      </w:r>
      <w:r w:rsidRPr="00401E7E">
        <w:rPr>
          <w:rStyle w:val="Hyperlink"/>
          <w:sz w:val="18"/>
          <w:szCs w:val="18"/>
          <w:lang w:val="fr-FR"/>
        </w:rPr>
        <w:t xml:space="preserve"> Données CL</w:t>
      </w:r>
      <w:r w:rsidRPr="0079725B">
        <w:rPr>
          <w:rStyle w:val="Hyperlink"/>
          <w:sz w:val="18"/>
          <w:szCs w:val="18"/>
          <w:vertAlign w:val="subscript"/>
          <w:lang w:val="fr-FR"/>
        </w:rPr>
        <w:t>50</w:t>
      </w:r>
      <w:r w:rsidRPr="00401E7E">
        <w:rPr>
          <w:rStyle w:val="Hyperlink"/>
          <w:sz w:val="18"/>
          <w:szCs w:val="18"/>
          <w:lang w:val="fr-FR"/>
        </w:rPr>
        <w:t xml:space="preserve"> : voir source 4</w:t>
      </w:r>
      <w:r w:rsidR="00B03DF4" w:rsidRPr="00B03DF4">
        <w:rPr>
          <w:rStyle w:val="Hyperlink"/>
          <w:sz w:val="18"/>
          <w:szCs w:val="18"/>
          <w:lang w:val="fr-FR"/>
        </w:rPr>
        <w:t>.</w:t>
      </w:r>
    </w:p>
    <w:p w14:paraId="4842E9C4" w14:textId="77777777" w:rsidR="002761A0" w:rsidRPr="00CA7D9F" w:rsidRDefault="002761A0" w:rsidP="002761A0">
      <w:pPr>
        <w:spacing w:before="60" w:after="60"/>
        <w:ind w:left="1134" w:right="1134"/>
        <w:rPr>
          <w:sz w:val="18"/>
          <w:szCs w:val="18"/>
          <w:lang w:val="fr-FR"/>
        </w:rPr>
      </w:pPr>
      <w:r w:rsidRPr="00CA7D9F">
        <w:rPr>
          <w:rStyle w:val="Hyperlink"/>
          <w:color w:val="auto"/>
          <w:sz w:val="18"/>
          <w:szCs w:val="18"/>
          <w:lang w:val="fr-FR"/>
        </w:rPr>
        <w:t xml:space="preserve">4 : </w:t>
      </w:r>
      <w:r w:rsidRPr="00401E7E">
        <w:rPr>
          <w:sz w:val="18"/>
          <w:szCs w:val="18"/>
          <w:lang w:val="fr-FR"/>
        </w:rPr>
        <w:t>Uniquement pour la CL</w:t>
      </w:r>
      <w:r w:rsidRPr="0079725B">
        <w:rPr>
          <w:sz w:val="18"/>
          <w:szCs w:val="18"/>
          <w:vertAlign w:val="subscript"/>
          <w:lang w:val="fr-FR"/>
        </w:rPr>
        <w:t>50</w:t>
      </w:r>
      <w:r w:rsidRPr="00401E7E">
        <w:rPr>
          <w:sz w:val="18"/>
          <w:szCs w:val="18"/>
          <w:lang w:val="fr-FR"/>
        </w:rPr>
        <w:t xml:space="preserve"> :</w:t>
      </w:r>
      <w:r w:rsidRPr="0079725B">
        <w:rPr>
          <w:lang w:val="fr-FR"/>
        </w:rPr>
        <w:t xml:space="preserve"> </w:t>
      </w:r>
      <w:hyperlink r:id="rId16" w:history="1">
        <w:r w:rsidRPr="00401E7E">
          <w:rPr>
            <w:rStyle w:val="Hyperlink"/>
            <w:sz w:val="18"/>
            <w:szCs w:val="18"/>
            <w:lang w:val="fr-FR"/>
          </w:rPr>
          <w:t>https://ntp</w:t>
        </w:r>
        <w:r w:rsidR="00B03DF4" w:rsidRPr="00B03DF4">
          <w:rPr>
            <w:rStyle w:val="Hyperlink"/>
            <w:sz w:val="18"/>
            <w:szCs w:val="18"/>
            <w:lang w:val="fr-FR"/>
          </w:rPr>
          <w:t>.</w:t>
        </w:r>
        <w:r w:rsidRPr="00401E7E">
          <w:rPr>
            <w:rStyle w:val="Hyperlink"/>
            <w:sz w:val="18"/>
            <w:szCs w:val="18"/>
            <w:lang w:val="fr-FR"/>
          </w:rPr>
          <w:t>niehs</w:t>
        </w:r>
        <w:r w:rsidR="00B03DF4" w:rsidRPr="00B03DF4">
          <w:rPr>
            <w:rStyle w:val="Hyperlink"/>
            <w:sz w:val="18"/>
            <w:szCs w:val="18"/>
            <w:lang w:val="fr-FR"/>
          </w:rPr>
          <w:t>.</w:t>
        </w:r>
        <w:r w:rsidRPr="00401E7E">
          <w:rPr>
            <w:rStyle w:val="Hyperlink"/>
            <w:sz w:val="18"/>
            <w:szCs w:val="18"/>
            <w:lang w:val="fr-FR"/>
          </w:rPr>
          <w:t>nih</w:t>
        </w:r>
        <w:r w:rsidR="00B03DF4" w:rsidRPr="00B03DF4">
          <w:rPr>
            <w:rStyle w:val="Hyperlink"/>
            <w:sz w:val="18"/>
            <w:szCs w:val="18"/>
            <w:lang w:val="fr-FR"/>
          </w:rPr>
          <w:t>.</w:t>
        </w:r>
        <w:r w:rsidRPr="00401E7E">
          <w:rPr>
            <w:rStyle w:val="Hyperlink"/>
            <w:sz w:val="18"/>
            <w:szCs w:val="18"/>
            <w:lang w:val="fr-FR"/>
          </w:rPr>
          <w:t>gov/ntp/htdocs/lt_rpts/tr363</w:t>
        </w:r>
        <w:r w:rsidR="00B03DF4" w:rsidRPr="00B03DF4">
          <w:rPr>
            <w:rStyle w:val="Hyperlink"/>
            <w:sz w:val="18"/>
            <w:szCs w:val="18"/>
            <w:lang w:val="fr-FR"/>
          </w:rPr>
          <w:t>.</w:t>
        </w:r>
        <w:r w:rsidRPr="00401E7E">
          <w:rPr>
            <w:rStyle w:val="Hyperlink"/>
            <w:sz w:val="18"/>
            <w:szCs w:val="18"/>
            <w:lang w:val="fr-FR"/>
          </w:rPr>
          <w:t>pdf?utm_</w:t>
        </w:r>
        <w:r w:rsidR="00CA7D9F">
          <w:rPr>
            <w:rStyle w:val="Hyperlink"/>
            <w:sz w:val="18"/>
            <w:szCs w:val="18"/>
            <w:lang w:val="fr-FR"/>
          </w:rPr>
          <w:t xml:space="preserve"> </w:t>
        </w:r>
        <w:r w:rsidRPr="00401E7E">
          <w:rPr>
            <w:rStyle w:val="Hyperlink"/>
            <w:sz w:val="18"/>
            <w:szCs w:val="18"/>
            <w:lang w:val="fr-FR"/>
          </w:rPr>
          <w:t>source=direct&amp;utm_medium=prod&amp;utm_campaign=ntpgolinks&amp;utm_term=tr363</w:t>
        </w:r>
      </w:hyperlink>
      <w:r w:rsidR="00B03DF4" w:rsidRPr="00B03DF4">
        <w:rPr>
          <w:sz w:val="18"/>
          <w:szCs w:val="18"/>
          <w:lang w:val="fr-FR"/>
        </w:rPr>
        <w:t>.</w:t>
      </w:r>
      <w:r>
        <w:rPr>
          <w:sz w:val="18"/>
          <w:szCs w:val="18"/>
          <w:lang w:val="fr-FR"/>
        </w:rPr>
        <w:t xml:space="preserve"> P</w:t>
      </w:r>
      <w:r w:rsidRPr="00401E7E">
        <w:rPr>
          <w:sz w:val="18"/>
          <w:szCs w:val="18"/>
          <w:lang w:val="fr-FR"/>
        </w:rPr>
        <w:t>our</w:t>
      </w:r>
      <w:r>
        <w:rPr>
          <w:sz w:val="18"/>
          <w:szCs w:val="18"/>
          <w:lang w:val="fr-FR"/>
        </w:rPr>
        <w:t xml:space="preserve"> la</w:t>
      </w:r>
      <w:r w:rsidRPr="0079725B">
        <w:rPr>
          <w:rStyle w:val="Hyperlink"/>
          <w:sz w:val="18"/>
          <w:szCs w:val="18"/>
          <w:lang w:val="fr-FR"/>
        </w:rPr>
        <w:t xml:space="preserve"> </w:t>
      </w:r>
      <w:r w:rsidRPr="00CA7D9F">
        <w:rPr>
          <w:rStyle w:val="Hyperlink"/>
          <w:color w:val="auto"/>
          <w:sz w:val="18"/>
          <w:szCs w:val="18"/>
          <w:lang w:val="fr-FR"/>
        </w:rPr>
        <w:t>CL</w:t>
      </w:r>
      <w:r w:rsidRPr="00CA7D9F">
        <w:rPr>
          <w:rStyle w:val="Hyperlink"/>
          <w:color w:val="auto"/>
          <w:sz w:val="18"/>
          <w:szCs w:val="18"/>
          <w:vertAlign w:val="subscript"/>
          <w:lang w:val="fr-FR"/>
        </w:rPr>
        <w:t>50</w:t>
      </w:r>
      <w:r w:rsidRPr="00CA7D9F">
        <w:rPr>
          <w:sz w:val="18"/>
          <w:szCs w:val="18"/>
          <w:lang w:val="fr-FR"/>
        </w:rPr>
        <w:t xml:space="preserve"> chez le </w:t>
      </w:r>
      <w:r w:rsidRPr="00CA7D9F">
        <w:rPr>
          <w:rStyle w:val="Hyperlink"/>
          <w:color w:val="auto"/>
          <w:sz w:val="18"/>
          <w:szCs w:val="18"/>
          <w:lang w:val="fr-FR"/>
        </w:rPr>
        <w:t>rat</w:t>
      </w:r>
      <w:r w:rsidRPr="00CA7D9F">
        <w:rPr>
          <w:rStyle w:val="Hyperlink"/>
          <w:color w:val="auto"/>
          <w:lang w:val="fr-FR"/>
        </w:rPr>
        <w:t> </w:t>
      </w:r>
      <w:r w:rsidRPr="00CA7D9F">
        <w:rPr>
          <w:rStyle w:val="Hyperlink"/>
          <w:color w:val="auto"/>
          <w:sz w:val="18"/>
          <w:szCs w:val="18"/>
          <w:lang w:val="fr-FR"/>
        </w:rPr>
        <w:t>: voir tableau 5 ; pour la CL</w:t>
      </w:r>
      <w:r w:rsidRPr="00CA7D9F">
        <w:rPr>
          <w:rStyle w:val="Hyperlink"/>
          <w:color w:val="auto"/>
          <w:sz w:val="18"/>
          <w:szCs w:val="18"/>
          <w:vertAlign w:val="subscript"/>
          <w:lang w:val="fr-FR"/>
        </w:rPr>
        <w:t>50</w:t>
      </w:r>
      <w:r w:rsidRPr="00CA7D9F">
        <w:rPr>
          <w:rStyle w:val="Hyperlink"/>
          <w:color w:val="auto"/>
          <w:sz w:val="18"/>
          <w:szCs w:val="18"/>
          <w:lang w:val="fr-FR"/>
        </w:rPr>
        <w:t xml:space="preserve"> chez la souris : voir tableau 16</w:t>
      </w:r>
      <w:r w:rsidR="00B03DF4" w:rsidRPr="00B03DF4">
        <w:rPr>
          <w:rStyle w:val="Hyperlink"/>
          <w:color w:val="auto"/>
          <w:sz w:val="18"/>
          <w:szCs w:val="18"/>
          <w:lang w:val="fr-FR"/>
        </w:rPr>
        <w:t>.</w:t>
      </w:r>
      <w:r w:rsidRPr="00CA7D9F">
        <w:rPr>
          <w:rStyle w:val="Hyperlink"/>
          <w:color w:val="auto"/>
          <w:sz w:val="18"/>
          <w:szCs w:val="18"/>
          <w:lang w:val="fr-FR"/>
        </w:rPr>
        <w:t xml:space="preserve"> </w:t>
      </w:r>
    </w:p>
    <w:p w14:paraId="4A0EDECB" w14:textId="77777777" w:rsidR="00CA7D9F" w:rsidRPr="00CA7D9F" w:rsidRDefault="002761A0" w:rsidP="00CA7D9F">
      <w:pPr>
        <w:spacing w:before="60" w:after="60"/>
        <w:ind w:left="1134" w:right="1134"/>
        <w:rPr>
          <w:rStyle w:val="Hyperlink"/>
          <w:sz w:val="18"/>
          <w:szCs w:val="18"/>
          <w:lang w:val="en-US"/>
        </w:rPr>
      </w:pPr>
      <w:r w:rsidRPr="00CA7D9F">
        <w:rPr>
          <w:rStyle w:val="Hyperlink"/>
          <w:color w:val="auto"/>
          <w:sz w:val="18"/>
          <w:szCs w:val="18"/>
          <w:lang w:val="en-US"/>
        </w:rPr>
        <w:t xml:space="preserve">5 : </w:t>
      </w:r>
      <w:hyperlink r:id="rId17" w:history="1">
        <w:r w:rsidRPr="00CA7D9F">
          <w:rPr>
            <w:rStyle w:val="Hyperlink"/>
            <w:sz w:val="18"/>
            <w:szCs w:val="18"/>
            <w:lang w:val="en-US"/>
          </w:rPr>
          <w:t>https://www</w:t>
        </w:r>
        <w:r w:rsidR="00B03DF4" w:rsidRPr="00B03DF4">
          <w:rPr>
            <w:rStyle w:val="Hyperlink"/>
            <w:sz w:val="18"/>
            <w:szCs w:val="18"/>
            <w:lang w:val="en-US"/>
          </w:rPr>
          <w:t>.</w:t>
        </w:r>
        <w:r w:rsidRPr="00CA7D9F">
          <w:rPr>
            <w:rStyle w:val="Hyperlink"/>
            <w:sz w:val="18"/>
            <w:szCs w:val="18"/>
            <w:lang w:val="en-US"/>
          </w:rPr>
          <w:t>fishersci</w:t>
        </w:r>
        <w:r w:rsidR="00B03DF4" w:rsidRPr="00B03DF4">
          <w:rPr>
            <w:rStyle w:val="Hyperlink"/>
            <w:sz w:val="18"/>
            <w:szCs w:val="18"/>
            <w:lang w:val="en-US"/>
          </w:rPr>
          <w:t>.</w:t>
        </w:r>
        <w:r w:rsidRPr="00CA7D9F">
          <w:rPr>
            <w:rStyle w:val="Hyperlink"/>
            <w:sz w:val="18"/>
            <w:szCs w:val="18"/>
            <w:lang w:val="en-US"/>
          </w:rPr>
          <w:t>com/store/msds?partNumber=AC154215000&amp;productDescription</w:t>
        </w:r>
        <w:r w:rsidR="00CA7D9F" w:rsidRPr="00CA7D9F">
          <w:rPr>
            <w:rStyle w:val="Hyperlink"/>
            <w:sz w:val="18"/>
            <w:szCs w:val="18"/>
            <w:lang w:val="en-US"/>
          </w:rPr>
          <w:t xml:space="preserve"> </w:t>
        </w:r>
        <w:r w:rsidRPr="00CA7D9F">
          <w:rPr>
            <w:rStyle w:val="Hyperlink"/>
            <w:sz w:val="18"/>
            <w:szCs w:val="18"/>
            <w:lang w:val="en-US"/>
          </w:rPr>
          <w:t>=BROMOETHANE+98%25+500ML&amp;vendorId=VN00032119&amp;countryCode=US&amp;language=en</w:t>
        </w:r>
      </w:hyperlink>
      <w:r w:rsidR="00B03DF4" w:rsidRPr="00B03DF4">
        <w:rPr>
          <w:rStyle w:val="Hyperlink"/>
          <w:color w:val="auto"/>
          <w:sz w:val="18"/>
          <w:szCs w:val="18"/>
          <w:lang w:val="en-US"/>
        </w:rPr>
        <w:t>.</w:t>
      </w:r>
      <w:r w:rsidR="00CA7D9F" w:rsidRPr="00CA7D9F">
        <w:rPr>
          <w:rStyle w:val="Hyperlink"/>
          <w:color w:val="auto"/>
          <w:sz w:val="18"/>
          <w:szCs w:val="18"/>
          <w:lang w:val="en-US"/>
        </w:rPr>
        <w:t xml:space="preserve"> </w:t>
      </w:r>
    </w:p>
    <w:p w14:paraId="3785DC60" w14:textId="77777777" w:rsidR="002761A0" w:rsidRPr="009768D4" w:rsidRDefault="002761A0" w:rsidP="00CA7D9F">
      <w:pPr>
        <w:spacing w:before="60" w:after="60"/>
        <w:ind w:left="1134" w:right="1134"/>
        <w:rPr>
          <w:sz w:val="18"/>
          <w:szCs w:val="18"/>
          <w:lang w:val="en-US"/>
        </w:rPr>
      </w:pPr>
      <w:r w:rsidRPr="009768D4">
        <w:rPr>
          <w:rStyle w:val="Hyperlink"/>
          <w:color w:val="auto"/>
          <w:sz w:val="18"/>
          <w:szCs w:val="18"/>
          <w:lang w:val="en-US"/>
        </w:rPr>
        <w:t xml:space="preserve">6 : </w:t>
      </w:r>
      <w:hyperlink r:id="rId18" w:history="1">
        <w:r w:rsidRPr="009768D4">
          <w:rPr>
            <w:rStyle w:val="Hyperlink"/>
            <w:sz w:val="18"/>
            <w:szCs w:val="18"/>
            <w:lang w:val="en-US"/>
          </w:rPr>
          <w:t>http://www</w:t>
        </w:r>
        <w:r w:rsidR="00B03DF4" w:rsidRPr="00B03DF4">
          <w:rPr>
            <w:rStyle w:val="Hyperlink"/>
            <w:sz w:val="18"/>
            <w:szCs w:val="18"/>
            <w:lang w:val="en-US"/>
          </w:rPr>
          <w:t>.</w:t>
        </w:r>
        <w:r w:rsidRPr="009768D4">
          <w:rPr>
            <w:rStyle w:val="Hyperlink"/>
            <w:sz w:val="18"/>
            <w:szCs w:val="18"/>
            <w:lang w:val="en-US"/>
          </w:rPr>
          <w:t>ilo</w:t>
        </w:r>
        <w:r w:rsidR="00B03DF4" w:rsidRPr="00B03DF4">
          <w:rPr>
            <w:rStyle w:val="Hyperlink"/>
            <w:sz w:val="18"/>
            <w:szCs w:val="18"/>
            <w:lang w:val="en-US"/>
          </w:rPr>
          <w:t>.</w:t>
        </w:r>
        <w:r w:rsidRPr="009768D4">
          <w:rPr>
            <w:rStyle w:val="Hyperlink"/>
            <w:sz w:val="18"/>
            <w:szCs w:val="18"/>
            <w:lang w:val="en-US"/>
          </w:rPr>
          <w:t>org/dyn/icsc/showcard</w:t>
        </w:r>
        <w:r w:rsidR="00B03DF4" w:rsidRPr="00B03DF4">
          <w:rPr>
            <w:rStyle w:val="Hyperlink"/>
            <w:sz w:val="18"/>
            <w:szCs w:val="18"/>
            <w:lang w:val="en-US"/>
          </w:rPr>
          <w:t>.</w:t>
        </w:r>
        <w:r w:rsidRPr="009768D4">
          <w:rPr>
            <w:rStyle w:val="Hyperlink"/>
            <w:sz w:val="18"/>
            <w:szCs w:val="18"/>
            <w:lang w:val="en-US"/>
          </w:rPr>
          <w:t>display?p_version=2&amp;p_card_id=1378</w:t>
        </w:r>
      </w:hyperlink>
      <w:r w:rsidR="00B03DF4" w:rsidRPr="00B03DF4">
        <w:rPr>
          <w:sz w:val="18"/>
          <w:szCs w:val="18"/>
          <w:lang w:val="en-US"/>
        </w:rPr>
        <w:t>.</w:t>
      </w:r>
    </w:p>
    <w:p w14:paraId="2564256B" w14:textId="77777777" w:rsidR="00446FE5" w:rsidRPr="009768D4" w:rsidRDefault="002761A0" w:rsidP="002761A0">
      <w:pPr>
        <w:pStyle w:val="SingleTxtG"/>
        <w:spacing w:before="240" w:after="0"/>
        <w:jc w:val="center"/>
        <w:rPr>
          <w:u w:val="single"/>
          <w:lang w:val="en-US"/>
        </w:rPr>
      </w:pPr>
      <w:r w:rsidRPr="009768D4">
        <w:rPr>
          <w:u w:val="single"/>
          <w:lang w:val="en-US"/>
        </w:rPr>
        <w:tab/>
      </w:r>
      <w:r w:rsidRPr="009768D4">
        <w:rPr>
          <w:u w:val="single"/>
          <w:lang w:val="en-US"/>
        </w:rPr>
        <w:tab/>
      </w:r>
      <w:r w:rsidRPr="009768D4">
        <w:rPr>
          <w:u w:val="single"/>
          <w:lang w:val="en-US"/>
        </w:rPr>
        <w:tab/>
      </w:r>
    </w:p>
    <w:sectPr w:rsidR="00446FE5" w:rsidRPr="009768D4" w:rsidSect="002761A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8E54A" w14:textId="77777777" w:rsidR="009768D4" w:rsidRDefault="009768D4" w:rsidP="00F95C08">
      <w:pPr>
        <w:spacing w:line="240" w:lineRule="auto"/>
      </w:pPr>
    </w:p>
  </w:endnote>
  <w:endnote w:type="continuationSeparator" w:id="0">
    <w:p w14:paraId="4B3E9325" w14:textId="77777777" w:rsidR="009768D4" w:rsidRPr="00AC3823" w:rsidRDefault="009768D4" w:rsidP="00AC3823">
      <w:pPr>
        <w:pStyle w:val="Footer"/>
      </w:pPr>
    </w:p>
  </w:endnote>
  <w:endnote w:type="continuationNotice" w:id="1">
    <w:p w14:paraId="22581635" w14:textId="77777777" w:rsidR="009768D4" w:rsidRDefault="009768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1114" w14:textId="77777777" w:rsidR="009768D4" w:rsidRPr="002761A0" w:rsidRDefault="009768D4" w:rsidP="002761A0">
    <w:pPr>
      <w:pStyle w:val="Footer"/>
      <w:tabs>
        <w:tab w:val="right" w:pos="9638"/>
      </w:tabs>
    </w:pPr>
    <w:r w:rsidRPr="002761A0">
      <w:rPr>
        <w:b/>
        <w:sz w:val="18"/>
      </w:rPr>
      <w:fldChar w:fldCharType="begin"/>
    </w:r>
    <w:r w:rsidRPr="002761A0">
      <w:rPr>
        <w:b/>
        <w:sz w:val="18"/>
      </w:rPr>
      <w:instrText xml:space="preserve"> PAGE  \* MERGEFORMAT </w:instrText>
    </w:r>
    <w:r w:rsidRPr="002761A0">
      <w:rPr>
        <w:b/>
        <w:sz w:val="18"/>
      </w:rPr>
      <w:fldChar w:fldCharType="separate"/>
    </w:r>
    <w:r w:rsidRPr="002761A0">
      <w:rPr>
        <w:b/>
        <w:noProof/>
        <w:sz w:val="18"/>
      </w:rPr>
      <w:t>2</w:t>
    </w:r>
    <w:r w:rsidRPr="002761A0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B03DF4" w:rsidRPr="00B03DF4">
      <w:t>.</w:t>
    </w:r>
    <w:r>
      <w:t>20-11597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A703" w14:textId="77777777" w:rsidR="009768D4" w:rsidRPr="002761A0" w:rsidRDefault="009768D4" w:rsidP="002761A0">
    <w:pPr>
      <w:pStyle w:val="Footer"/>
      <w:tabs>
        <w:tab w:val="right" w:pos="9638"/>
      </w:tabs>
      <w:rPr>
        <w:b/>
        <w:sz w:val="18"/>
      </w:rPr>
    </w:pPr>
    <w:r>
      <w:t>GE</w:t>
    </w:r>
    <w:r w:rsidR="00B03DF4" w:rsidRPr="00B03DF4">
      <w:t>.</w:t>
    </w:r>
    <w:r>
      <w:t>20-11597</w:t>
    </w:r>
    <w:r>
      <w:tab/>
    </w:r>
    <w:r w:rsidRPr="002761A0">
      <w:rPr>
        <w:b/>
        <w:sz w:val="18"/>
      </w:rPr>
      <w:fldChar w:fldCharType="begin"/>
    </w:r>
    <w:r w:rsidRPr="002761A0">
      <w:rPr>
        <w:b/>
        <w:sz w:val="18"/>
      </w:rPr>
      <w:instrText xml:space="preserve"> PAGE  \* MERGEFORMAT </w:instrText>
    </w:r>
    <w:r w:rsidRPr="002761A0">
      <w:rPr>
        <w:b/>
        <w:sz w:val="18"/>
      </w:rPr>
      <w:fldChar w:fldCharType="separate"/>
    </w:r>
    <w:r w:rsidRPr="002761A0">
      <w:rPr>
        <w:b/>
        <w:noProof/>
        <w:sz w:val="18"/>
      </w:rPr>
      <w:t>3</w:t>
    </w:r>
    <w:r w:rsidRPr="002761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CB4F" w14:textId="77777777" w:rsidR="009768D4" w:rsidRPr="002761A0" w:rsidRDefault="009768D4" w:rsidP="002761A0">
    <w:pPr>
      <w:pStyle w:val="Footer"/>
      <w:spacing w:before="120"/>
      <w:rPr>
        <w:sz w:val="20"/>
      </w:rPr>
    </w:pPr>
    <w:r>
      <w:rPr>
        <w:sz w:val="20"/>
      </w:rPr>
      <w:t>GE</w:t>
    </w:r>
    <w:r w:rsidR="00B03DF4" w:rsidRPr="00B03DF4">
      <w:rPr>
        <w:sz w:val="20"/>
      </w:rPr>
      <w:t>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74404BF" wp14:editId="1776E1D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11597  (</w:t>
    </w:r>
    <w:proofErr w:type="gramEnd"/>
    <w:r>
      <w:rPr>
        <w:sz w:val="20"/>
      </w:rPr>
      <w:t>F)    131020    141020</w:t>
    </w:r>
    <w:r>
      <w:rPr>
        <w:sz w:val="20"/>
      </w:rPr>
      <w:br/>
    </w:r>
    <w:r w:rsidRPr="002761A0">
      <w:rPr>
        <w:rFonts w:ascii="C39T30Lfz" w:hAnsi="C39T30Lfz"/>
        <w:sz w:val="56"/>
      </w:rPr>
      <w:t>*2011597*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9EA3522" wp14:editId="69051BB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90E1" w14:textId="77777777" w:rsidR="009768D4" w:rsidRPr="00AC3823" w:rsidRDefault="009768D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F28773" w14:textId="77777777" w:rsidR="009768D4" w:rsidRPr="00AC3823" w:rsidRDefault="009768D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368DE3" w14:textId="77777777" w:rsidR="009768D4" w:rsidRPr="00AC3823" w:rsidRDefault="009768D4">
      <w:pPr>
        <w:spacing w:line="240" w:lineRule="auto"/>
        <w:rPr>
          <w:sz w:val="2"/>
          <w:szCs w:val="2"/>
        </w:rPr>
      </w:pPr>
    </w:p>
  </w:footnote>
  <w:footnote w:id="2">
    <w:p w14:paraId="0405F8F5" w14:textId="77777777" w:rsidR="009768D4" w:rsidRPr="002761A0" w:rsidRDefault="009768D4" w:rsidP="009768D4">
      <w:pPr>
        <w:pStyle w:val="FootnoteText"/>
      </w:pPr>
      <w:r>
        <w:rPr>
          <w:rStyle w:val="FootnoteReference"/>
        </w:rPr>
        <w:tab/>
      </w:r>
      <w:r w:rsidRPr="002761A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761A0">
        <w:rPr>
          <w:rStyle w:val="FootnoteReference"/>
          <w:szCs w:val="18"/>
          <w:vertAlign w:val="baseline"/>
          <w:lang w:val="fr-FR"/>
        </w:rPr>
        <w:t>Sous-programme 2 du budget-programme pour 2020 (A/74/6 (Sect</w:t>
      </w:r>
      <w:r w:rsidR="00B03DF4" w:rsidRPr="00B03DF4">
        <w:rPr>
          <w:rStyle w:val="FootnoteReference"/>
          <w:szCs w:val="18"/>
          <w:vertAlign w:val="baseline"/>
          <w:lang w:val="fr-FR"/>
        </w:rPr>
        <w:t>.</w:t>
      </w:r>
      <w:r>
        <w:rPr>
          <w:szCs w:val="18"/>
          <w:lang w:val="fr-FR"/>
        </w:rPr>
        <w:t xml:space="preserve"> </w:t>
      </w:r>
      <w:r w:rsidRPr="002761A0">
        <w:rPr>
          <w:rStyle w:val="FootnoteReference"/>
          <w:szCs w:val="18"/>
          <w:vertAlign w:val="baseline"/>
          <w:lang w:val="fr-FR"/>
        </w:rPr>
        <w:t>20)) et informations complémentaires</w:t>
      </w:r>
      <w:r w:rsidR="00B03DF4" w:rsidRPr="00B03DF4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EDB9" w14:textId="3B61887D" w:rsidR="009768D4" w:rsidRPr="002761A0" w:rsidRDefault="001845A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A606C">
      <w:t>ST/SG/AC.10/C.3/2020/72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E76A" w14:textId="3DD77B5D" w:rsidR="009768D4" w:rsidRPr="002761A0" w:rsidRDefault="001845A2" w:rsidP="002761A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A606C">
      <w:t>ST/SG/AC.10/C.3/2020/72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75"/>
    <w:rsid w:val="00017F94"/>
    <w:rsid w:val="00023842"/>
    <w:rsid w:val="000305D3"/>
    <w:rsid w:val="000334F9"/>
    <w:rsid w:val="00064C67"/>
    <w:rsid w:val="0007796D"/>
    <w:rsid w:val="0008008F"/>
    <w:rsid w:val="000B7790"/>
    <w:rsid w:val="00111F2F"/>
    <w:rsid w:val="00132EA9"/>
    <w:rsid w:val="0014365E"/>
    <w:rsid w:val="00176178"/>
    <w:rsid w:val="001845A2"/>
    <w:rsid w:val="001F525A"/>
    <w:rsid w:val="00223272"/>
    <w:rsid w:val="00224C52"/>
    <w:rsid w:val="0024779E"/>
    <w:rsid w:val="002761A0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A606C"/>
    <w:rsid w:val="0068456F"/>
    <w:rsid w:val="0071601D"/>
    <w:rsid w:val="007A62E6"/>
    <w:rsid w:val="0080684C"/>
    <w:rsid w:val="00871C75"/>
    <w:rsid w:val="008776DC"/>
    <w:rsid w:val="008B40CD"/>
    <w:rsid w:val="009705C8"/>
    <w:rsid w:val="009768D4"/>
    <w:rsid w:val="00996BA3"/>
    <w:rsid w:val="009C1CF4"/>
    <w:rsid w:val="00A30353"/>
    <w:rsid w:val="00AC3823"/>
    <w:rsid w:val="00AC5C75"/>
    <w:rsid w:val="00AE323C"/>
    <w:rsid w:val="00B00181"/>
    <w:rsid w:val="00B00B0D"/>
    <w:rsid w:val="00B03DF4"/>
    <w:rsid w:val="00B765F7"/>
    <w:rsid w:val="00BA0CA9"/>
    <w:rsid w:val="00C02897"/>
    <w:rsid w:val="00CA7D9F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38797E"/>
  <w15:docId w15:val="{471D3A75-B453-48C8-8F72-2DB1F0D7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59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2761A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2761A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2761A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rsid w:val="002761A0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ubchem.ncbi.nlm.nih.gov/compound/Bromoethane" TargetMode="External"/><Relationship Id="rId18" Type="http://schemas.openxmlformats.org/officeDocument/2006/relationships/hyperlink" Target="http://www.ilo.org/dyn/icsc/showcard.display?p_version=2&amp;p_card_id=1378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big.be/en-us/Products/Kaleidos" TargetMode="External"/><Relationship Id="rId17" Type="http://schemas.openxmlformats.org/officeDocument/2006/relationships/hyperlink" Target="https://www.fishersci.com/store/msds?partNumber=AC154215000&amp;productDescription=BROMOETHANE+98%25+500ML&amp;vendorId=VN00032119&amp;countryCode=US&amp;language=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tp.niehs.nih.gov/ntp/htdocs/lt_rpts/tr363.pdf?utm_source=direct&amp;utm_medium=prod&amp;utm_campaign=ntpgolinks&amp;utm_term=tr36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g.be/en-us/Products/Kaleido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who.int/ipcs/publications/cicad/en/cicad42.pdf?ua=1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ho.int/ipcs/publications/cicad/en/cicad42.pdf?ua=1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A8881-3150-40B0-A7B8-B6DC5F756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A5A65-3E1D-4C73-B058-879C59E50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2F460-AACA-425E-B590-DEBECF7AD2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ST/SG/AC.10/C.3/2020/72</vt:lpstr>
    </vt:vector>
  </TitlesOfParts>
  <Company>DCM</Company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ST/SG/AC.10/C.3/2020/72</dc:title>
  <dc:subject/>
  <dc:creator>Maud DARICHE</dc:creator>
  <cp:keywords/>
  <cp:lastModifiedBy>Laurence Berthet</cp:lastModifiedBy>
  <cp:revision>2</cp:revision>
  <cp:lastPrinted>2020-10-14T07:35:00Z</cp:lastPrinted>
  <dcterms:created xsi:type="dcterms:W3CDTF">2020-10-14T11:09:00Z</dcterms:created>
  <dcterms:modified xsi:type="dcterms:W3CDTF">2020-10-14T11:09:00Z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